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193DF5CF" w14:textId="77777777" w:rsidR="004C1AB2" w:rsidRDefault="004C1AB2" w:rsidP="004C1AB2">
      <w:pPr>
        <w:pStyle w:val="Title"/>
        <w:tabs>
          <w:tab w:val="center" w:pos="4513"/>
          <w:tab w:val="left" w:pos="7350"/>
        </w:tabs>
      </w:pPr>
      <w:bookmarkStart w:id="0" w:name="_Hlk122527405"/>
      <w:r w:rsidRPr="00943363">
        <w:t xml:space="preserve">Belumosudil for treating chronic graft versus host disease after 2 or more </w:t>
      </w:r>
      <w:r>
        <w:t xml:space="preserve">lines of systemic therapy </w:t>
      </w:r>
      <w:bookmarkEnd w:id="0"/>
      <w:r w:rsidRPr="00325330">
        <w:t>ID</w:t>
      </w:r>
      <w:r>
        <w:t>4021</w:t>
      </w:r>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7"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77B855C1" w:rsidR="00E74106" w:rsidRPr="00715265" w:rsidRDefault="00715265" w:rsidP="00CA055B">
      <w:pPr>
        <w:pStyle w:val="Heading3"/>
      </w:pPr>
      <w:r>
        <w:t>Key –</w:t>
      </w:r>
      <w:r w:rsidR="00E337A3">
        <w:t xml:space="preserve"> </w:t>
      </w:r>
      <w:r>
        <w:t xml:space="preserve">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2A7CF90D"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w:t>
            </w:r>
            <w:r w:rsidR="00E337A3">
              <w:rPr>
                <w:rFonts w:ascii="Arial" w:eastAsia="Times New Roman" w:hAnsi="Arial"/>
                <w:lang w:eastAsia="en-GB"/>
              </w:rPr>
              <w:t xml:space="preserve">e </w:t>
            </w:r>
            <w:r w:rsidR="00D71447">
              <w:rPr>
                <w:rFonts w:ascii="Arial" w:eastAsia="Times New Roman" w:hAnsi="Arial"/>
                <w:lang w:eastAsia="en-GB"/>
              </w:rPr>
              <w:t>criterion</w:t>
            </w:r>
            <w:r>
              <w:rPr>
                <w:rFonts w:ascii="Arial" w:eastAsia="Times New Roman" w:hAnsi="Arial"/>
                <w:lang w:eastAsia="en-GB"/>
              </w:rPr>
              <w:t xml:space="preserve"> is met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05724CE8" w14:textId="77777777" w:rsidR="00BC3A15" w:rsidRDefault="00DB7851" w:rsidP="00BC3A15">
            <w:pPr>
              <w:spacing w:after="240" w:line="276" w:lineRule="auto"/>
              <w:rPr>
                <w:rFonts w:ascii="Arial" w:eastAsia="Times New Roman" w:hAnsi="Arial"/>
                <w:lang w:eastAsia="en-GB"/>
              </w:rPr>
            </w:pPr>
            <w:r>
              <w:rPr>
                <w:rFonts w:ascii="Arial" w:eastAsia="Times New Roman" w:hAnsi="Arial"/>
                <w:lang w:eastAsia="en-GB"/>
              </w:rPr>
              <w:t xml:space="preserve">There is some, but not enough clear evidence that the criterion is met </w:t>
            </w:r>
            <w:r w:rsidR="00BC3A15">
              <w:rPr>
                <w:rFonts w:ascii="Arial" w:eastAsia="Times New Roman" w:hAnsi="Arial"/>
                <w:lang w:eastAsia="en-GB"/>
              </w:rPr>
              <w:t xml:space="preserve">or </w:t>
            </w:r>
          </w:p>
          <w:p w14:paraId="10446DC5" w14:textId="61CC8397" w:rsidR="00DB7851" w:rsidRPr="00E74106" w:rsidRDefault="00BC3A15" w:rsidP="00BC3A15">
            <w:pPr>
              <w:spacing w:after="240" w:line="276" w:lineRule="auto"/>
              <w:rPr>
                <w:rFonts w:ascii="Arial" w:eastAsia="Times New Roman" w:hAnsi="Arial"/>
                <w:lang w:eastAsia="en-GB"/>
              </w:rPr>
            </w:pPr>
            <w:r>
              <w:rPr>
                <w:rFonts w:ascii="Arial" w:eastAsia="Times New Roman" w:hAnsi="Arial"/>
                <w:lang w:eastAsia="en-GB"/>
              </w:rPr>
              <w:t>T</w:t>
            </w:r>
            <w:r w:rsidR="00DB7851">
              <w:rPr>
                <w:rFonts w:ascii="Arial" w:eastAsia="Times New Roman" w:hAnsi="Arial"/>
                <w:lang w:eastAsia="en-GB"/>
              </w:rPr>
              <w:t xml:space="preserve">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10CFB61C" w14:textId="77777777" w:rsidR="004C1AB2" w:rsidRPr="004C1AB2" w:rsidRDefault="00C9475C" w:rsidP="004C1AB2">
      <w:pPr>
        <w:pStyle w:val="Heading3"/>
      </w:pPr>
      <w:r w:rsidRPr="00C9475C">
        <w:t xml:space="preserve">MA wording: </w:t>
      </w:r>
      <w:r w:rsidR="004C1AB2">
        <w:t xml:space="preserve"> </w:t>
      </w:r>
      <w:r w:rsidR="004C1AB2" w:rsidRPr="004C1AB2">
        <w:t>Belumosudil is indicated in the UK for treatment of people aged 12 years and older with chronic graft-versus-host disease who have received at least two prior lines of systemic therapy.</w:t>
      </w:r>
    </w:p>
    <w:p w14:paraId="3E95E146" w14:textId="0B8A0680" w:rsidR="00C9475C" w:rsidRDefault="00C9475C" w:rsidP="00CA055B">
      <w:pPr>
        <w:pStyle w:val="Heading3"/>
      </w:pP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4"/>
        <w:gridCol w:w="3261"/>
        <w:gridCol w:w="7797"/>
        <w:gridCol w:w="1756"/>
      </w:tblGrid>
      <w:tr w:rsidR="000D3405" w:rsidRPr="00C9475C" w14:paraId="604A78F5" w14:textId="1D838B5C" w:rsidTr="004C1AB2">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17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7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0D3405" w:rsidRPr="00C9475C" w14:paraId="71E5DCF4" w14:textId="62BB659A" w:rsidTr="00A7164D">
        <w:tc>
          <w:tcPr>
            <w:tcW w:w="403"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126FA4C" w:rsidR="000D3405" w:rsidRPr="00D71447" w:rsidRDefault="000D3405" w:rsidP="00742AF3">
            <w:pPr>
              <w:rPr>
                <w:rFonts w:ascii="Arial" w:hAnsi="Arial" w:cs="Arial"/>
              </w:rPr>
            </w:pPr>
            <w:r w:rsidRPr="00D71447">
              <w:rPr>
                <w:rFonts w:ascii="Arial" w:hAnsi="Arial" w:cs="Arial"/>
              </w:rPr>
              <w:t xml:space="preserve">The </w:t>
            </w:r>
            <w:r w:rsidR="00CB7A88">
              <w:rPr>
                <w:rFonts w:ascii="Arial" w:hAnsi="Arial" w:cs="Arial"/>
              </w:rPr>
              <w:t xml:space="preserve">disease </w:t>
            </w:r>
            <w:r w:rsidRPr="00D71447">
              <w:rPr>
                <w:rFonts w:ascii="Arial" w:hAnsi="Arial" w:cs="Arial"/>
              </w:rPr>
              <w:t xml:space="preserve">is very rare defined by 1:50,000 in England </w:t>
            </w:r>
          </w:p>
          <w:p w14:paraId="4AB8D1A0" w14:textId="77777777" w:rsidR="000D3405" w:rsidRPr="00D71447" w:rsidRDefault="000D3405" w:rsidP="00742AF3">
            <w:pPr>
              <w:rPr>
                <w:rFonts w:ascii="Arial" w:hAnsi="Arial" w:cs="Arial"/>
              </w:rPr>
            </w:pPr>
          </w:p>
          <w:p w14:paraId="2F4ED0A0" w14:textId="77777777" w:rsidR="000D3405" w:rsidRPr="00D71447" w:rsidRDefault="000D3405" w:rsidP="00742AF3">
            <w:pPr>
              <w:rPr>
                <w:rFonts w:ascii="Arial" w:hAnsi="Arial" w:cs="Arial"/>
              </w:rPr>
            </w:pPr>
          </w:p>
        </w:tc>
        <w:tc>
          <w:tcPr>
            <w:tcW w:w="2797" w:type="pct"/>
            <w:tcBorders>
              <w:top w:val="nil"/>
              <w:left w:val="single" w:sz="8" w:space="0" w:color="auto"/>
              <w:bottom w:val="single" w:sz="8" w:space="0" w:color="auto"/>
              <w:right w:val="single" w:sz="8" w:space="0" w:color="auto"/>
            </w:tcBorders>
          </w:tcPr>
          <w:p w14:paraId="15FAFF80" w14:textId="610D6357" w:rsidR="003F7C54" w:rsidRDefault="003F7C54" w:rsidP="003F7C54">
            <w:pPr>
              <w:pStyle w:val="ListParagraph"/>
              <w:numPr>
                <w:ilvl w:val="0"/>
                <w:numId w:val="35"/>
              </w:numPr>
              <w:rPr>
                <w:rFonts w:ascii="Arial" w:hAnsi="Arial" w:cs="Arial"/>
              </w:rPr>
            </w:pPr>
            <w:r>
              <w:rPr>
                <w:rFonts w:ascii="Arial" w:hAnsi="Arial" w:cs="Arial"/>
              </w:rPr>
              <w:t xml:space="preserve">Clinical experts at the scoping workshop estimated the prevalence of cGVHD in England was </w:t>
            </w:r>
            <w:proofErr w:type="gramStart"/>
            <w:r>
              <w:rPr>
                <w:rFonts w:ascii="Arial" w:hAnsi="Arial" w:cs="Arial"/>
              </w:rPr>
              <w:t>in excess of</w:t>
            </w:r>
            <w:proofErr w:type="gramEnd"/>
            <w:r>
              <w:rPr>
                <w:rFonts w:ascii="Arial" w:hAnsi="Arial" w:cs="Arial"/>
              </w:rPr>
              <w:t xml:space="preserve"> 1,100 patients (1:50,000).</w:t>
            </w:r>
            <w:r w:rsidR="00D66AF4">
              <w:rPr>
                <w:rFonts w:ascii="Arial" w:hAnsi="Arial" w:cs="Arial"/>
              </w:rPr>
              <w:t xml:space="preserve"> This was because chronic graft vs host disease</w:t>
            </w:r>
            <w:r w:rsidR="00E650A2">
              <w:rPr>
                <w:rFonts w:ascii="Arial" w:hAnsi="Arial" w:cs="Arial"/>
              </w:rPr>
              <w:t xml:space="preserve"> (cGVHD)</w:t>
            </w:r>
            <w:r w:rsidR="00D66AF4">
              <w:rPr>
                <w:rFonts w:ascii="Arial" w:hAnsi="Arial" w:cs="Arial"/>
              </w:rPr>
              <w:t xml:space="preserve"> is relatively common </w:t>
            </w:r>
            <w:r w:rsidR="00D66AF4">
              <w:rPr>
                <w:rFonts w:ascii="Arial" w:hAnsi="Arial" w:cs="Arial"/>
              </w:rPr>
              <w:lastRenderedPageBreak/>
              <w:t xml:space="preserve">following a transplant and more and more transplants are being </w:t>
            </w:r>
            <w:r w:rsidR="00E650A2">
              <w:rPr>
                <w:rFonts w:ascii="Arial" w:hAnsi="Arial" w:cs="Arial"/>
              </w:rPr>
              <w:t>done in clinical practice.</w:t>
            </w:r>
          </w:p>
          <w:p w14:paraId="33C462A4" w14:textId="7684A7DF" w:rsidR="00CD3014" w:rsidRDefault="004C1AB2" w:rsidP="00482716">
            <w:pPr>
              <w:pStyle w:val="ListParagraph"/>
              <w:numPr>
                <w:ilvl w:val="0"/>
                <w:numId w:val="35"/>
              </w:numPr>
              <w:rPr>
                <w:rFonts w:ascii="Arial" w:hAnsi="Arial" w:cs="Arial"/>
              </w:rPr>
            </w:pPr>
            <w:r>
              <w:rPr>
                <w:rFonts w:ascii="Arial" w:hAnsi="Arial" w:cs="Arial"/>
              </w:rPr>
              <w:t>There were 1,</w:t>
            </w:r>
            <w:r w:rsidR="001A2C08">
              <w:rPr>
                <w:rFonts w:ascii="Arial" w:hAnsi="Arial" w:cs="Arial"/>
              </w:rPr>
              <w:t>5</w:t>
            </w:r>
            <w:r w:rsidR="00FE6A29">
              <w:rPr>
                <w:rFonts w:ascii="Arial" w:hAnsi="Arial" w:cs="Arial"/>
              </w:rPr>
              <w:t>06</w:t>
            </w:r>
            <w:r>
              <w:rPr>
                <w:rFonts w:ascii="Arial" w:hAnsi="Arial" w:cs="Arial"/>
              </w:rPr>
              <w:t xml:space="preserve"> allografts in England in 20</w:t>
            </w:r>
            <w:r w:rsidR="009503E0">
              <w:rPr>
                <w:rFonts w:ascii="Arial" w:hAnsi="Arial" w:cs="Arial"/>
              </w:rPr>
              <w:t>19</w:t>
            </w:r>
            <w:r>
              <w:rPr>
                <w:rFonts w:ascii="Arial" w:hAnsi="Arial" w:cs="Arial"/>
              </w:rPr>
              <w:t>.</w:t>
            </w:r>
            <w:r w:rsidR="000D2CAD">
              <w:rPr>
                <w:rFonts w:ascii="Arial" w:hAnsi="Arial" w:cs="Arial"/>
                <w:vertAlign w:val="superscript"/>
              </w:rPr>
              <w:t>1</w:t>
            </w:r>
            <w:r>
              <w:rPr>
                <w:rFonts w:ascii="Arial" w:hAnsi="Arial" w:cs="Arial"/>
              </w:rPr>
              <w:t xml:space="preserve"> </w:t>
            </w:r>
            <w:r w:rsidR="00B30176">
              <w:rPr>
                <w:rFonts w:ascii="Arial" w:hAnsi="Arial" w:cs="Arial"/>
              </w:rPr>
              <w:t xml:space="preserve">We used the 2019 figures because during 2020 there were less transplants performed due to the COVID pandemic. </w:t>
            </w:r>
            <w:r w:rsidR="006A6B4D">
              <w:rPr>
                <w:rFonts w:ascii="Arial" w:hAnsi="Arial" w:cs="Arial"/>
              </w:rPr>
              <w:t xml:space="preserve">This figure includes adult and paediatric figures. </w:t>
            </w:r>
          </w:p>
          <w:p w14:paraId="3481B583" w14:textId="5A28FCF6" w:rsidR="006A6B4D" w:rsidRDefault="006A6B4D" w:rsidP="00482716">
            <w:pPr>
              <w:pStyle w:val="ListParagraph"/>
              <w:numPr>
                <w:ilvl w:val="0"/>
                <w:numId w:val="35"/>
              </w:numPr>
              <w:rPr>
                <w:rFonts w:ascii="Arial" w:hAnsi="Arial" w:cs="Arial"/>
              </w:rPr>
            </w:pPr>
            <w:r w:rsidRPr="006A6B4D">
              <w:rPr>
                <w:rFonts w:ascii="Arial" w:hAnsi="Arial" w:cs="Arial"/>
              </w:rPr>
              <w:t>Chronic GVHD is reported more commonly following adult allograft procedures. For malignant indications, it occurs at 33% in adults compared to 16% in the paediatric; for non-malignant indications, it occurs at 23% in adults and 12% in paediatrics</w:t>
            </w:r>
            <w:r w:rsidR="000D2CAD" w:rsidRPr="000D2CAD">
              <w:rPr>
                <w:rFonts w:ascii="Arial" w:hAnsi="Arial" w:cs="Arial"/>
                <w:vertAlign w:val="superscript"/>
              </w:rPr>
              <w:t>1</w:t>
            </w:r>
            <w:r w:rsidR="00150580">
              <w:rPr>
                <w:rFonts w:ascii="Arial" w:hAnsi="Arial" w:cs="Arial"/>
              </w:rPr>
              <w:t>.</w:t>
            </w:r>
          </w:p>
          <w:p w14:paraId="63ABC137" w14:textId="799A61DC" w:rsidR="000D3405" w:rsidRDefault="00E650A2" w:rsidP="00482716">
            <w:pPr>
              <w:pStyle w:val="ListParagraph"/>
              <w:numPr>
                <w:ilvl w:val="0"/>
                <w:numId w:val="35"/>
              </w:numPr>
              <w:rPr>
                <w:rFonts w:ascii="Arial" w:hAnsi="Arial" w:cs="Arial"/>
              </w:rPr>
            </w:pPr>
            <w:r>
              <w:rPr>
                <w:rFonts w:ascii="Arial" w:hAnsi="Arial" w:cs="Arial"/>
              </w:rPr>
              <w:t>T</w:t>
            </w:r>
            <w:r w:rsidR="00FE6A29">
              <w:rPr>
                <w:rFonts w:ascii="Arial" w:hAnsi="Arial" w:cs="Arial"/>
              </w:rPr>
              <w:t>his equates to 436 incident cases of cGVHD that year.</w:t>
            </w:r>
          </w:p>
          <w:p w14:paraId="4F626E5C" w14:textId="2818EE18" w:rsidR="001442B5" w:rsidRDefault="00D423CD" w:rsidP="00482716">
            <w:pPr>
              <w:pStyle w:val="ListParagraph"/>
              <w:numPr>
                <w:ilvl w:val="0"/>
                <w:numId w:val="35"/>
              </w:numPr>
              <w:rPr>
                <w:rFonts w:ascii="Arial" w:hAnsi="Arial" w:cs="Arial"/>
              </w:rPr>
            </w:pPr>
            <w:r>
              <w:rPr>
                <w:rFonts w:ascii="Arial" w:hAnsi="Arial" w:cs="Arial"/>
              </w:rPr>
              <w:t>F</w:t>
            </w:r>
            <w:r w:rsidR="001442B5">
              <w:rPr>
                <w:rFonts w:ascii="Arial" w:hAnsi="Arial" w:cs="Arial"/>
              </w:rPr>
              <w:t>ollowing the scoping workshop</w:t>
            </w:r>
            <w:r>
              <w:rPr>
                <w:rFonts w:ascii="Arial" w:hAnsi="Arial" w:cs="Arial"/>
              </w:rPr>
              <w:t xml:space="preserve"> clinical experts were contacted and asked</w:t>
            </w:r>
            <w:r w:rsidR="001442B5">
              <w:rPr>
                <w:rFonts w:ascii="Arial" w:hAnsi="Arial" w:cs="Arial"/>
              </w:rPr>
              <w:t xml:space="preserve"> if the incidence could be used to estimate prevalence. They suggested this was inappropriate. </w:t>
            </w:r>
          </w:p>
          <w:p w14:paraId="7C8F9BF1" w14:textId="52E3CF11" w:rsidR="00543806" w:rsidRPr="00F14C75" w:rsidRDefault="00427637" w:rsidP="00543806">
            <w:pPr>
              <w:pStyle w:val="ListParagraph"/>
              <w:numPr>
                <w:ilvl w:val="0"/>
                <w:numId w:val="39"/>
              </w:numPr>
              <w:rPr>
                <w:rFonts w:ascii="Arial" w:hAnsi="Arial" w:cs="Arial"/>
              </w:rPr>
            </w:pPr>
            <w:r>
              <w:rPr>
                <w:rFonts w:ascii="Arial" w:hAnsi="Arial" w:cs="Arial"/>
              </w:rPr>
              <w:t>In the absence of another source of evidence, t</w:t>
            </w:r>
            <w:r w:rsidR="00B00041">
              <w:rPr>
                <w:rFonts w:ascii="Arial" w:hAnsi="Arial" w:cs="Arial"/>
              </w:rPr>
              <w:t>o estimate prevalence the technical team assumed it was equal to incidence multiplied by disease duration</w:t>
            </w:r>
            <w:r w:rsidR="00543806">
              <w:rPr>
                <w:rFonts w:ascii="Arial" w:hAnsi="Arial" w:cs="Arial"/>
              </w:rPr>
              <w:t xml:space="preserve"> (</w:t>
            </w:r>
            <w:r w:rsidR="00543806" w:rsidRPr="00F14C75">
              <w:rPr>
                <w:rFonts w:ascii="Arial" w:hAnsi="Arial" w:cs="Arial"/>
              </w:rPr>
              <w:t xml:space="preserve">For this criterion </w:t>
            </w:r>
            <w:r w:rsidR="00543806">
              <w:rPr>
                <w:rFonts w:ascii="Arial" w:hAnsi="Arial" w:cs="Arial"/>
              </w:rPr>
              <w:t xml:space="preserve">we are looking at the </w:t>
            </w:r>
            <w:proofErr w:type="gramStart"/>
            <w:r w:rsidR="00543806">
              <w:rPr>
                <w:rFonts w:ascii="Arial" w:hAnsi="Arial" w:cs="Arial"/>
              </w:rPr>
              <w:t>condition as a whole</w:t>
            </w:r>
            <w:proofErr w:type="gramEnd"/>
            <w:r w:rsidR="00543806">
              <w:rPr>
                <w:rFonts w:ascii="Arial" w:hAnsi="Arial" w:cs="Arial"/>
              </w:rPr>
              <w:t xml:space="preserve">. This includes those with mild, </w:t>
            </w:r>
            <w:proofErr w:type="gramStart"/>
            <w:r w:rsidR="00543806">
              <w:rPr>
                <w:rFonts w:ascii="Arial" w:hAnsi="Arial" w:cs="Arial"/>
              </w:rPr>
              <w:t>moderate</w:t>
            </w:r>
            <w:proofErr w:type="gramEnd"/>
            <w:r w:rsidR="00543806">
              <w:rPr>
                <w:rFonts w:ascii="Arial" w:hAnsi="Arial" w:cs="Arial"/>
              </w:rPr>
              <w:t xml:space="preserve"> or severe cGVHD</w:t>
            </w:r>
            <w:r w:rsidR="0065637F">
              <w:rPr>
                <w:rFonts w:ascii="Arial" w:hAnsi="Arial" w:cs="Arial"/>
              </w:rPr>
              <w:t>)</w:t>
            </w:r>
            <w:r w:rsidR="00543806">
              <w:rPr>
                <w:rFonts w:ascii="Arial" w:hAnsi="Arial" w:cs="Arial"/>
              </w:rPr>
              <w:t xml:space="preserve">. We heard at the workshop that a good proportion of cases are mild and do not result in a reduction in overall survival. </w:t>
            </w:r>
          </w:p>
          <w:p w14:paraId="1F223CD8" w14:textId="12943DD1" w:rsidR="00BB6E74" w:rsidRDefault="00BB6E74" w:rsidP="00482716">
            <w:pPr>
              <w:pStyle w:val="ListParagraph"/>
              <w:numPr>
                <w:ilvl w:val="0"/>
                <w:numId w:val="35"/>
              </w:numPr>
              <w:rPr>
                <w:rFonts w:ascii="Arial" w:hAnsi="Arial" w:cs="Arial"/>
              </w:rPr>
            </w:pPr>
            <w:r>
              <w:rPr>
                <w:rFonts w:ascii="Arial" w:hAnsi="Arial" w:cs="Arial"/>
              </w:rPr>
              <w:t>A literature estimate for disease duration was 2 to 3</w:t>
            </w:r>
            <w:r w:rsidR="009503E0">
              <w:rPr>
                <w:rFonts w:ascii="Arial" w:hAnsi="Arial" w:cs="Arial"/>
              </w:rPr>
              <w:t>.5</w:t>
            </w:r>
            <w:r>
              <w:rPr>
                <w:rFonts w:ascii="Arial" w:hAnsi="Arial" w:cs="Arial"/>
              </w:rPr>
              <w:t xml:space="preserve"> years</w:t>
            </w:r>
            <w:proofErr w:type="gramStart"/>
            <w:r w:rsidR="000D2CAD" w:rsidRPr="000D2CAD">
              <w:rPr>
                <w:rFonts w:ascii="Arial" w:hAnsi="Arial" w:cs="Arial"/>
                <w:vertAlign w:val="superscript"/>
              </w:rPr>
              <w:t>2</w:t>
            </w:r>
            <w:r>
              <w:rPr>
                <w:rFonts w:ascii="Arial" w:hAnsi="Arial" w:cs="Arial"/>
              </w:rPr>
              <w:t xml:space="preserve"> </w:t>
            </w:r>
            <w:r w:rsidR="0042422E">
              <w:rPr>
                <w:rFonts w:ascii="Arial" w:hAnsi="Arial" w:cs="Arial"/>
              </w:rPr>
              <w:t>.</w:t>
            </w:r>
            <w:proofErr w:type="gramEnd"/>
            <w:r w:rsidR="0042422E">
              <w:rPr>
                <w:rFonts w:ascii="Arial" w:hAnsi="Arial" w:cs="Arial"/>
              </w:rPr>
              <w:t xml:space="preserve"> This estimate of treatment duration was confirmed by a clinical expert after the meeting to be an appropriate assumption. </w:t>
            </w:r>
          </w:p>
          <w:p w14:paraId="3CBD1C4F" w14:textId="77777777" w:rsidR="00BB6E74" w:rsidRPr="00BB6E74" w:rsidRDefault="00BB6E74" w:rsidP="00BB6E74">
            <w:pPr>
              <w:ind w:left="360"/>
              <w:rPr>
                <w:rFonts w:ascii="Arial" w:hAnsi="Arial" w:cs="Arial"/>
              </w:rPr>
            </w:pPr>
          </w:p>
          <w:p w14:paraId="19EBB013" w14:textId="65385B93" w:rsidR="00BB6E74" w:rsidRDefault="00BB6E74" w:rsidP="00BB6E74">
            <w:pPr>
              <w:pStyle w:val="BodyText"/>
              <w:spacing w:after="0"/>
              <w:rPr>
                <w:rFonts w:cs="Arial"/>
                <w:sz w:val="22"/>
                <w:szCs w:val="22"/>
                <w:lang w:val="en-GB"/>
              </w:rPr>
            </w:pPr>
            <w:r w:rsidRPr="00B60005">
              <w:rPr>
                <w:rFonts w:cs="Arial"/>
                <w:b/>
                <w:bCs/>
                <w:sz w:val="22"/>
                <w:szCs w:val="22"/>
                <w:lang w:val="en-GB"/>
              </w:rPr>
              <w:t>Number of people estimated to have cGVHD in England varied by duration of disease and % risk of developing disease</w:t>
            </w:r>
            <w:r>
              <w:rPr>
                <w:rFonts w:cs="Arial"/>
                <w:sz w:val="22"/>
                <w:szCs w:val="22"/>
                <w:lang w:val="en-GB"/>
              </w:rPr>
              <w:t>.</w:t>
            </w:r>
          </w:p>
          <w:p w14:paraId="3E1E103C" w14:textId="77777777" w:rsidR="00BB6E74" w:rsidRDefault="00BB6E74" w:rsidP="00BB6E74">
            <w:pPr>
              <w:pStyle w:val="BodyText"/>
              <w:spacing w:after="0"/>
              <w:ind w:left="720"/>
              <w:rPr>
                <w:rFonts w:cs="Arial"/>
                <w:sz w:val="22"/>
                <w:szCs w:val="22"/>
                <w:lang w:val="en-GB"/>
              </w:rPr>
            </w:pPr>
          </w:p>
          <w:tbl>
            <w:tblPr>
              <w:tblStyle w:val="TableGridLight"/>
              <w:tblW w:w="0" w:type="auto"/>
              <w:tblLook w:val="04A0" w:firstRow="1" w:lastRow="0" w:firstColumn="1" w:lastColumn="0" w:noHBand="0" w:noVBand="1"/>
            </w:tblPr>
            <w:tblGrid>
              <w:gridCol w:w="1818"/>
              <w:gridCol w:w="1389"/>
              <w:gridCol w:w="1389"/>
            </w:tblGrid>
            <w:tr w:rsidR="00BB6E74" w14:paraId="5D37E9C0" w14:textId="77777777" w:rsidTr="00FE6A29">
              <w:tc>
                <w:tcPr>
                  <w:tcW w:w="1818" w:type="dxa"/>
                </w:tcPr>
                <w:p w14:paraId="01CE88AC" w14:textId="4704431B" w:rsidR="00BB6E74" w:rsidRDefault="00BB6E74" w:rsidP="00BB6E74">
                  <w:pPr>
                    <w:pStyle w:val="BodyText"/>
                    <w:spacing w:after="0"/>
                    <w:rPr>
                      <w:rFonts w:cs="Arial"/>
                      <w:sz w:val="22"/>
                      <w:szCs w:val="22"/>
                      <w:lang w:val="en-GB"/>
                    </w:rPr>
                  </w:pPr>
                  <w:r>
                    <w:rPr>
                      <w:rFonts w:cs="Arial"/>
                      <w:sz w:val="22"/>
                      <w:szCs w:val="22"/>
                      <w:lang w:val="en-GB"/>
                    </w:rPr>
                    <w:t>Disease duration</w:t>
                  </w:r>
                </w:p>
              </w:tc>
              <w:tc>
                <w:tcPr>
                  <w:tcW w:w="1389" w:type="dxa"/>
                </w:tcPr>
                <w:p w14:paraId="6B5DD1B3" w14:textId="3FFAA026" w:rsidR="00BB6E74" w:rsidRDefault="00BB6E74" w:rsidP="00BB6E74">
                  <w:pPr>
                    <w:pStyle w:val="BodyText"/>
                    <w:spacing w:after="0"/>
                    <w:rPr>
                      <w:rFonts w:cs="Arial"/>
                      <w:sz w:val="22"/>
                      <w:szCs w:val="22"/>
                      <w:lang w:val="en-GB"/>
                    </w:rPr>
                  </w:pPr>
                  <w:r>
                    <w:rPr>
                      <w:rFonts w:cs="Arial"/>
                      <w:sz w:val="22"/>
                      <w:szCs w:val="22"/>
                      <w:lang w:val="en-GB"/>
                    </w:rPr>
                    <w:t>2 Years</w:t>
                  </w:r>
                </w:p>
              </w:tc>
              <w:tc>
                <w:tcPr>
                  <w:tcW w:w="1389" w:type="dxa"/>
                </w:tcPr>
                <w:p w14:paraId="0942A81C" w14:textId="565D1FC0" w:rsidR="00BB6E74" w:rsidRDefault="00BB6E74" w:rsidP="00BB6E74">
                  <w:pPr>
                    <w:pStyle w:val="BodyText"/>
                    <w:spacing w:after="0"/>
                    <w:rPr>
                      <w:rFonts w:cs="Arial"/>
                      <w:sz w:val="22"/>
                      <w:szCs w:val="22"/>
                      <w:lang w:val="en-GB"/>
                    </w:rPr>
                  </w:pPr>
                  <w:r>
                    <w:rPr>
                      <w:rFonts w:cs="Arial"/>
                      <w:sz w:val="22"/>
                      <w:szCs w:val="22"/>
                      <w:lang w:val="en-GB"/>
                    </w:rPr>
                    <w:t>3</w:t>
                  </w:r>
                  <w:r w:rsidR="000369CF">
                    <w:rPr>
                      <w:rFonts w:cs="Arial"/>
                      <w:sz w:val="22"/>
                      <w:szCs w:val="22"/>
                      <w:lang w:val="en-GB"/>
                    </w:rPr>
                    <w:t>.5</w:t>
                  </w:r>
                  <w:r>
                    <w:rPr>
                      <w:rFonts w:cs="Arial"/>
                      <w:sz w:val="22"/>
                      <w:szCs w:val="22"/>
                      <w:lang w:val="en-GB"/>
                    </w:rPr>
                    <w:t xml:space="preserve"> Years</w:t>
                  </w:r>
                </w:p>
              </w:tc>
            </w:tr>
            <w:tr w:rsidR="00BB6E74" w14:paraId="7AAF5E08" w14:textId="77777777" w:rsidTr="00FE6A29">
              <w:tc>
                <w:tcPr>
                  <w:tcW w:w="1818" w:type="dxa"/>
                </w:tcPr>
                <w:p w14:paraId="450F51B4" w14:textId="6034072D" w:rsidR="00BB6E74" w:rsidRDefault="00FE6A29" w:rsidP="00BB6E74">
                  <w:pPr>
                    <w:pStyle w:val="BodyText"/>
                    <w:spacing w:after="0"/>
                    <w:rPr>
                      <w:rFonts w:cs="Arial"/>
                      <w:sz w:val="22"/>
                      <w:szCs w:val="22"/>
                      <w:lang w:val="en-GB"/>
                    </w:rPr>
                  </w:pPr>
                  <w:r>
                    <w:rPr>
                      <w:rFonts w:cs="Arial"/>
                      <w:sz w:val="22"/>
                      <w:szCs w:val="22"/>
                      <w:lang w:val="en-GB"/>
                    </w:rPr>
                    <w:t>Prevalent cases</w:t>
                  </w:r>
                </w:p>
              </w:tc>
              <w:tc>
                <w:tcPr>
                  <w:tcW w:w="1389" w:type="dxa"/>
                </w:tcPr>
                <w:p w14:paraId="77BE2FE4" w14:textId="504939BB" w:rsidR="00BB6E74" w:rsidRDefault="00FE6A29" w:rsidP="00BB6E74">
                  <w:pPr>
                    <w:pStyle w:val="BodyText"/>
                    <w:spacing w:after="0"/>
                    <w:rPr>
                      <w:rFonts w:cs="Arial"/>
                      <w:sz w:val="22"/>
                      <w:szCs w:val="22"/>
                      <w:lang w:val="en-GB"/>
                    </w:rPr>
                  </w:pPr>
                  <w:r>
                    <w:rPr>
                      <w:rFonts w:cs="Arial"/>
                      <w:sz w:val="22"/>
                      <w:szCs w:val="22"/>
                      <w:lang w:val="en-GB"/>
                    </w:rPr>
                    <w:t>871</w:t>
                  </w:r>
                </w:p>
              </w:tc>
              <w:tc>
                <w:tcPr>
                  <w:tcW w:w="1389" w:type="dxa"/>
                </w:tcPr>
                <w:p w14:paraId="5640454C" w14:textId="5AAE6624" w:rsidR="00BB6E74" w:rsidRDefault="00407E28" w:rsidP="00BB6E74">
                  <w:pPr>
                    <w:pStyle w:val="BodyText"/>
                    <w:spacing w:after="0"/>
                    <w:rPr>
                      <w:rFonts w:cs="Arial"/>
                      <w:sz w:val="22"/>
                      <w:szCs w:val="22"/>
                      <w:lang w:val="en-GB"/>
                    </w:rPr>
                  </w:pPr>
                  <w:r>
                    <w:rPr>
                      <w:rFonts w:cs="Arial"/>
                      <w:sz w:val="22"/>
                      <w:szCs w:val="22"/>
                      <w:lang w:val="en-GB"/>
                    </w:rPr>
                    <w:t>15</w:t>
                  </w:r>
                  <w:r w:rsidR="00FE6A29">
                    <w:rPr>
                      <w:rFonts w:cs="Arial"/>
                      <w:sz w:val="22"/>
                      <w:szCs w:val="22"/>
                      <w:lang w:val="en-GB"/>
                    </w:rPr>
                    <w:t>25</w:t>
                  </w:r>
                </w:p>
              </w:tc>
            </w:tr>
          </w:tbl>
          <w:p w14:paraId="5978781A" w14:textId="7DA45AA7" w:rsidR="00BB6E74" w:rsidRDefault="00BB6E74" w:rsidP="00BB6E74">
            <w:pPr>
              <w:rPr>
                <w:rFonts w:ascii="Arial" w:hAnsi="Arial" w:cs="Arial"/>
              </w:rPr>
            </w:pPr>
          </w:p>
          <w:p w14:paraId="344CA745" w14:textId="24751CE7" w:rsidR="00427637" w:rsidRPr="00CC45D3" w:rsidRDefault="00A332A3" w:rsidP="005B6EFD">
            <w:pPr>
              <w:pStyle w:val="ListParagraph"/>
              <w:numPr>
                <w:ilvl w:val="0"/>
                <w:numId w:val="39"/>
              </w:numPr>
              <w:rPr>
                <w:rFonts w:ascii="Arial" w:hAnsi="Arial" w:cs="Arial"/>
                <w:i/>
                <w:iCs/>
              </w:rPr>
            </w:pPr>
            <w:r>
              <w:rPr>
                <w:rFonts w:ascii="Arial" w:hAnsi="Arial" w:cs="Arial"/>
              </w:rPr>
              <w:t xml:space="preserve">The </w:t>
            </w:r>
            <w:r w:rsidR="00BB6E74" w:rsidRPr="005B6EFD">
              <w:rPr>
                <w:rFonts w:ascii="Arial" w:hAnsi="Arial" w:cs="Arial"/>
              </w:rPr>
              <w:t xml:space="preserve">range of prevalent cases is </w:t>
            </w:r>
            <w:r>
              <w:rPr>
                <w:rFonts w:ascii="Arial" w:hAnsi="Arial" w:cs="Arial"/>
              </w:rPr>
              <w:t xml:space="preserve">approximately </w:t>
            </w:r>
            <w:r w:rsidR="00FE6A29" w:rsidRPr="005B6EFD">
              <w:rPr>
                <w:rFonts w:ascii="Arial" w:hAnsi="Arial" w:cs="Arial"/>
              </w:rPr>
              <w:t>871</w:t>
            </w:r>
            <w:r w:rsidR="00BB6E74" w:rsidRPr="005B6EFD">
              <w:rPr>
                <w:rFonts w:ascii="Arial" w:hAnsi="Arial" w:cs="Arial"/>
              </w:rPr>
              <w:t xml:space="preserve"> </w:t>
            </w:r>
            <w:r w:rsidR="003A4684" w:rsidRPr="005B6EFD">
              <w:rPr>
                <w:rFonts w:ascii="Arial" w:hAnsi="Arial" w:cs="Arial"/>
              </w:rPr>
              <w:t xml:space="preserve">to </w:t>
            </w:r>
            <w:r w:rsidR="00FE6A29" w:rsidRPr="005B6EFD">
              <w:rPr>
                <w:rFonts w:ascii="Arial" w:hAnsi="Arial" w:cs="Arial"/>
              </w:rPr>
              <w:t>1525</w:t>
            </w:r>
            <w:r w:rsidR="00427637">
              <w:rPr>
                <w:rFonts w:ascii="Arial" w:hAnsi="Arial" w:cs="Arial"/>
              </w:rPr>
              <w:t>. However, this estimate is highly uncertain, and includes people under 12 years old (not included in the marketing authorisation</w:t>
            </w:r>
            <w:r>
              <w:rPr>
                <w:rFonts w:ascii="Arial" w:hAnsi="Arial" w:cs="Arial"/>
              </w:rPr>
              <w:t>)</w:t>
            </w:r>
            <w:r w:rsidR="00427637">
              <w:rPr>
                <w:rFonts w:ascii="Arial" w:hAnsi="Arial" w:cs="Arial"/>
              </w:rPr>
              <w:t>.</w:t>
            </w:r>
          </w:p>
          <w:p w14:paraId="7DA65A5F" w14:textId="1B0AA273" w:rsidR="00BC3A15" w:rsidRPr="00A7164D" w:rsidRDefault="00427637" w:rsidP="005B6EFD">
            <w:pPr>
              <w:pStyle w:val="ListParagraph"/>
              <w:numPr>
                <w:ilvl w:val="0"/>
                <w:numId w:val="39"/>
              </w:numPr>
              <w:rPr>
                <w:rFonts w:ascii="Arial" w:hAnsi="Arial" w:cs="Arial"/>
                <w:i/>
                <w:iCs/>
              </w:rPr>
            </w:pPr>
            <w:r>
              <w:rPr>
                <w:rFonts w:ascii="Arial" w:hAnsi="Arial" w:cs="Arial"/>
              </w:rPr>
              <w:t xml:space="preserve">On balance, given the </w:t>
            </w:r>
            <w:r w:rsidR="00A332A3">
              <w:rPr>
                <w:rFonts w:ascii="Arial" w:hAnsi="Arial" w:cs="Arial"/>
              </w:rPr>
              <w:t xml:space="preserve">clear </w:t>
            </w:r>
            <w:r>
              <w:rPr>
                <w:rFonts w:ascii="Arial" w:hAnsi="Arial" w:cs="Arial"/>
              </w:rPr>
              <w:t xml:space="preserve">clinical expert opinion, and estimates available </w:t>
            </w:r>
            <w:proofErr w:type="gramStart"/>
            <w:r w:rsidR="00A7164D" w:rsidRPr="005B6EFD">
              <w:rPr>
                <w:rFonts w:ascii="Arial" w:hAnsi="Arial" w:cs="Arial"/>
              </w:rPr>
              <w:t>this criteria</w:t>
            </w:r>
            <w:proofErr w:type="gramEnd"/>
            <w:r w:rsidR="00A7164D" w:rsidRPr="005B6EFD">
              <w:rPr>
                <w:rFonts w:ascii="Arial" w:hAnsi="Arial" w:cs="Arial"/>
              </w:rPr>
              <w:t xml:space="preserve"> is not </w:t>
            </w:r>
            <w:r w:rsidR="007E1910">
              <w:rPr>
                <w:rFonts w:ascii="Arial" w:hAnsi="Arial" w:cs="Arial"/>
              </w:rPr>
              <w:t>clearly</w:t>
            </w:r>
            <w:r w:rsidR="007E1910" w:rsidRPr="005B6EFD">
              <w:rPr>
                <w:rFonts w:ascii="Arial" w:hAnsi="Arial" w:cs="Arial"/>
              </w:rPr>
              <w:t xml:space="preserve"> </w:t>
            </w:r>
            <w:r w:rsidR="00A7164D" w:rsidRPr="005B6EFD">
              <w:rPr>
                <w:rFonts w:ascii="Arial" w:hAnsi="Arial" w:cs="Arial"/>
              </w:rPr>
              <w:t>met.</w:t>
            </w:r>
          </w:p>
        </w:tc>
        <w:tc>
          <w:tcPr>
            <w:tcW w:w="630" w:type="pct"/>
            <w:tcBorders>
              <w:top w:val="nil"/>
              <w:left w:val="single" w:sz="8" w:space="0" w:color="auto"/>
              <w:bottom w:val="single" w:sz="8" w:space="0" w:color="auto"/>
              <w:right w:val="single" w:sz="8" w:space="0" w:color="auto"/>
            </w:tcBorders>
            <w:shd w:val="clear" w:color="auto" w:fill="FF0000"/>
          </w:tcPr>
          <w:p w14:paraId="7FF2F18F" w14:textId="02340CCC" w:rsidR="000D3405" w:rsidRDefault="00A7164D" w:rsidP="00D71447">
            <w:pPr>
              <w:ind w:left="288" w:right="188"/>
              <w:rPr>
                <w:rFonts w:ascii="Arial" w:hAnsi="Arial" w:cs="Arial"/>
              </w:rPr>
            </w:pPr>
            <w:r>
              <w:rPr>
                <w:rFonts w:ascii="Arial" w:hAnsi="Arial" w:cs="Arial"/>
              </w:rPr>
              <w:lastRenderedPageBreak/>
              <w:t>Not met</w:t>
            </w:r>
          </w:p>
          <w:p w14:paraId="4A35B2B7" w14:textId="3B59D2A6" w:rsidR="00D71447" w:rsidRPr="00EF3DC0" w:rsidRDefault="00D71447" w:rsidP="00D71447">
            <w:pPr>
              <w:ind w:left="288" w:right="188"/>
              <w:rPr>
                <w:rFonts w:ascii="Arial" w:hAnsi="Arial" w:cs="Arial"/>
                <w:b/>
                <w:bCs/>
              </w:rPr>
            </w:pPr>
          </w:p>
        </w:tc>
      </w:tr>
      <w:tr w:rsidR="000D3405" w:rsidRPr="00C9475C" w14:paraId="6BCC6689" w14:textId="0915F44B" w:rsidTr="00D87E6E">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1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0D3405">
            <w:pPr>
              <w:rPr>
                <w:rFonts w:ascii="Arial" w:hAnsi="Arial" w:cs="Arial"/>
              </w:rPr>
            </w:pPr>
          </w:p>
        </w:tc>
        <w:tc>
          <w:tcPr>
            <w:tcW w:w="2797" w:type="pct"/>
            <w:tcBorders>
              <w:top w:val="nil"/>
              <w:left w:val="single" w:sz="8" w:space="0" w:color="auto"/>
              <w:bottom w:val="single" w:sz="8" w:space="0" w:color="auto"/>
              <w:right w:val="single" w:sz="8" w:space="0" w:color="auto"/>
            </w:tcBorders>
          </w:tcPr>
          <w:p w14:paraId="1162E36C" w14:textId="48DE2D97" w:rsidR="00CD3014" w:rsidRDefault="00A7164D" w:rsidP="00CD3014">
            <w:pPr>
              <w:pStyle w:val="ListParagraph"/>
              <w:numPr>
                <w:ilvl w:val="0"/>
                <w:numId w:val="35"/>
              </w:numPr>
              <w:rPr>
                <w:rFonts w:ascii="Arial" w:hAnsi="Arial" w:cs="Arial"/>
              </w:rPr>
            </w:pPr>
            <w:r>
              <w:rPr>
                <w:rFonts w:ascii="Arial" w:hAnsi="Arial" w:cs="Arial"/>
              </w:rPr>
              <w:t xml:space="preserve">Belumosudil is indicated for the treatment of patients 12 years and older with chronic graft-versus-host disease (chronic GVHD) after failure of at least two prior lines of systemic therapy. </w:t>
            </w:r>
          </w:p>
          <w:p w14:paraId="3AB58E1B" w14:textId="0D7AF2CF" w:rsidR="00A7164D" w:rsidRDefault="00A7164D" w:rsidP="00A7164D">
            <w:pPr>
              <w:pStyle w:val="ListParagraph"/>
              <w:numPr>
                <w:ilvl w:val="0"/>
                <w:numId w:val="35"/>
              </w:numPr>
              <w:rPr>
                <w:rFonts w:ascii="Arial" w:hAnsi="Arial" w:cs="Arial"/>
              </w:rPr>
            </w:pPr>
            <w:r>
              <w:rPr>
                <w:rFonts w:ascii="Arial" w:hAnsi="Arial" w:cs="Arial"/>
              </w:rPr>
              <w:t>Belumosudil only has a licence for cGVHD</w:t>
            </w:r>
          </w:p>
          <w:p w14:paraId="0BC25607" w14:textId="3C215D27" w:rsidR="00BC3A15" w:rsidRPr="00A64BEB" w:rsidRDefault="00A7164D" w:rsidP="00611C0E">
            <w:pPr>
              <w:pStyle w:val="ListParagraph"/>
              <w:numPr>
                <w:ilvl w:val="0"/>
                <w:numId w:val="35"/>
              </w:numPr>
              <w:rPr>
                <w:rFonts w:ascii="Arial" w:hAnsi="Arial" w:cs="Arial"/>
              </w:rPr>
            </w:pPr>
            <w:r w:rsidRPr="00A64BEB">
              <w:rPr>
                <w:rFonts w:ascii="Arial" w:hAnsi="Arial" w:cs="Arial"/>
              </w:rPr>
              <w:t xml:space="preserve">Clinical experts at the scoping workshop stated that those with extensive or moderate to severe cGVHD are those likely to require second and subsequent lines of systemic treatment. </w:t>
            </w:r>
          </w:p>
          <w:p w14:paraId="484D61EE" w14:textId="69B185C3" w:rsidR="00B372AA" w:rsidRDefault="00B372AA" w:rsidP="00B372AA">
            <w:pPr>
              <w:pStyle w:val="ListParagraph"/>
              <w:numPr>
                <w:ilvl w:val="0"/>
                <w:numId w:val="41"/>
              </w:numPr>
              <w:rPr>
                <w:rFonts w:ascii="Arial" w:hAnsi="Arial" w:cs="Arial"/>
              </w:rPr>
            </w:pPr>
            <w:r>
              <w:rPr>
                <w:rFonts w:ascii="Arial" w:hAnsi="Arial" w:cs="Arial"/>
              </w:rPr>
              <w:t xml:space="preserve">A clinician at the scoping workshop advised that </w:t>
            </w:r>
            <w:r w:rsidR="00430C69">
              <w:rPr>
                <w:rFonts w:ascii="Arial" w:hAnsi="Arial" w:cs="Arial"/>
              </w:rPr>
              <w:t>obtaining</w:t>
            </w:r>
            <w:r w:rsidR="00395E2A">
              <w:rPr>
                <w:rFonts w:ascii="Arial" w:hAnsi="Arial" w:cs="Arial"/>
              </w:rPr>
              <w:t xml:space="preserve"> the number of </w:t>
            </w:r>
            <w:r>
              <w:rPr>
                <w:rFonts w:ascii="Arial" w:hAnsi="Arial" w:cs="Arial"/>
              </w:rPr>
              <w:t xml:space="preserve">patients </w:t>
            </w:r>
            <w:r w:rsidR="00395E2A">
              <w:rPr>
                <w:rFonts w:ascii="Arial" w:hAnsi="Arial" w:cs="Arial"/>
              </w:rPr>
              <w:t>who had</w:t>
            </w:r>
            <w:r>
              <w:rPr>
                <w:rFonts w:ascii="Arial" w:hAnsi="Arial" w:cs="Arial"/>
              </w:rPr>
              <w:t xml:space="preserve"> ruxolitinib during the Covid-19 pandemic (when it was permitted as an interim treatment) </w:t>
            </w:r>
            <w:r w:rsidR="00395E2A">
              <w:rPr>
                <w:rFonts w:ascii="Arial" w:hAnsi="Arial" w:cs="Arial"/>
              </w:rPr>
              <w:t>could give a</w:t>
            </w:r>
            <w:r w:rsidR="00430C69">
              <w:rPr>
                <w:rFonts w:ascii="Arial" w:hAnsi="Arial" w:cs="Arial"/>
              </w:rPr>
              <w:t>n estimation of</w:t>
            </w:r>
            <w:r>
              <w:rPr>
                <w:rFonts w:ascii="Arial" w:hAnsi="Arial" w:cs="Arial"/>
              </w:rPr>
              <w:t xml:space="preserve"> how many would be eligible for belumosudil. NHSE confirmed that </w:t>
            </w:r>
            <w:r w:rsidR="003D5D77" w:rsidRPr="003D5D77">
              <w:rPr>
                <w:rFonts w:ascii="Arial" w:hAnsi="Arial" w:cs="Arial"/>
                <w:highlight w:val="black"/>
                <w:u w:val="single"/>
              </w:rPr>
              <w:t>xxx</w:t>
            </w:r>
            <w:r>
              <w:rPr>
                <w:rFonts w:ascii="Arial" w:hAnsi="Arial" w:cs="Arial"/>
              </w:rPr>
              <w:t xml:space="preserve"> people received ruxolitinib in 2021</w:t>
            </w:r>
            <w:r w:rsidR="00AA7684">
              <w:rPr>
                <w:rFonts w:ascii="Arial" w:hAnsi="Arial" w:cs="Arial"/>
              </w:rPr>
              <w:t xml:space="preserve"> although as noted in criteria 1 it could be considered an underestimate because </w:t>
            </w:r>
            <w:r w:rsidR="008E1812">
              <w:rPr>
                <w:rFonts w:ascii="Arial" w:hAnsi="Arial" w:cs="Arial"/>
              </w:rPr>
              <w:t>there were fewer transplants taking place due to the COVID pandemic</w:t>
            </w:r>
            <w:r w:rsidR="00D423CD">
              <w:rPr>
                <w:rFonts w:ascii="Arial" w:hAnsi="Arial" w:cs="Arial"/>
              </w:rPr>
              <w:t>.</w:t>
            </w:r>
          </w:p>
          <w:p w14:paraId="4C6F7AF2" w14:textId="38FD5026" w:rsidR="001152D9" w:rsidRPr="00B372AA" w:rsidRDefault="00A64BEB" w:rsidP="005617C6">
            <w:pPr>
              <w:pStyle w:val="ListParagraph"/>
              <w:numPr>
                <w:ilvl w:val="0"/>
                <w:numId w:val="41"/>
              </w:numPr>
              <w:rPr>
                <w:rFonts w:ascii="Arial" w:hAnsi="Arial" w:cs="Arial"/>
              </w:rPr>
            </w:pPr>
            <w:r>
              <w:rPr>
                <w:rFonts w:ascii="Arial" w:hAnsi="Arial" w:cs="Arial"/>
              </w:rPr>
              <w:t>A clinical expert was consulted following the workshop who confirmed the number of patients eligible in England for treatment with belumosudil is likely to be below 300. This is consistent with the figures obtained by NHSE</w:t>
            </w:r>
            <w:r w:rsidR="00E43D62">
              <w:rPr>
                <w:rFonts w:ascii="Arial" w:hAnsi="Arial" w:cs="Arial"/>
              </w:rPr>
              <w:t>.</w:t>
            </w:r>
            <w:r>
              <w:rPr>
                <w:rFonts w:ascii="Arial" w:hAnsi="Arial" w:cs="Arial"/>
              </w:rPr>
              <w:t xml:space="preserve"> </w:t>
            </w:r>
            <w:r w:rsidR="00C95BFF">
              <w:rPr>
                <w:rFonts w:ascii="Arial" w:hAnsi="Arial" w:cs="Arial"/>
              </w:rPr>
              <w:t>T</w:t>
            </w:r>
            <w:r>
              <w:rPr>
                <w:rFonts w:ascii="Arial" w:hAnsi="Arial" w:cs="Arial"/>
              </w:rPr>
              <w:t xml:space="preserve">his criterion is met. </w:t>
            </w:r>
          </w:p>
        </w:tc>
        <w:tc>
          <w:tcPr>
            <w:tcW w:w="630" w:type="pct"/>
            <w:tcBorders>
              <w:top w:val="nil"/>
              <w:left w:val="single" w:sz="8" w:space="0" w:color="auto"/>
              <w:bottom w:val="single" w:sz="8" w:space="0" w:color="auto"/>
              <w:right w:val="single" w:sz="8" w:space="0" w:color="auto"/>
            </w:tcBorders>
            <w:shd w:val="clear" w:color="auto" w:fill="00B050"/>
          </w:tcPr>
          <w:p w14:paraId="3E2C7EBA" w14:textId="3D482A50" w:rsidR="00D71447" w:rsidRDefault="00D87E6E" w:rsidP="00D71447">
            <w:pPr>
              <w:ind w:left="288" w:right="188"/>
              <w:rPr>
                <w:rFonts w:ascii="Arial" w:hAnsi="Arial" w:cs="Arial"/>
              </w:rPr>
            </w:pPr>
            <w:r>
              <w:rPr>
                <w:rFonts w:ascii="Arial" w:hAnsi="Arial" w:cs="Arial"/>
              </w:rPr>
              <w:t>M</w:t>
            </w:r>
            <w:r w:rsidR="00D71447" w:rsidRPr="00D71447">
              <w:rPr>
                <w:rFonts w:ascii="Arial" w:hAnsi="Arial" w:cs="Arial"/>
              </w:rPr>
              <w:t>et</w:t>
            </w:r>
          </w:p>
          <w:p w14:paraId="2A49A49C" w14:textId="77777777" w:rsidR="000D3405" w:rsidRPr="00EF3DC0" w:rsidRDefault="000D3405" w:rsidP="00D71447">
            <w:pPr>
              <w:ind w:left="288" w:right="188"/>
              <w:rPr>
                <w:rFonts w:ascii="Arial" w:hAnsi="Arial" w:cs="Arial"/>
                <w:b/>
                <w:bCs/>
              </w:rPr>
            </w:pPr>
          </w:p>
        </w:tc>
      </w:tr>
      <w:tr w:rsidR="000D3405" w:rsidRPr="00C9475C" w14:paraId="7C095163" w14:textId="663CB376" w:rsidTr="001F0546">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1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5894D" w14:textId="4B48F90F" w:rsidR="000D3405" w:rsidRPr="00D71447" w:rsidRDefault="00CB7A88" w:rsidP="00742AF3">
            <w:pPr>
              <w:rPr>
                <w:rFonts w:ascii="Arial" w:hAnsi="Arial" w:cs="Arial"/>
              </w:rPr>
            </w:pPr>
            <w:r w:rsidRPr="00CB7A88">
              <w:rPr>
                <w:rFonts w:ascii="Arial" w:hAnsi="Arial" w:cs="Arial"/>
              </w:rPr>
              <w:t xml:space="preserve">The very rare disease for which the technology is indicated significantly shortens life or severely impairs quality of life </w:t>
            </w:r>
          </w:p>
        </w:tc>
        <w:tc>
          <w:tcPr>
            <w:tcW w:w="2797" w:type="pct"/>
            <w:tcBorders>
              <w:top w:val="nil"/>
              <w:left w:val="single" w:sz="8" w:space="0" w:color="auto"/>
              <w:bottom w:val="single" w:sz="8" w:space="0" w:color="auto"/>
              <w:right w:val="single" w:sz="8" w:space="0" w:color="auto"/>
            </w:tcBorders>
          </w:tcPr>
          <w:p w14:paraId="5400CEF0" w14:textId="64DCCBBB" w:rsidR="001F0546" w:rsidRPr="001F0546" w:rsidRDefault="001F0546" w:rsidP="001F0546">
            <w:pPr>
              <w:pStyle w:val="ListParagraph"/>
              <w:numPr>
                <w:ilvl w:val="0"/>
                <w:numId w:val="42"/>
              </w:numPr>
              <w:rPr>
                <w:rFonts w:ascii="Arial" w:eastAsia="Times New Roman" w:hAnsi="Arial" w:cs="Arial"/>
                <w:lang w:val="en-US"/>
              </w:rPr>
            </w:pPr>
            <w:r w:rsidRPr="001F0546">
              <w:rPr>
                <w:rFonts w:ascii="Arial" w:eastAsia="Times New Roman" w:hAnsi="Arial" w:cs="Arial"/>
                <w:lang w:val="en-US"/>
              </w:rPr>
              <w:t>Overall survival at 1 year for the condition is approximately 66-94% and survival at 4 years is 53-71%.</w:t>
            </w:r>
            <w:r w:rsidR="00DA4577">
              <w:rPr>
                <w:rFonts w:ascii="Arial" w:eastAsia="Times New Roman" w:hAnsi="Arial" w:cs="Arial"/>
                <w:vertAlign w:val="superscript"/>
                <w:lang w:val="en-US"/>
              </w:rPr>
              <w:t>4</w:t>
            </w:r>
          </w:p>
          <w:p w14:paraId="5E8C5BA6" w14:textId="290DB36E" w:rsidR="001F0546" w:rsidRPr="001F0546" w:rsidRDefault="000E1AE0" w:rsidP="00CD3014">
            <w:pPr>
              <w:pStyle w:val="ListParagraph"/>
              <w:numPr>
                <w:ilvl w:val="0"/>
                <w:numId w:val="35"/>
              </w:numPr>
              <w:rPr>
                <w:rFonts w:ascii="Arial" w:hAnsi="Arial" w:cs="Arial"/>
              </w:rPr>
            </w:pPr>
            <w:r>
              <w:rPr>
                <w:rFonts w:ascii="Arial" w:eastAsia="Times New Roman" w:hAnsi="Arial" w:cs="Arial"/>
              </w:rPr>
              <w:t xml:space="preserve">We heard at the scoping workshop that many cases </w:t>
            </w:r>
            <w:r w:rsidR="001F0546" w:rsidRPr="001F0546">
              <w:rPr>
                <w:rFonts w:ascii="Arial" w:eastAsia="Times New Roman" w:hAnsi="Arial" w:cs="Arial"/>
              </w:rPr>
              <w:t>present with mild disease which may resolve with topical or limited systemic treatment</w:t>
            </w:r>
            <w:r w:rsidR="001F0546">
              <w:rPr>
                <w:rFonts w:ascii="Arial" w:eastAsia="Times New Roman" w:hAnsi="Arial" w:cs="Arial"/>
              </w:rPr>
              <w:t>.</w:t>
            </w:r>
            <w:r w:rsidR="00DA4577" w:rsidRPr="00DA4577">
              <w:rPr>
                <w:rFonts w:ascii="Arial" w:eastAsia="Times New Roman" w:hAnsi="Arial" w:cs="Arial"/>
                <w:vertAlign w:val="superscript"/>
              </w:rPr>
              <w:t>5,6</w:t>
            </w:r>
            <w:r w:rsidR="001F0546" w:rsidRPr="001F0546">
              <w:rPr>
                <w:rFonts w:ascii="Arial" w:eastAsia="Times New Roman" w:hAnsi="Arial" w:cs="Arial"/>
              </w:rPr>
              <w:t xml:space="preserve"> </w:t>
            </w:r>
          </w:p>
          <w:p w14:paraId="12D121C6" w14:textId="0206E38F" w:rsidR="00BC3A15" w:rsidRPr="00CD3014" w:rsidRDefault="00784F09" w:rsidP="00FD7429">
            <w:pPr>
              <w:pStyle w:val="ListParagraph"/>
              <w:numPr>
                <w:ilvl w:val="0"/>
                <w:numId w:val="35"/>
              </w:numPr>
              <w:rPr>
                <w:rFonts w:ascii="Arial" w:hAnsi="Arial" w:cs="Arial"/>
              </w:rPr>
            </w:pPr>
            <w:r>
              <w:rPr>
                <w:rFonts w:ascii="Arial" w:hAnsi="Arial" w:cs="Arial"/>
              </w:rPr>
              <w:lastRenderedPageBreak/>
              <w:t>Whilst the disease can impair quality of life</w:t>
            </w:r>
            <w:r w:rsidR="000E1AE0">
              <w:rPr>
                <w:rFonts w:ascii="Arial" w:hAnsi="Arial" w:cs="Arial"/>
              </w:rPr>
              <w:t xml:space="preserve">, in </w:t>
            </w:r>
            <w:proofErr w:type="gramStart"/>
            <w:r w:rsidR="000E1AE0">
              <w:rPr>
                <w:rFonts w:ascii="Arial" w:hAnsi="Arial" w:cs="Arial"/>
              </w:rPr>
              <w:t>the majority of</w:t>
            </w:r>
            <w:proofErr w:type="gramEnd"/>
            <w:r w:rsidR="000E1AE0">
              <w:rPr>
                <w:rFonts w:ascii="Arial" w:hAnsi="Arial" w:cs="Arial"/>
              </w:rPr>
              <w:t xml:space="preserve"> cases</w:t>
            </w:r>
            <w:r>
              <w:rPr>
                <w:rFonts w:ascii="Arial" w:hAnsi="Arial" w:cs="Arial"/>
              </w:rPr>
              <w:t xml:space="preserve"> it does not lead to a significant </w:t>
            </w:r>
            <w:r w:rsidR="000E1AE0">
              <w:rPr>
                <w:rFonts w:ascii="Arial" w:hAnsi="Arial" w:cs="Arial"/>
              </w:rPr>
              <w:t xml:space="preserve">shortening of life. </w:t>
            </w:r>
            <w:r w:rsidR="00D423CD">
              <w:rPr>
                <w:rFonts w:ascii="Arial" w:hAnsi="Arial" w:cs="Arial"/>
              </w:rPr>
              <w:t>This criterion</w:t>
            </w:r>
            <w:r w:rsidR="000E1AE0">
              <w:rPr>
                <w:rFonts w:ascii="Arial" w:hAnsi="Arial" w:cs="Arial"/>
              </w:rPr>
              <w:t xml:space="preserve"> is not met. </w:t>
            </w:r>
          </w:p>
        </w:tc>
        <w:tc>
          <w:tcPr>
            <w:tcW w:w="630" w:type="pct"/>
            <w:tcBorders>
              <w:top w:val="nil"/>
              <w:left w:val="single" w:sz="8" w:space="0" w:color="auto"/>
              <w:bottom w:val="single" w:sz="8" w:space="0" w:color="auto"/>
              <w:right w:val="single" w:sz="8" w:space="0" w:color="auto"/>
            </w:tcBorders>
            <w:shd w:val="clear" w:color="auto" w:fill="FF0000"/>
          </w:tcPr>
          <w:p w14:paraId="010FB16E" w14:textId="77777777" w:rsidR="00D71447" w:rsidRDefault="00D71447" w:rsidP="00D71447">
            <w:pPr>
              <w:ind w:left="288" w:right="188"/>
              <w:rPr>
                <w:rFonts w:ascii="Arial" w:hAnsi="Arial" w:cs="Arial"/>
              </w:rPr>
            </w:pPr>
            <w:r w:rsidRPr="00D71447">
              <w:rPr>
                <w:rFonts w:ascii="Arial" w:hAnsi="Arial" w:cs="Arial"/>
              </w:rPr>
              <w:lastRenderedPageBreak/>
              <w:t>Not met</w:t>
            </w:r>
          </w:p>
          <w:p w14:paraId="41BD97F3" w14:textId="77777777" w:rsidR="000D3405" w:rsidRPr="00EF3DC0" w:rsidRDefault="000D3405" w:rsidP="00D71447">
            <w:pPr>
              <w:ind w:left="288" w:right="188"/>
              <w:rPr>
                <w:rFonts w:ascii="Arial" w:hAnsi="Arial" w:cs="Arial"/>
                <w:b/>
                <w:bCs/>
              </w:rPr>
            </w:pPr>
          </w:p>
        </w:tc>
      </w:tr>
      <w:tr w:rsidR="000D3405" w:rsidRPr="00C9475C" w14:paraId="3926C63E" w14:textId="217B1634" w:rsidTr="00BF05D3">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742AF3">
            <w:pPr>
              <w:rPr>
                <w:rFonts w:ascii="Arial" w:hAnsi="Arial" w:cs="Arial"/>
              </w:rPr>
            </w:pPr>
          </w:p>
          <w:p w14:paraId="37761BB2" w14:textId="77777777" w:rsidR="000D3405" w:rsidRPr="00D71447" w:rsidRDefault="000D3405" w:rsidP="00742AF3">
            <w:pPr>
              <w:rPr>
                <w:rFonts w:ascii="Arial" w:hAnsi="Arial" w:cs="Arial"/>
              </w:rPr>
            </w:pPr>
          </w:p>
        </w:tc>
        <w:tc>
          <w:tcPr>
            <w:tcW w:w="2797" w:type="pct"/>
            <w:tcBorders>
              <w:top w:val="nil"/>
              <w:left w:val="single" w:sz="8" w:space="0" w:color="auto"/>
              <w:bottom w:val="single" w:sz="8" w:space="0" w:color="auto"/>
              <w:right w:val="single" w:sz="8" w:space="0" w:color="auto"/>
            </w:tcBorders>
          </w:tcPr>
          <w:p w14:paraId="16BD6669" w14:textId="11C068FB" w:rsidR="001F0546" w:rsidRPr="00FB55E5" w:rsidRDefault="001F0546" w:rsidP="009479B2">
            <w:pPr>
              <w:pStyle w:val="ListParagraph"/>
              <w:numPr>
                <w:ilvl w:val="0"/>
                <w:numId w:val="35"/>
              </w:numPr>
              <w:rPr>
                <w:rFonts w:ascii="Arial" w:hAnsi="Arial" w:cs="Arial"/>
              </w:rPr>
            </w:pPr>
            <w:r w:rsidRPr="00FB55E5">
              <w:rPr>
                <w:rFonts w:ascii="Arial" w:hAnsi="Arial" w:cs="Arial"/>
              </w:rPr>
              <w:t xml:space="preserve">There are no licensed or NICE approved therapies </w:t>
            </w:r>
            <w:r w:rsidR="00CA328A">
              <w:rPr>
                <w:rFonts w:ascii="Arial" w:hAnsi="Arial" w:cs="Arial"/>
              </w:rPr>
              <w:t xml:space="preserve">routinely used </w:t>
            </w:r>
            <w:r w:rsidRPr="00FB55E5">
              <w:rPr>
                <w:rFonts w:ascii="Arial" w:hAnsi="Arial" w:cs="Arial"/>
              </w:rPr>
              <w:t>for third line treatment of cGVHD</w:t>
            </w:r>
          </w:p>
          <w:p w14:paraId="1DD75D7C" w14:textId="037A1D08" w:rsidR="007D1F27" w:rsidRDefault="009479B2" w:rsidP="009479B2">
            <w:pPr>
              <w:pStyle w:val="ListParagraph"/>
              <w:numPr>
                <w:ilvl w:val="0"/>
                <w:numId w:val="35"/>
              </w:numPr>
              <w:rPr>
                <w:rFonts w:ascii="Arial" w:hAnsi="Arial" w:cs="Arial"/>
              </w:rPr>
            </w:pPr>
            <w:r w:rsidRPr="00FB55E5">
              <w:rPr>
                <w:rFonts w:ascii="Arial" w:hAnsi="Arial" w:cs="Arial"/>
              </w:rPr>
              <w:t xml:space="preserve">Ruxolitinib does have a marketing authorisation and was available to patients during the COVID pandemic however NHSE have confirmed that </w:t>
            </w:r>
            <w:r w:rsidR="007D1F27">
              <w:rPr>
                <w:rFonts w:ascii="Arial" w:hAnsi="Arial" w:cs="Arial"/>
              </w:rPr>
              <w:t>their</w:t>
            </w:r>
            <w:r w:rsidR="00D75FD0" w:rsidRPr="00D75FD0">
              <w:rPr>
                <w:rFonts w:ascii="Arial" w:hAnsi="Arial" w:cs="Arial"/>
              </w:rPr>
              <w:t xml:space="preserve"> interim policy for ruxolitinib in chronic GVHD (and for acute GVHD) was withdrawn earlier this year</w:t>
            </w:r>
            <w:r w:rsidR="009D1072">
              <w:rPr>
                <w:rFonts w:ascii="Arial" w:hAnsi="Arial" w:cs="Arial"/>
              </w:rPr>
              <w:t>.</w:t>
            </w:r>
          </w:p>
          <w:p w14:paraId="1E3E592B" w14:textId="07B9DC08" w:rsidR="009479B2" w:rsidRDefault="009479B2" w:rsidP="009479B2">
            <w:pPr>
              <w:pStyle w:val="ListParagraph"/>
              <w:numPr>
                <w:ilvl w:val="0"/>
                <w:numId w:val="35"/>
              </w:numPr>
              <w:rPr>
                <w:rFonts w:ascii="Arial" w:hAnsi="Arial" w:cs="Arial"/>
              </w:rPr>
            </w:pPr>
            <w:r w:rsidRPr="00FB55E5">
              <w:rPr>
                <w:rFonts w:ascii="Arial" w:hAnsi="Arial" w:cs="Arial"/>
              </w:rPr>
              <w:t>In addition, at the workshop we heard that because subsequent lines of treatment are most clearly defined by the introduction of any systemic agent not previously used in the regimen for first-line treatment</w:t>
            </w:r>
            <w:r w:rsidR="00CF3C89">
              <w:rPr>
                <w:rFonts w:ascii="Arial" w:hAnsi="Arial" w:cs="Arial"/>
              </w:rPr>
              <w:t>;</w:t>
            </w:r>
            <w:r w:rsidRPr="00FB55E5">
              <w:rPr>
                <w:rFonts w:ascii="Arial" w:hAnsi="Arial" w:cs="Arial"/>
              </w:rPr>
              <w:t xml:space="preserve"> patients can have treatments such as rituximab, imatinib and ECP. </w:t>
            </w:r>
            <w:r w:rsidR="007D1F27" w:rsidRPr="00FB55E5">
              <w:rPr>
                <w:rFonts w:ascii="Arial" w:hAnsi="Arial" w:cs="Arial"/>
              </w:rPr>
              <w:t>Therefore,</w:t>
            </w:r>
            <w:r w:rsidRPr="00FB55E5">
              <w:rPr>
                <w:rFonts w:ascii="Arial" w:hAnsi="Arial" w:cs="Arial"/>
              </w:rPr>
              <w:t xml:space="preserve"> </w:t>
            </w:r>
            <w:r w:rsidR="000D26D3">
              <w:rPr>
                <w:rFonts w:ascii="Arial" w:hAnsi="Arial" w:cs="Arial"/>
              </w:rPr>
              <w:t>there are</w:t>
            </w:r>
            <w:r w:rsidRPr="00FB55E5">
              <w:rPr>
                <w:rFonts w:ascii="Arial" w:hAnsi="Arial" w:cs="Arial"/>
              </w:rPr>
              <w:t xml:space="preserve"> other satisfactory treatment options in the third line setting. </w:t>
            </w:r>
          </w:p>
          <w:p w14:paraId="21A08F56" w14:textId="7EB87DC4" w:rsidR="00BC57C7" w:rsidRDefault="00BC57C7" w:rsidP="009479B2">
            <w:pPr>
              <w:pStyle w:val="ListParagraph"/>
              <w:numPr>
                <w:ilvl w:val="0"/>
                <w:numId w:val="35"/>
              </w:numPr>
              <w:rPr>
                <w:rFonts w:ascii="Arial" w:hAnsi="Arial" w:cs="Arial"/>
              </w:rPr>
            </w:pPr>
            <w:r>
              <w:rPr>
                <w:rFonts w:ascii="Arial" w:hAnsi="Arial" w:cs="Arial"/>
              </w:rPr>
              <w:t xml:space="preserve">We also </w:t>
            </w:r>
            <w:r w:rsidR="00D423CD">
              <w:rPr>
                <w:rFonts w:ascii="Arial" w:hAnsi="Arial" w:cs="Arial"/>
              </w:rPr>
              <w:t xml:space="preserve">received </w:t>
            </w:r>
            <w:r>
              <w:rPr>
                <w:rFonts w:ascii="Arial" w:hAnsi="Arial" w:cs="Arial"/>
              </w:rPr>
              <w:t xml:space="preserve">clinical advice </w:t>
            </w:r>
            <w:r w:rsidR="00AE7BA8">
              <w:rPr>
                <w:rFonts w:ascii="Arial" w:hAnsi="Arial" w:cs="Arial"/>
              </w:rPr>
              <w:t xml:space="preserve">after the workshop </w:t>
            </w:r>
            <w:r>
              <w:rPr>
                <w:rFonts w:ascii="Arial" w:hAnsi="Arial" w:cs="Arial"/>
              </w:rPr>
              <w:t xml:space="preserve">that other treatments such as </w:t>
            </w:r>
            <w:r w:rsidR="00AE7BA8">
              <w:rPr>
                <w:rFonts w:ascii="Arial" w:hAnsi="Arial" w:cs="Arial"/>
              </w:rPr>
              <w:t>ibrutinib</w:t>
            </w:r>
            <w:r>
              <w:rPr>
                <w:rFonts w:ascii="Arial" w:hAnsi="Arial" w:cs="Arial"/>
              </w:rPr>
              <w:t xml:space="preserve"> are used in clinical practice </w:t>
            </w:r>
            <w:r w:rsidR="00AE7BA8">
              <w:rPr>
                <w:rFonts w:ascii="Arial" w:hAnsi="Arial" w:cs="Arial"/>
              </w:rPr>
              <w:t xml:space="preserve">even though they are not reimbursed. </w:t>
            </w:r>
          </w:p>
          <w:p w14:paraId="25D1660E" w14:textId="4F45D07D" w:rsidR="008E1812" w:rsidRDefault="008E1812" w:rsidP="009479B2">
            <w:pPr>
              <w:pStyle w:val="ListParagraph"/>
              <w:numPr>
                <w:ilvl w:val="0"/>
                <w:numId w:val="35"/>
              </w:numPr>
              <w:rPr>
                <w:rFonts w:ascii="Arial" w:hAnsi="Arial" w:cs="Arial"/>
              </w:rPr>
            </w:pPr>
            <w:r>
              <w:rPr>
                <w:rFonts w:ascii="Arial" w:hAnsi="Arial" w:cs="Arial"/>
              </w:rPr>
              <w:t>We received clinical advice after the wo</w:t>
            </w:r>
            <w:r w:rsidR="00261A76">
              <w:rPr>
                <w:rFonts w:ascii="Arial" w:hAnsi="Arial" w:cs="Arial"/>
              </w:rPr>
              <w:t xml:space="preserve">rkshop which stated that there is not enough </w:t>
            </w:r>
            <w:r w:rsidR="00663318">
              <w:rPr>
                <w:rFonts w:ascii="Arial" w:hAnsi="Arial" w:cs="Arial"/>
              </w:rPr>
              <w:t xml:space="preserve">long-term </w:t>
            </w:r>
            <w:r w:rsidR="00261A76">
              <w:rPr>
                <w:rFonts w:ascii="Arial" w:hAnsi="Arial" w:cs="Arial"/>
              </w:rPr>
              <w:t>data yet to determine if belumosudil offers</w:t>
            </w:r>
            <w:r w:rsidR="00357052">
              <w:rPr>
                <w:rFonts w:ascii="Arial" w:hAnsi="Arial" w:cs="Arial"/>
              </w:rPr>
              <w:t xml:space="preserve"> a significant additional benefit over existing treatment options. The </w:t>
            </w:r>
            <w:r w:rsidR="00384AA4">
              <w:rPr>
                <w:rFonts w:ascii="Arial" w:hAnsi="Arial" w:cs="Arial"/>
              </w:rPr>
              <w:t>clinical</w:t>
            </w:r>
            <w:r w:rsidR="00357052">
              <w:rPr>
                <w:rFonts w:ascii="Arial" w:hAnsi="Arial" w:cs="Arial"/>
              </w:rPr>
              <w:t xml:space="preserve"> advice </w:t>
            </w:r>
            <w:r w:rsidR="00384AA4">
              <w:rPr>
                <w:rFonts w:ascii="Arial" w:hAnsi="Arial" w:cs="Arial"/>
              </w:rPr>
              <w:t xml:space="preserve">suggested </w:t>
            </w:r>
            <w:r w:rsidR="00357052">
              <w:rPr>
                <w:rFonts w:ascii="Arial" w:hAnsi="Arial" w:cs="Arial"/>
              </w:rPr>
              <w:t>that</w:t>
            </w:r>
            <w:r w:rsidR="00384AA4">
              <w:rPr>
                <w:rFonts w:ascii="Arial" w:hAnsi="Arial" w:cs="Arial"/>
              </w:rPr>
              <w:t xml:space="preserve"> </w:t>
            </w:r>
            <w:proofErr w:type="gramStart"/>
            <w:r w:rsidR="00384AA4">
              <w:rPr>
                <w:rFonts w:ascii="Arial" w:hAnsi="Arial" w:cs="Arial"/>
              </w:rPr>
              <w:t>i</w:t>
            </w:r>
            <w:r w:rsidR="00663318">
              <w:rPr>
                <w:rFonts w:ascii="Arial" w:hAnsi="Arial" w:cs="Arial"/>
              </w:rPr>
              <w:t>n order to</w:t>
            </w:r>
            <w:proofErr w:type="gramEnd"/>
            <w:r w:rsidR="00663318">
              <w:rPr>
                <w:rFonts w:ascii="Arial" w:hAnsi="Arial" w:cs="Arial"/>
              </w:rPr>
              <w:t xml:space="preserve"> improve survival over existing treatments</w:t>
            </w:r>
            <w:r w:rsidR="00384AA4">
              <w:rPr>
                <w:rFonts w:ascii="Arial" w:hAnsi="Arial" w:cs="Arial"/>
              </w:rPr>
              <w:t xml:space="preserve"> </w:t>
            </w:r>
            <w:r w:rsidR="00E12881">
              <w:rPr>
                <w:rFonts w:ascii="Arial" w:hAnsi="Arial" w:cs="Arial"/>
              </w:rPr>
              <w:t>b</w:t>
            </w:r>
            <w:r w:rsidR="00E12881" w:rsidRPr="00663318">
              <w:rPr>
                <w:rFonts w:ascii="Arial" w:hAnsi="Arial" w:cs="Arial"/>
              </w:rPr>
              <w:t>elumosudil</w:t>
            </w:r>
            <w:r w:rsidR="00663318" w:rsidRPr="00663318">
              <w:rPr>
                <w:rFonts w:ascii="Arial" w:hAnsi="Arial" w:cs="Arial"/>
              </w:rPr>
              <w:t xml:space="preserve"> </w:t>
            </w:r>
            <w:r w:rsidR="00E12881">
              <w:rPr>
                <w:rFonts w:ascii="Arial" w:hAnsi="Arial" w:cs="Arial"/>
              </w:rPr>
              <w:t xml:space="preserve">would need to </w:t>
            </w:r>
            <w:r w:rsidR="000F6DC8">
              <w:rPr>
                <w:rFonts w:ascii="Arial" w:hAnsi="Arial" w:cs="Arial"/>
              </w:rPr>
              <w:t>demonstrate</w:t>
            </w:r>
            <w:r w:rsidR="00E12881">
              <w:rPr>
                <w:rFonts w:ascii="Arial" w:hAnsi="Arial" w:cs="Arial"/>
              </w:rPr>
              <w:t xml:space="preserve"> a significant</w:t>
            </w:r>
            <w:r w:rsidR="00663318" w:rsidRPr="00663318">
              <w:rPr>
                <w:rFonts w:ascii="Arial" w:hAnsi="Arial" w:cs="Arial"/>
              </w:rPr>
              <w:t xml:space="preserve"> reduc</w:t>
            </w:r>
            <w:r w:rsidR="00E12881">
              <w:rPr>
                <w:rFonts w:ascii="Arial" w:hAnsi="Arial" w:cs="Arial"/>
              </w:rPr>
              <w:t>tion in the</w:t>
            </w:r>
            <w:r w:rsidR="00663318" w:rsidRPr="00663318">
              <w:rPr>
                <w:rFonts w:ascii="Arial" w:hAnsi="Arial" w:cs="Arial"/>
              </w:rPr>
              <w:t xml:space="preserve"> use of corticosteroids</w:t>
            </w:r>
            <w:r w:rsidR="00E12881">
              <w:rPr>
                <w:rFonts w:ascii="Arial" w:hAnsi="Arial" w:cs="Arial"/>
              </w:rPr>
              <w:t xml:space="preserve"> and/or </w:t>
            </w:r>
            <w:r w:rsidR="00663318" w:rsidRPr="00663318">
              <w:rPr>
                <w:rFonts w:ascii="Arial" w:hAnsi="Arial" w:cs="Arial"/>
              </w:rPr>
              <w:t xml:space="preserve">other immunosuppressants and </w:t>
            </w:r>
            <w:r w:rsidR="00E12881">
              <w:rPr>
                <w:rFonts w:ascii="Arial" w:hAnsi="Arial" w:cs="Arial"/>
              </w:rPr>
              <w:t>not</w:t>
            </w:r>
            <w:r w:rsidR="00663318" w:rsidRPr="00663318">
              <w:rPr>
                <w:rFonts w:ascii="Arial" w:hAnsi="Arial" w:cs="Arial"/>
              </w:rPr>
              <w:t xml:space="preserve"> significantly increase </w:t>
            </w:r>
            <w:r w:rsidR="000F6DC8">
              <w:rPr>
                <w:rFonts w:ascii="Arial" w:hAnsi="Arial" w:cs="Arial"/>
              </w:rPr>
              <w:t xml:space="preserve">the </w:t>
            </w:r>
            <w:r w:rsidR="00663318" w:rsidRPr="00663318">
              <w:rPr>
                <w:rFonts w:ascii="Arial" w:hAnsi="Arial" w:cs="Arial"/>
              </w:rPr>
              <w:t>risk of infective complications long term</w:t>
            </w:r>
            <w:r w:rsidR="000F6DC8">
              <w:rPr>
                <w:rFonts w:ascii="Arial" w:hAnsi="Arial" w:cs="Arial"/>
              </w:rPr>
              <w:t>.</w:t>
            </w:r>
            <w:r w:rsidR="00663318" w:rsidRPr="00663318">
              <w:rPr>
                <w:rFonts w:ascii="Arial" w:hAnsi="Arial" w:cs="Arial"/>
              </w:rPr>
              <w:t xml:space="preserve"> </w:t>
            </w:r>
          </w:p>
          <w:p w14:paraId="0CBCAACD" w14:textId="6DB8EE57" w:rsidR="00AE7BA8" w:rsidRPr="00FB55E5" w:rsidRDefault="00CF3C89" w:rsidP="009479B2">
            <w:pPr>
              <w:pStyle w:val="ListParagraph"/>
              <w:numPr>
                <w:ilvl w:val="0"/>
                <w:numId w:val="35"/>
              </w:numPr>
              <w:rPr>
                <w:rFonts w:ascii="Arial" w:hAnsi="Arial" w:cs="Arial"/>
              </w:rPr>
            </w:pPr>
            <w:r>
              <w:rPr>
                <w:rFonts w:ascii="Arial" w:hAnsi="Arial" w:cs="Arial"/>
              </w:rPr>
              <w:t>As</w:t>
            </w:r>
            <w:r w:rsidR="00283A93">
              <w:rPr>
                <w:rFonts w:ascii="Arial" w:hAnsi="Arial" w:cs="Arial"/>
              </w:rPr>
              <w:t xml:space="preserve"> there are multiple treatment options available in the third line setting</w:t>
            </w:r>
            <w:r w:rsidR="000F6DC8">
              <w:rPr>
                <w:rFonts w:ascii="Arial" w:hAnsi="Arial" w:cs="Arial"/>
              </w:rPr>
              <w:t xml:space="preserve"> and </w:t>
            </w:r>
            <w:r w:rsidR="005D1FE6">
              <w:rPr>
                <w:rFonts w:ascii="Arial" w:hAnsi="Arial" w:cs="Arial"/>
              </w:rPr>
              <w:t>clinical</w:t>
            </w:r>
            <w:r w:rsidR="000F6DC8">
              <w:rPr>
                <w:rFonts w:ascii="Arial" w:hAnsi="Arial" w:cs="Arial"/>
              </w:rPr>
              <w:t xml:space="preserve"> advice suggests not enough </w:t>
            </w:r>
            <w:r w:rsidR="00C235EA">
              <w:rPr>
                <w:rFonts w:ascii="Arial" w:hAnsi="Arial" w:cs="Arial"/>
              </w:rPr>
              <w:t>long-term</w:t>
            </w:r>
            <w:r w:rsidR="005D1FE6">
              <w:rPr>
                <w:rFonts w:ascii="Arial" w:hAnsi="Arial" w:cs="Arial"/>
              </w:rPr>
              <w:t xml:space="preserve"> data to demonstrate a significant benefit over existing treatment options</w:t>
            </w:r>
            <w:r w:rsidR="000F6DC8">
              <w:rPr>
                <w:rFonts w:ascii="Arial" w:hAnsi="Arial" w:cs="Arial"/>
              </w:rPr>
              <w:t xml:space="preserve"> </w:t>
            </w:r>
            <w:r w:rsidR="00D423CD">
              <w:rPr>
                <w:rFonts w:ascii="Arial" w:hAnsi="Arial" w:cs="Arial"/>
              </w:rPr>
              <w:t>this criterion</w:t>
            </w:r>
            <w:r w:rsidR="00283A93">
              <w:rPr>
                <w:rFonts w:ascii="Arial" w:hAnsi="Arial" w:cs="Arial"/>
              </w:rPr>
              <w:t xml:space="preserve"> is not met. </w:t>
            </w:r>
          </w:p>
          <w:p w14:paraId="49115641" w14:textId="2F78F48C" w:rsidR="009479B2" w:rsidRPr="005A1243" w:rsidRDefault="009479B2" w:rsidP="005A1243">
            <w:pPr>
              <w:ind w:left="360"/>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FF0000"/>
          </w:tcPr>
          <w:p w14:paraId="52167073" w14:textId="3AE9A295" w:rsidR="00D71447" w:rsidRPr="00D71447" w:rsidRDefault="00BF05D3" w:rsidP="00D71447">
            <w:pPr>
              <w:ind w:left="288" w:right="188"/>
              <w:rPr>
                <w:rFonts w:ascii="Arial" w:hAnsi="Arial" w:cs="Arial"/>
              </w:rPr>
            </w:pPr>
            <w:r>
              <w:rPr>
                <w:rFonts w:ascii="Arial" w:hAnsi="Arial" w:cs="Arial"/>
              </w:rPr>
              <w:t xml:space="preserve">Not </w:t>
            </w:r>
            <w:r w:rsidR="00D71447" w:rsidRPr="00D71447">
              <w:rPr>
                <w:rFonts w:ascii="Arial" w:hAnsi="Arial" w:cs="Arial"/>
              </w:rPr>
              <w:t>Met</w:t>
            </w:r>
          </w:p>
          <w:p w14:paraId="0A0F82F7" w14:textId="77777777" w:rsidR="000D3405" w:rsidRPr="00EF3DC0" w:rsidRDefault="000D3405" w:rsidP="00E622D7">
            <w:pPr>
              <w:ind w:left="288" w:right="188"/>
              <w:rPr>
                <w:rFonts w:ascii="Arial" w:hAnsi="Arial" w:cs="Arial"/>
                <w:b/>
                <w:bCs/>
              </w:rPr>
            </w:pPr>
          </w:p>
        </w:tc>
      </w:tr>
    </w:tbl>
    <w:p w14:paraId="204873BA" w14:textId="224C1313" w:rsidR="000D3405" w:rsidRDefault="000D3405" w:rsidP="00F90BB8">
      <w:pPr>
        <w:rPr>
          <w:rFonts w:ascii="Arial" w:hAnsi="Arial" w:cs="Arial"/>
          <w:b/>
          <w:bCs/>
        </w:rPr>
      </w:pPr>
    </w:p>
    <w:p w14:paraId="5B848B0E" w14:textId="4C9C282F" w:rsidR="00715265" w:rsidRDefault="00715265" w:rsidP="00F90BB8">
      <w:pPr>
        <w:rPr>
          <w:rFonts w:ascii="Arial" w:hAnsi="Arial" w:cs="Arial"/>
          <w:b/>
          <w:bCs/>
        </w:rPr>
      </w:pPr>
    </w:p>
    <w:p w14:paraId="1DBE7AA1" w14:textId="2F732704" w:rsidR="004C1AB2" w:rsidRDefault="004C1AB2" w:rsidP="00F90BB8">
      <w:pPr>
        <w:rPr>
          <w:rFonts w:ascii="Arial" w:hAnsi="Arial" w:cs="Arial"/>
          <w:b/>
          <w:bCs/>
        </w:rPr>
      </w:pPr>
    </w:p>
    <w:p w14:paraId="3DA9933B" w14:textId="77777777" w:rsidR="00DA4577" w:rsidRDefault="00DA4577" w:rsidP="00F90BB8">
      <w:pPr>
        <w:rPr>
          <w:rFonts w:ascii="Arial" w:hAnsi="Arial" w:cs="Arial"/>
          <w:b/>
          <w:bCs/>
        </w:rPr>
      </w:pPr>
    </w:p>
    <w:p w14:paraId="716318B0" w14:textId="77777777" w:rsidR="00DA4577" w:rsidRDefault="00DA4577" w:rsidP="00F90BB8">
      <w:pPr>
        <w:rPr>
          <w:rFonts w:ascii="Arial" w:hAnsi="Arial" w:cs="Arial"/>
          <w:b/>
          <w:bCs/>
        </w:rPr>
      </w:pPr>
    </w:p>
    <w:p w14:paraId="65D5C977" w14:textId="77777777" w:rsidR="00DA4577" w:rsidRDefault="00DA4577" w:rsidP="00F90BB8">
      <w:pPr>
        <w:rPr>
          <w:rFonts w:ascii="Arial" w:hAnsi="Arial" w:cs="Arial"/>
          <w:b/>
          <w:bCs/>
        </w:rPr>
      </w:pPr>
    </w:p>
    <w:p w14:paraId="4626CB6D" w14:textId="77777777" w:rsidR="00DA4577" w:rsidRDefault="00DA4577" w:rsidP="00F90BB8">
      <w:pPr>
        <w:rPr>
          <w:rFonts w:ascii="Arial" w:hAnsi="Arial" w:cs="Arial"/>
          <w:b/>
          <w:bCs/>
        </w:rPr>
      </w:pPr>
    </w:p>
    <w:p w14:paraId="6FAC8497" w14:textId="559EBF89" w:rsidR="004C1AB2" w:rsidRDefault="004C1AB2" w:rsidP="00F90BB8">
      <w:pPr>
        <w:rPr>
          <w:rFonts w:ascii="Arial" w:hAnsi="Arial" w:cs="Arial"/>
          <w:b/>
          <w:bCs/>
        </w:rPr>
      </w:pPr>
      <w:r>
        <w:rPr>
          <w:rFonts w:ascii="Arial" w:hAnsi="Arial" w:cs="Arial"/>
          <w:b/>
          <w:bCs/>
        </w:rPr>
        <w:t>References</w:t>
      </w:r>
    </w:p>
    <w:p w14:paraId="00068D10" w14:textId="6DC5A69C" w:rsidR="004C1AB2" w:rsidRDefault="004C1AB2" w:rsidP="00F90BB8">
      <w:pPr>
        <w:rPr>
          <w:rFonts w:ascii="Arial" w:hAnsi="Arial" w:cs="Arial"/>
          <w:b/>
          <w:bCs/>
        </w:rPr>
      </w:pPr>
    </w:p>
    <w:p w14:paraId="240A83B2" w14:textId="13D879B7" w:rsidR="004C1AB2" w:rsidRDefault="004C1AB2" w:rsidP="004C1AB2">
      <w:pPr>
        <w:pStyle w:val="ListParagraph"/>
        <w:numPr>
          <w:ilvl w:val="0"/>
          <w:numId w:val="38"/>
        </w:numPr>
        <w:spacing w:before="60" w:after="60"/>
        <w:rPr>
          <w:rFonts w:ascii="Arial" w:hAnsi="Arial" w:cs="Arial"/>
        </w:rPr>
      </w:pPr>
      <w:r w:rsidRPr="009F1715">
        <w:rPr>
          <w:rFonts w:ascii="Arial" w:hAnsi="Arial" w:cs="Arial"/>
        </w:rPr>
        <w:t>British Society of Blood and Marrow Transplantation and Cellular Therapies (BSBMTCT) (20</w:t>
      </w:r>
      <w:r w:rsidR="009503E0">
        <w:rPr>
          <w:rFonts w:ascii="Arial" w:hAnsi="Arial" w:cs="Arial"/>
        </w:rPr>
        <w:t>22</w:t>
      </w:r>
      <w:r w:rsidRPr="009F1715">
        <w:rPr>
          <w:rFonts w:ascii="Arial" w:hAnsi="Arial" w:cs="Arial"/>
        </w:rPr>
        <w:t xml:space="preserve">). </w:t>
      </w:r>
      <w:r w:rsidR="009503E0">
        <w:rPr>
          <w:rFonts w:ascii="Arial" w:hAnsi="Arial" w:cs="Arial"/>
        </w:rPr>
        <w:t>13</w:t>
      </w:r>
      <w:r w:rsidRPr="009F1715">
        <w:rPr>
          <w:rFonts w:ascii="Arial" w:hAnsi="Arial" w:cs="Arial"/>
          <w:vertAlign w:val="superscript"/>
        </w:rPr>
        <w:t>th</w:t>
      </w:r>
      <w:r w:rsidRPr="009F1715">
        <w:rPr>
          <w:rFonts w:ascii="Arial" w:hAnsi="Arial" w:cs="Arial"/>
        </w:rPr>
        <w:t xml:space="preserve"> Report to Specialist Commissioners Report 2020</w:t>
      </w:r>
      <w:r>
        <w:rPr>
          <w:rFonts w:ascii="Arial" w:hAnsi="Arial" w:cs="Arial"/>
        </w:rPr>
        <w:t xml:space="preserve">. </w:t>
      </w:r>
      <w:r w:rsidR="001F0546">
        <w:rPr>
          <w:rFonts w:ascii="Arial" w:hAnsi="Arial" w:cs="Arial"/>
        </w:rPr>
        <w:br/>
      </w:r>
    </w:p>
    <w:p w14:paraId="2719CC7A" w14:textId="0119EB3E" w:rsidR="00BB6E74" w:rsidRDefault="003A4684" w:rsidP="004C1AB2">
      <w:pPr>
        <w:pStyle w:val="ListParagraph"/>
        <w:numPr>
          <w:ilvl w:val="0"/>
          <w:numId w:val="38"/>
        </w:numPr>
        <w:spacing w:before="60" w:after="60"/>
        <w:rPr>
          <w:rFonts w:ascii="Arial" w:hAnsi="Arial" w:cs="Arial"/>
        </w:rPr>
      </w:pPr>
      <w:r w:rsidRPr="003A4684">
        <w:rPr>
          <w:rFonts w:ascii="Arial" w:hAnsi="Arial" w:cs="Arial"/>
        </w:rPr>
        <w:t>Mary E. D. Flowers, Paul J. Martin; How we treat chronic graft-versus-host disease. </w:t>
      </w:r>
      <w:r w:rsidRPr="003A4684">
        <w:rPr>
          <w:rFonts w:ascii="Arial" w:hAnsi="Arial" w:cs="Arial"/>
          <w:i/>
          <w:iCs/>
        </w:rPr>
        <w:t>Blood</w:t>
      </w:r>
      <w:r w:rsidRPr="003A4684">
        <w:rPr>
          <w:rFonts w:ascii="Arial" w:hAnsi="Arial" w:cs="Arial"/>
        </w:rPr>
        <w:t xml:space="preserve"> 2015; 125 (4): 606–615. </w:t>
      </w:r>
      <w:proofErr w:type="spellStart"/>
      <w:r w:rsidRPr="003A4684">
        <w:rPr>
          <w:rFonts w:ascii="Arial" w:hAnsi="Arial" w:cs="Arial"/>
        </w:rPr>
        <w:t>doi</w:t>
      </w:r>
      <w:proofErr w:type="spellEnd"/>
      <w:r w:rsidRPr="003A4684">
        <w:rPr>
          <w:rFonts w:ascii="Arial" w:hAnsi="Arial" w:cs="Arial"/>
        </w:rPr>
        <w:t>: </w:t>
      </w:r>
      <w:hyperlink r:id="rId8" w:history="1">
        <w:r w:rsidRPr="00CF4D7A">
          <w:rPr>
            <w:rStyle w:val="Hyperlink"/>
            <w:rFonts w:ascii="Arial" w:hAnsi="Arial" w:cs="Arial"/>
          </w:rPr>
          <w:t>https://doi.org/10.1182/blood-2014-08-551994 Accessed 11/2022</w:t>
        </w:r>
      </w:hyperlink>
      <w:r w:rsidR="001F0546">
        <w:rPr>
          <w:rFonts w:ascii="Arial" w:hAnsi="Arial" w:cs="Arial"/>
        </w:rPr>
        <w:br/>
      </w:r>
    </w:p>
    <w:p w14:paraId="7CEE6E83" w14:textId="5A626949" w:rsidR="003A4684" w:rsidRDefault="003A4684" w:rsidP="004C1AB2">
      <w:pPr>
        <w:pStyle w:val="ListParagraph"/>
        <w:numPr>
          <w:ilvl w:val="0"/>
          <w:numId w:val="38"/>
        </w:numPr>
        <w:spacing w:before="60" w:after="60"/>
        <w:rPr>
          <w:rFonts w:ascii="Arial" w:hAnsi="Arial" w:cs="Arial"/>
        </w:rPr>
      </w:pPr>
      <w:r>
        <w:rPr>
          <w:rFonts w:ascii="Arial" w:hAnsi="Arial" w:cs="Arial"/>
        </w:rPr>
        <w:t xml:space="preserve">ONS Population estimates (2021) Available </w:t>
      </w:r>
      <w:hyperlink r:id="rId9" w:history="1">
        <w:r w:rsidR="001F0546" w:rsidRPr="00CF4D7A">
          <w:rPr>
            <w:rStyle w:val="Hyperlink"/>
            <w:rFonts w:ascii="Arial" w:hAnsi="Arial" w:cs="Arial"/>
          </w:rPr>
          <w:t>https://www.ons.gov.uk/peoplepopulationandcommunity/populationandmigration/populationestimates Accessed 11/2022</w:t>
        </w:r>
      </w:hyperlink>
      <w:r w:rsidR="001F0546">
        <w:rPr>
          <w:rFonts w:ascii="Arial" w:hAnsi="Arial" w:cs="Arial"/>
        </w:rPr>
        <w:br/>
      </w:r>
    </w:p>
    <w:p w14:paraId="70A4FCEA" w14:textId="0C6E0578" w:rsidR="001F0546" w:rsidRPr="001F0546" w:rsidRDefault="001F0546" w:rsidP="004C1AB2">
      <w:pPr>
        <w:pStyle w:val="ListParagraph"/>
        <w:numPr>
          <w:ilvl w:val="0"/>
          <w:numId w:val="38"/>
        </w:numPr>
        <w:spacing w:before="60" w:after="60"/>
        <w:rPr>
          <w:rFonts w:ascii="Arial" w:hAnsi="Arial" w:cs="Arial"/>
        </w:rPr>
      </w:pPr>
      <w:proofErr w:type="spellStart"/>
      <w:r w:rsidRPr="00EC3DD8">
        <w:rPr>
          <w:rFonts w:ascii="Arial" w:eastAsia="Times New Roman" w:hAnsi="Arial" w:cs="Arial"/>
          <w:lang w:val="en-US"/>
        </w:rPr>
        <w:t>Csanadi</w:t>
      </w:r>
      <w:proofErr w:type="spellEnd"/>
      <w:r w:rsidRPr="00EC3DD8">
        <w:rPr>
          <w:rFonts w:ascii="Arial" w:eastAsia="Times New Roman" w:hAnsi="Arial" w:cs="Arial"/>
          <w:lang w:val="en-US"/>
        </w:rPr>
        <w:t xml:space="preserve"> M, </w:t>
      </w:r>
      <w:proofErr w:type="spellStart"/>
      <w:r w:rsidRPr="00EC3DD8">
        <w:rPr>
          <w:rFonts w:ascii="Arial" w:eastAsia="Times New Roman" w:hAnsi="Arial" w:cs="Arial"/>
          <w:lang w:val="en-US"/>
        </w:rPr>
        <w:t>Agh</w:t>
      </w:r>
      <w:proofErr w:type="spellEnd"/>
      <w:r w:rsidRPr="00EC3DD8">
        <w:rPr>
          <w:rFonts w:ascii="Arial" w:eastAsia="Times New Roman" w:hAnsi="Arial" w:cs="Arial"/>
          <w:lang w:val="en-US"/>
        </w:rPr>
        <w:t xml:space="preserve"> T, </w:t>
      </w:r>
      <w:proofErr w:type="spellStart"/>
      <w:r w:rsidRPr="00EC3DD8">
        <w:rPr>
          <w:rFonts w:ascii="Arial" w:eastAsia="Times New Roman" w:hAnsi="Arial" w:cs="Arial"/>
          <w:lang w:val="en-US"/>
        </w:rPr>
        <w:t>Tordai</w:t>
      </w:r>
      <w:proofErr w:type="spellEnd"/>
      <w:r w:rsidRPr="00EC3DD8">
        <w:rPr>
          <w:rFonts w:ascii="Arial" w:eastAsia="Times New Roman" w:hAnsi="Arial" w:cs="Arial"/>
          <w:lang w:val="en-US"/>
        </w:rPr>
        <w:t xml:space="preserve"> A, et al. A systematic literature review of incidence, mortality, and relapse of patients diagnosed with chronic graft versus host disease. Expert review of hematology. 2019. 12(5): 311-323.</w:t>
      </w:r>
      <w:r>
        <w:rPr>
          <w:rFonts w:ascii="Arial" w:eastAsia="Times New Roman" w:hAnsi="Arial" w:cs="Arial"/>
          <w:lang w:val="en-US"/>
        </w:rPr>
        <w:br/>
      </w:r>
    </w:p>
    <w:p w14:paraId="54A270DE" w14:textId="73D47367" w:rsidR="001F0546" w:rsidRPr="001F0546" w:rsidRDefault="001F0546" w:rsidP="001F0546">
      <w:pPr>
        <w:pStyle w:val="ListParagraph"/>
        <w:numPr>
          <w:ilvl w:val="0"/>
          <w:numId w:val="38"/>
        </w:numPr>
        <w:rPr>
          <w:rFonts w:ascii="Arial" w:hAnsi="Arial" w:cs="Arial"/>
        </w:rPr>
      </w:pPr>
      <w:proofErr w:type="spellStart"/>
      <w:r w:rsidRPr="001F0546">
        <w:rPr>
          <w:rFonts w:ascii="Arial" w:hAnsi="Arial" w:cs="Arial"/>
        </w:rPr>
        <w:t>Filipovich</w:t>
      </w:r>
      <w:proofErr w:type="spellEnd"/>
      <w:r w:rsidRPr="001F0546">
        <w:rPr>
          <w:rFonts w:ascii="Arial" w:hAnsi="Arial" w:cs="Arial"/>
        </w:rPr>
        <w:t xml:space="preserve"> A, </w:t>
      </w:r>
      <w:proofErr w:type="spellStart"/>
      <w:r w:rsidRPr="001F0546">
        <w:rPr>
          <w:rFonts w:ascii="Arial" w:hAnsi="Arial" w:cs="Arial"/>
        </w:rPr>
        <w:t>Weisdorf</w:t>
      </w:r>
      <w:proofErr w:type="spellEnd"/>
      <w:r w:rsidRPr="001F0546">
        <w:rPr>
          <w:rFonts w:ascii="Arial" w:hAnsi="Arial" w:cs="Arial"/>
        </w:rPr>
        <w:t xml:space="preserve"> D, </w:t>
      </w:r>
      <w:proofErr w:type="spellStart"/>
      <w:r w:rsidRPr="001F0546">
        <w:rPr>
          <w:rFonts w:ascii="Arial" w:hAnsi="Arial" w:cs="Arial"/>
        </w:rPr>
        <w:t>Pavletic</w:t>
      </w:r>
      <w:proofErr w:type="spellEnd"/>
      <w:r w:rsidRPr="001F0546">
        <w:rPr>
          <w:rFonts w:ascii="Arial" w:hAnsi="Arial" w:cs="Arial"/>
        </w:rPr>
        <w:t xml:space="preserve"> S, et al. National Institutes of Health consensus development project on criteria for clinical trials in chronic graft-versus-host disease: I. Diagnosis and staging working group report. </w:t>
      </w:r>
      <w:proofErr w:type="spellStart"/>
      <w:r w:rsidRPr="001F0546">
        <w:rPr>
          <w:rFonts w:ascii="Arial" w:hAnsi="Arial" w:cs="Arial"/>
          <w:i/>
          <w:iCs/>
        </w:rPr>
        <w:t>Biol</w:t>
      </w:r>
      <w:proofErr w:type="spellEnd"/>
      <w:r w:rsidRPr="001F0546">
        <w:rPr>
          <w:rFonts w:ascii="Arial" w:hAnsi="Arial" w:cs="Arial"/>
          <w:i/>
          <w:iCs/>
        </w:rPr>
        <w:t xml:space="preserve"> Blood &amp; Marrow </w:t>
      </w:r>
      <w:proofErr w:type="spellStart"/>
      <w:r w:rsidRPr="001F0546">
        <w:rPr>
          <w:rFonts w:ascii="Arial" w:hAnsi="Arial" w:cs="Arial"/>
          <w:i/>
          <w:iCs/>
        </w:rPr>
        <w:t>Transpl</w:t>
      </w:r>
      <w:proofErr w:type="spellEnd"/>
      <w:r w:rsidRPr="001F0546">
        <w:rPr>
          <w:rFonts w:ascii="Arial" w:hAnsi="Arial" w:cs="Arial"/>
        </w:rPr>
        <w:t>. 2005. 11(12): 945-956.</w:t>
      </w:r>
      <w:r>
        <w:rPr>
          <w:rFonts w:ascii="Arial" w:hAnsi="Arial" w:cs="Arial"/>
        </w:rPr>
        <w:br/>
      </w:r>
    </w:p>
    <w:p w14:paraId="3043463D" w14:textId="5522CDBE" w:rsidR="001F0546" w:rsidRDefault="001F0546" w:rsidP="001F0546">
      <w:pPr>
        <w:pStyle w:val="ListParagraph"/>
        <w:numPr>
          <w:ilvl w:val="0"/>
          <w:numId w:val="38"/>
        </w:numPr>
        <w:spacing w:before="60" w:after="60"/>
        <w:rPr>
          <w:rFonts w:ascii="Arial" w:hAnsi="Arial" w:cs="Arial"/>
        </w:rPr>
      </w:pPr>
      <w:r w:rsidRPr="001F0546">
        <w:rPr>
          <w:rFonts w:ascii="Arial" w:hAnsi="Arial" w:cs="Arial"/>
        </w:rPr>
        <w:t xml:space="preserve">Wolff D, </w:t>
      </w:r>
      <w:proofErr w:type="spellStart"/>
      <w:r w:rsidRPr="001F0546">
        <w:rPr>
          <w:rFonts w:ascii="Arial" w:hAnsi="Arial" w:cs="Arial"/>
        </w:rPr>
        <w:t>Gerbitz</w:t>
      </w:r>
      <w:proofErr w:type="spellEnd"/>
      <w:r w:rsidRPr="001F0546">
        <w:rPr>
          <w:rFonts w:ascii="Arial" w:hAnsi="Arial" w:cs="Arial"/>
        </w:rPr>
        <w:t xml:space="preserve"> A, </w:t>
      </w:r>
      <w:proofErr w:type="spellStart"/>
      <w:r w:rsidRPr="001F0546">
        <w:rPr>
          <w:rFonts w:ascii="Arial" w:hAnsi="Arial" w:cs="Arial"/>
        </w:rPr>
        <w:t>Ayuk</w:t>
      </w:r>
      <w:proofErr w:type="spellEnd"/>
      <w:r w:rsidRPr="001F0546">
        <w:rPr>
          <w:rFonts w:ascii="Arial" w:hAnsi="Arial" w:cs="Arial"/>
        </w:rPr>
        <w:t xml:space="preserve"> F, et al. Consensus Conference on Clinical Practice in Chronic Graft-versus-Host Disease (GVHD): </w:t>
      </w:r>
      <w:proofErr w:type="gramStart"/>
      <w:r w:rsidRPr="001F0546">
        <w:rPr>
          <w:rFonts w:ascii="Arial" w:hAnsi="Arial" w:cs="Arial"/>
        </w:rPr>
        <w:t>First-Line</w:t>
      </w:r>
      <w:proofErr w:type="gramEnd"/>
      <w:r w:rsidRPr="001F0546">
        <w:rPr>
          <w:rFonts w:ascii="Arial" w:hAnsi="Arial" w:cs="Arial"/>
        </w:rPr>
        <w:t xml:space="preserve"> and Topical Treatment of Chronic GVHD. </w:t>
      </w:r>
      <w:proofErr w:type="spellStart"/>
      <w:r w:rsidRPr="001F0546">
        <w:rPr>
          <w:rFonts w:ascii="Arial" w:hAnsi="Arial" w:cs="Arial"/>
          <w:i/>
          <w:iCs/>
        </w:rPr>
        <w:t>Biol</w:t>
      </w:r>
      <w:proofErr w:type="spellEnd"/>
      <w:r w:rsidRPr="001F0546">
        <w:rPr>
          <w:rFonts w:ascii="Arial" w:hAnsi="Arial" w:cs="Arial"/>
          <w:i/>
          <w:iCs/>
        </w:rPr>
        <w:t xml:space="preserve"> Blood &amp; Marrow </w:t>
      </w:r>
      <w:proofErr w:type="spellStart"/>
      <w:r w:rsidRPr="001F0546">
        <w:rPr>
          <w:rFonts w:ascii="Arial" w:hAnsi="Arial" w:cs="Arial"/>
          <w:i/>
          <w:iCs/>
        </w:rPr>
        <w:t>Transpl</w:t>
      </w:r>
      <w:proofErr w:type="spellEnd"/>
      <w:r w:rsidRPr="001F0546">
        <w:rPr>
          <w:rFonts w:ascii="Arial" w:hAnsi="Arial" w:cs="Arial"/>
        </w:rPr>
        <w:t>. 2010. 16(12): 1611-1628</w:t>
      </w:r>
      <w:r>
        <w:rPr>
          <w:rFonts w:ascii="Arial" w:hAnsi="Arial" w:cs="Arial"/>
        </w:rPr>
        <w:t xml:space="preserve"> </w:t>
      </w:r>
    </w:p>
    <w:p w14:paraId="55DC356F" w14:textId="77777777" w:rsidR="00B17E68" w:rsidRPr="00B17E68" w:rsidRDefault="00B17E68" w:rsidP="00B17E68">
      <w:pPr>
        <w:pStyle w:val="ListParagraph"/>
        <w:spacing w:before="60" w:after="60"/>
        <w:rPr>
          <w:rFonts w:ascii="Arial" w:hAnsi="Arial" w:cs="Arial"/>
        </w:rPr>
      </w:pPr>
    </w:p>
    <w:p w14:paraId="5295A8A8" w14:textId="6BBE5FF2" w:rsidR="004C1AB2" w:rsidRPr="004C1AB2" w:rsidRDefault="004C1AB2" w:rsidP="004C1AB2">
      <w:pPr>
        <w:ind w:left="360"/>
        <w:rPr>
          <w:rFonts w:ascii="Arial" w:hAnsi="Arial" w:cs="Arial"/>
          <w:b/>
          <w:bCs/>
        </w:rPr>
      </w:pPr>
    </w:p>
    <w:sectPr w:rsidR="004C1AB2" w:rsidRPr="004C1AB2" w:rsidSect="000D3405">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00D96609" w:rsidR="00696A5C" w:rsidRDefault="00BC3A15">
    <w:pPr>
      <w:pStyle w:val="Footer"/>
    </w:pPr>
    <w: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1958BF"/>
    <w:multiLevelType w:val="hybridMultilevel"/>
    <w:tmpl w:val="E362D158"/>
    <w:lvl w:ilvl="0" w:tplc="921CC580">
      <w:start w:val="1"/>
      <w:numFmt w:val="bullet"/>
      <w:lvlText w:val="•"/>
      <w:lvlJc w:val="left"/>
      <w:pPr>
        <w:tabs>
          <w:tab w:val="num" w:pos="720"/>
        </w:tabs>
        <w:ind w:left="720" w:hanging="360"/>
      </w:pPr>
      <w:rPr>
        <w:rFonts w:ascii="Arial" w:hAnsi="Arial" w:hint="default"/>
      </w:rPr>
    </w:lvl>
    <w:lvl w:ilvl="1" w:tplc="5076280C" w:tentative="1">
      <w:start w:val="1"/>
      <w:numFmt w:val="bullet"/>
      <w:lvlText w:val="•"/>
      <w:lvlJc w:val="left"/>
      <w:pPr>
        <w:tabs>
          <w:tab w:val="num" w:pos="1440"/>
        </w:tabs>
        <w:ind w:left="1440" w:hanging="360"/>
      </w:pPr>
      <w:rPr>
        <w:rFonts w:ascii="Arial" w:hAnsi="Arial" w:hint="default"/>
      </w:rPr>
    </w:lvl>
    <w:lvl w:ilvl="2" w:tplc="A83EE952" w:tentative="1">
      <w:start w:val="1"/>
      <w:numFmt w:val="bullet"/>
      <w:lvlText w:val="•"/>
      <w:lvlJc w:val="left"/>
      <w:pPr>
        <w:tabs>
          <w:tab w:val="num" w:pos="2160"/>
        </w:tabs>
        <w:ind w:left="2160" w:hanging="360"/>
      </w:pPr>
      <w:rPr>
        <w:rFonts w:ascii="Arial" w:hAnsi="Arial" w:hint="default"/>
      </w:rPr>
    </w:lvl>
    <w:lvl w:ilvl="3" w:tplc="6D4449E2" w:tentative="1">
      <w:start w:val="1"/>
      <w:numFmt w:val="bullet"/>
      <w:lvlText w:val="•"/>
      <w:lvlJc w:val="left"/>
      <w:pPr>
        <w:tabs>
          <w:tab w:val="num" w:pos="2880"/>
        </w:tabs>
        <w:ind w:left="2880" w:hanging="360"/>
      </w:pPr>
      <w:rPr>
        <w:rFonts w:ascii="Arial" w:hAnsi="Arial" w:hint="default"/>
      </w:rPr>
    </w:lvl>
    <w:lvl w:ilvl="4" w:tplc="EBC0B0A4" w:tentative="1">
      <w:start w:val="1"/>
      <w:numFmt w:val="bullet"/>
      <w:lvlText w:val="•"/>
      <w:lvlJc w:val="left"/>
      <w:pPr>
        <w:tabs>
          <w:tab w:val="num" w:pos="3600"/>
        </w:tabs>
        <w:ind w:left="3600" w:hanging="360"/>
      </w:pPr>
      <w:rPr>
        <w:rFonts w:ascii="Arial" w:hAnsi="Arial" w:hint="default"/>
      </w:rPr>
    </w:lvl>
    <w:lvl w:ilvl="5" w:tplc="EEB8A004" w:tentative="1">
      <w:start w:val="1"/>
      <w:numFmt w:val="bullet"/>
      <w:lvlText w:val="•"/>
      <w:lvlJc w:val="left"/>
      <w:pPr>
        <w:tabs>
          <w:tab w:val="num" w:pos="4320"/>
        </w:tabs>
        <w:ind w:left="4320" w:hanging="360"/>
      </w:pPr>
      <w:rPr>
        <w:rFonts w:ascii="Arial" w:hAnsi="Arial" w:hint="default"/>
      </w:rPr>
    </w:lvl>
    <w:lvl w:ilvl="6" w:tplc="478A1076" w:tentative="1">
      <w:start w:val="1"/>
      <w:numFmt w:val="bullet"/>
      <w:lvlText w:val="•"/>
      <w:lvlJc w:val="left"/>
      <w:pPr>
        <w:tabs>
          <w:tab w:val="num" w:pos="5040"/>
        </w:tabs>
        <w:ind w:left="5040" w:hanging="360"/>
      </w:pPr>
      <w:rPr>
        <w:rFonts w:ascii="Arial" w:hAnsi="Arial" w:hint="default"/>
      </w:rPr>
    </w:lvl>
    <w:lvl w:ilvl="7" w:tplc="C9660BAC" w:tentative="1">
      <w:start w:val="1"/>
      <w:numFmt w:val="bullet"/>
      <w:lvlText w:val="•"/>
      <w:lvlJc w:val="left"/>
      <w:pPr>
        <w:tabs>
          <w:tab w:val="num" w:pos="5760"/>
        </w:tabs>
        <w:ind w:left="5760" w:hanging="360"/>
      </w:pPr>
      <w:rPr>
        <w:rFonts w:ascii="Arial" w:hAnsi="Arial" w:hint="default"/>
      </w:rPr>
    </w:lvl>
    <w:lvl w:ilvl="8" w:tplc="3BC425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25687"/>
    <w:multiLevelType w:val="hybridMultilevel"/>
    <w:tmpl w:val="18B0716A"/>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E76F3F"/>
    <w:multiLevelType w:val="hybridMultilevel"/>
    <w:tmpl w:val="602AA776"/>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E3717"/>
    <w:multiLevelType w:val="hybridMultilevel"/>
    <w:tmpl w:val="D6A87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549C2"/>
    <w:multiLevelType w:val="hybridMultilevel"/>
    <w:tmpl w:val="C6986C58"/>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E65BF"/>
    <w:multiLevelType w:val="hybridMultilevel"/>
    <w:tmpl w:val="4C3606F4"/>
    <w:lvl w:ilvl="0" w:tplc="12ACB5D6">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C42B52"/>
    <w:multiLevelType w:val="hybridMultilevel"/>
    <w:tmpl w:val="54A0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535F4"/>
    <w:multiLevelType w:val="hybridMultilevel"/>
    <w:tmpl w:val="10BC3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841A61"/>
    <w:multiLevelType w:val="hybridMultilevel"/>
    <w:tmpl w:val="47FAC810"/>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609506">
    <w:abstractNumId w:val="26"/>
  </w:num>
  <w:num w:numId="2" w16cid:durableId="361052134">
    <w:abstractNumId w:val="29"/>
  </w:num>
  <w:num w:numId="3" w16cid:durableId="477578548">
    <w:abstractNumId w:val="29"/>
    <w:lvlOverride w:ilvl="0">
      <w:startOverride w:val="1"/>
    </w:lvlOverride>
  </w:num>
  <w:num w:numId="4" w16cid:durableId="1972590866">
    <w:abstractNumId w:val="29"/>
    <w:lvlOverride w:ilvl="0">
      <w:startOverride w:val="1"/>
    </w:lvlOverride>
  </w:num>
  <w:num w:numId="5" w16cid:durableId="288902234">
    <w:abstractNumId w:val="29"/>
    <w:lvlOverride w:ilvl="0">
      <w:startOverride w:val="1"/>
    </w:lvlOverride>
  </w:num>
  <w:num w:numId="6" w16cid:durableId="2114013185">
    <w:abstractNumId w:val="29"/>
    <w:lvlOverride w:ilvl="0">
      <w:startOverride w:val="1"/>
    </w:lvlOverride>
  </w:num>
  <w:num w:numId="7" w16cid:durableId="553352480">
    <w:abstractNumId w:val="29"/>
    <w:lvlOverride w:ilvl="0">
      <w:startOverride w:val="1"/>
    </w:lvlOverride>
  </w:num>
  <w:num w:numId="8" w16cid:durableId="61680880">
    <w:abstractNumId w:val="9"/>
  </w:num>
  <w:num w:numId="9" w16cid:durableId="510871826">
    <w:abstractNumId w:val="7"/>
  </w:num>
  <w:num w:numId="10" w16cid:durableId="5329186">
    <w:abstractNumId w:val="6"/>
  </w:num>
  <w:num w:numId="11" w16cid:durableId="861474496">
    <w:abstractNumId w:val="5"/>
  </w:num>
  <w:num w:numId="12" w16cid:durableId="2090544152">
    <w:abstractNumId w:val="4"/>
  </w:num>
  <w:num w:numId="13" w16cid:durableId="150022304">
    <w:abstractNumId w:val="8"/>
  </w:num>
  <w:num w:numId="14" w16cid:durableId="1211308879">
    <w:abstractNumId w:val="3"/>
  </w:num>
  <w:num w:numId="15" w16cid:durableId="1352563074">
    <w:abstractNumId w:val="2"/>
  </w:num>
  <w:num w:numId="16" w16cid:durableId="2001497394">
    <w:abstractNumId w:val="1"/>
  </w:num>
  <w:num w:numId="17" w16cid:durableId="1514419640">
    <w:abstractNumId w:val="0"/>
  </w:num>
  <w:num w:numId="18" w16cid:durableId="127866936">
    <w:abstractNumId w:val="16"/>
  </w:num>
  <w:num w:numId="19" w16cid:durableId="1695038252">
    <w:abstractNumId w:val="16"/>
    <w:lvlOverride w:ilvl="0">
      <w:startOverride w:val="1"/>
    </w:lvlOverride>
  </w:num>
  <w:num w:numId="20" w16cid:durableId="1241209194">
    <w:abstractNumId w:val="11"/>
  </w:num>
  <w:num w:numId="21" w16cid:durableId="482242108">
    <w:abstractNumId w:val="32"/>
  </w:num>
  <w:num w:numId="22" w16cid:durableId="649212767">
    <w:abstractNumId w:val="24"/>
  </w:num>
  <w:num w:numId="23" w16cid:durableId="1215461258">
    <w:abstractNumId w:val="30"/>
  </w:num>
  <w:num w:numId="24" w16cid:durableId="2040012057">
    <w:abstractNumId w:val="27"/>
  </w:num>
  <w:num w:numId="25" w16cid:durableId="1205873485">
    <w:abstractNumId w:val="21"/>
  </w:num>
  <w:num w:numId="26" w16cid:durableId="1083993332">
    <w:abstractNumId w:val="19"/>
  </w:num>
  <w:num w:numId="27" w16cid:durableId="1370455305">
    <w:abstractNumId w:val="17"/>
  </w:num>
  <w:num w:numId="28" w16cid:durableId="2046172218">
    <w:abstractNumId w:val="12"/>
  </w:num>
  <w:num w:numId="29" w16cid:durableId="858542122">
    <w:abstractNumId w:val="20"/>
  </w:num>
  <w:num w:numId="30" w16cid:durableId="1414276993">
    <w:abstractNumId w:val="35"/>
  </w:num>
  <w:num w:numId="31" w16cid:durableId="780029195">
    <w:abstractNumId w:val="15"/>
  </w:num>
  <w:num w:numId="32" w16cid:durableId="196130464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540776">
    <w:abstractNumId w:val="10"/>
  </w:num>
  <w:num w:numId="34" w16cid:durableId="1499345935">
    <w:abstractNumId w:val="18"/>
  </w:num>
  <w:num w:numId="35" w16cid:durableId="1773669260">
    <w:abstractNumId w:val="22"/>
  </w:num>
  <w:num w:numId="36" w16cid:durableId="2046563065">
    <w:abstractNumId w:val="13"/>
  </w:num>
  <w:num w:numId="37" w16cid:durableId="1834837659">
    <w:abstractNumId w:val="33"/>
  </w:num>
  <w:num w:numId="38" w16cid:durableId="1959483308">
    <w:abstractNumId w:val="23"/>
  </w:num>
  <w:num w:numId="39" w16cid:durableId="1126504598">
    <w:abstractNumId w:val="25"/>
  </w:num>
  <w:num w:numId="40" w16cid:durableId="913514520">
    <w:abstractNumId w:val="28"/>
  </w:num>
  <w:num w:numId="41" w16cid:durableId="1843886841">
    <w:abstractNumId w:val="34"/>
  </w:num>
  <w:num w:numId="42" w16cid:durableId="32728935">
    <w:abstractNumId w:val="14"/>
  </w:num>
  <w:num w:numId="43" w16cid:durableId="1028719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82203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24D0A"/>
    <w:rsid w:val="000369CF"/>
    <w:rsid w:val="000472DC"/>
    <w:rsid w:val="000546DB"/>
    <w:rsid w:val="000567FF"/>
    <w:rsid w:val="00070065"/>
    <w:rsid w:val="00086A06"/>
    <w:rsid w:val="000A4FEE"/>
    <w:rsid w:val="000B5939"/>
    <w:rsid w:val="000C7664"/>
    <w:rsid w:val="000D26D3"/>
    <w:rsid w:val="000D2CAD"/>
    <w:rsid w:val="000D3405"/>
    <w:rsid w:val="000E1AE0"/>
    <w:rsid w:val="000E39C5"/>
    <w:rsid w:val="000F6DC8"/>
    <w:rsid w:val="00111CCE"/>
    <w:rsid w:val="001134E7"/>
    <w:rsid w:val="0011378B"/>
    <w:rsid w:val="001152D9"/>
    <w:rsid w:val="0013455A"/>
    <w:rsid w:val="001442B5"/>
    <w:rsid w:val="00150580"/>
    <w:rsid w:val="0017149E"/>
    <w:rsid w:val="0017169E"/>
    <w:rsid w:val="00181A4A"/>
    <w:rsid w:val="00190104"/>
    <w:rsid w:val="00196432"/>
    <w:rsid w:val="00197992"/>
    <w:rsid w:val="001A2C08"/>
    <w:rsid w:val="001B0EE9"/>
    <w:rsid w:val="001B65B3"/>
    <w:rsid w:val="001F0546"/>
    <w:rsid w:val="00200E38"/>
    <w:rsid w:val="002029A6"/>
    <w:rsid w:val="002408EA"/>
    <w:rsid w:val="00261A76"/>
    <w:rsid w:val="00266558"/>
    <w:rsid w:val="002819D7"/>
    <w:rsid w:val="00283A93"/>
    <w:rsid w:val="00291A17"/>
    <w:rsid w:val="002C1A7E"/>
    <w:rsid w:val="002C5E6A"/>
    <w:rsid w:val="002D3376"/>
    <w:rsid w:val="002E554A"/>
    <w:rsid w:val="00300B73"/>
    <w:rsid w:val="00311E0C"/>
    <w:rsid w:val="00311ED0"/>
    <w:rsid w:val="00331BCE"/>
    <w:rsid w:val="003331A8"/>
    <w:rsid w:val="00357052"/>
    <w:rsid w:val="003648C5"/>
    <w:rsid w:val="003722FA"/>
    <w:rsid w:val="00384AA4"/>
    <w:rsid w:val="00384C63"/>
    <w:rsid w:val="00395E2A"/>
    <w:rsid w:val="003A0F66"/>
    <w:rsid w:val="003A4684"/>
    <w:rsid w:val="003C7AAF"/>
    <w:rsid w:val="003D5D77"/>
    <w:rsid w:val="003F41C3"/>
    <w:rsid w:val="003F7C54"/>
    <w:rsid w:val="004075B6"/>
    <w:rsid w:val="00407E28"/>
    <w:rsid w:val="0041504E"/>
    <w:rsid w:val="00420952"/>
    <w:rsid w:val="0042422E"/>
    <w:rsid w:val="00427637"/>
    <w:rsid w:val="00430C69"/>
    <w:rsid w:val="00433EFF"/>
    <w:rsid w:val="0043551A"/>
    <w:rsid w:val="00443081"/>
    <w:rsid w:val="00446BEE"/>
    <w:rsid w:val="0047177B"/>
    <w:rsid w:val="00482716"/>
    <w:rsid w:val="004C1AB2"/>
    <w:rsid w:val="004E20CB"/>
    <w:rsid w:val="004E60E8"/>
    <w:rsid w:val="005025A1"/>
    <w:rsid w:val="0053717B"/>
    <w:rsid w:val="00543806"/>
    <w:rsid w:val="005461CB"/>
    <w:rsid w:val="00554BEF"/>
    <w:rsid w:val="005617C6"/>
    <w:rsid w:val="00566E2A"/>
    <w:rsid w:val="005A1243"/>
    <w:rsid w:val="005B005F"/>
    <w:rsid w:val="005B6EFD"/>
    <w:rsid w:val="005D1FE6"/>
    <w:rsid w:val="0065637F"/>
    <w:rsid w:val="00663318"/>
    <w:rsid w:val="00691C01"/>
    <w:rsid w:val="006921E1"/>
    <w:rsid w:val="00696A5C"/>
    <w:rsid w:val="006A2A61"/>
    <w:rsid w:val="006A6B4D"/>
    <w:rsid w:val="006D115E"/>
    <w:rsid w:val="006D6093"/>
    <w:rsid w:val="006F4B25"/>
    <w:rsid w:val="006F6496"/>
    <w:rsid w:val="007009D6"/>
    <w:rsid w:val="00715265"/>
    <w:rsid w:val="00736348"/>
    <w:rsid w:val="00760908"/>
    <w:rsid w:val="00784F09"/>
    <w:rsid w:val="007955CD"/>
    <w:rsid w:val="007D1F27"/>
    <w:rsid w:val="007E1910"/>
    <w:rsid w:val="007F09A1"/>
    <w:rsid w:val="007F238D"/>
    <w:rsid w:val="00835AD7"/>
    <w:rsid w:val="00857CBD"/>
    <w:rsid w:val="00860835"/>
    <w:rsid w:val="00861B92"/>
    <w:rsid w:val="008814FB"/>
    <w:rsid w:val="008E1812"/>
    <w:rsid w:val="008F5E30"/>
    <w:rsid w:val="00914D7F"/>
    <w:rsid w:val="009479B2"/>
    <w:rsid w:val="009503E0"/>
    <w:rsid w:val="00962555"/>
    <w:rsid w:val="009930B5"/>
    <w:rsid w:val="00995EEA"/>
    <w:rsid w:val="009A60B4"/>
    <w:rsid w:val="009D1072"/>
    <w:rsid w:val="009E680B"/>
    <w:rsid w:val="00A136DA"/>
    <w:rsid w:val="00A15A1F"/>
    <w:rsid w:val="00A27B58"/>
    <w:rsid w:val="00A3325A"/>
    <w:rsid w:val="00A332A3"/>
    <w:rsid w:val="00A43013"/>
    <w:rsid w:val="00A64BEB"/>
    <w:rsid w:val="00A7164D"/>
    <w:rsid w:val="00A760F4"/>
    <w:rsid w:val="00AA0377"/>
    <w:rsid w:val="00AA7684"/>
    <w:rsid w:val="00AC30B6"/>
    <w:rsid w:val="00AD0E37"/>
    <w:rsid w:val="00AE7BA8"/>
    <w:rsid w:val="00AF108A"/>
    <w:rsid w:val="00B00041"/>
    <w:rsid w:val="00B01714"/>
    <w:rsid w:val="00B02E55"/>
    <w:rsid w:val="00B036C1"/>
    <w:rsid w:val="00B17E68"/>
    <w:rsid w:val="00B268F0"/>
    <w:rsid w:val="00B30176"/>
    <w:rsid w:val="00B372AA"/>
    <w:rsid w:val="00B46ABD"/>
    <w:rsid w:val="00B5431F"/>
    <w:rsid w:val="00B641A7"/>
    <w:rsid w:val="00BA5A92"/>
    <w:rsid w:val="00BB6E74"/>
    <w:rsid w:val="00BC3A15"/>
    <w:rsid w:val="00BC57C7"/>
    <w:rsid w:val="00BC66C6"/>
    <w:rsid w:val="00BD00A9"/>
    <w:rsid w:val="00BF05D3"/>
    <w:rsid w:val="00BF629E"/>
    <w:rsid w:val="00BF7FE0"/>
    <w:rsid w:val="00C209B6"/>
    <w:rsid w:val="00C235EA"/>
    <w:rsid w:val="00C670DD"/>
    <w:rsid w:val="00C70AD5"/>
    <w:rsid w:val="00C81104"/>
    <w:rsid w:val="00C9475C"/>
    <w:rsid w:val="00C95BFF"/>
    <w:rsid w:val="00C96411"/>
    <w:rsid w:val="00CA055B"/>
    <w:rsid w:val="00CA328A"/>
    <w:rsid w:val="00CA78AA"/>
    <w:rsid w:val="00CB5671"/>
    <w:rsid w:val="00CB7A88"/>
    <w:rsid w:val="00CC45D3"/>
    <w:rsid w:val="00CD3014"/>
    <w:rsid w:val="00CF3C89"/>
    <w:rsid w:val="00CF58B7"/>
    <w:rsid w:val="00D22C5F"/>
    <w:rsid w:val="00D243E7"/>
    <w:rsid w:val="00D351C1"/>
    <w:rsid w:val="00D35EFB"/>
    <w:rsid w:val="00D423CD"/>
    <w:rsid w:val="00D44C15"/>
    <w:rsid w:val="00D504B3"/>
    <w:rsid w:val="00D52120"/>
    <w:rsid w:val="00D53778"/>
    <w:rsid w:val="00D66AF4"/>
    <w:rsid w:val="00D71447"/>
    <w:rsid w:val="00D75FD0"/>
    <w:rsid w:val="00D86AC1"/>
    <w:rsid w:val="00D86BF0"/>
    <w:rsid w:val="00D87E6E"/>
    <w:rsid w:val="00D904D9"/>
    <w:rsid w:val="00D93F96"/>
    <w:rsid w:val="00D96736"/>
    <w:rsid w:val="00DA1D8A"/>
    <w:rsid w:val="00DA4577"/>
    <w:rsid w:val="00DB7851"/>
    <w:rsid w:val="00DC3B22"/>
    <w:rsid w:val="00DC5399"/>
    <w:rsid w:val="00DC6B02"/>
    <w:rsid w:val="00DE4DE9"/>
    <w:rsid w:val="00DF772E"/>
    <w:rsid w:val="00E0562B"/>
    <w:rsid w:val="00E12881"/>
    <w:rsid w:val="00E337A3"/>
    <w:rsid w:val="00E43D62"/>
    <w:rsid w:val="00E51920"/>
    <w:rsid w:val="00E622D7"/>
    <w:rsid w:val="00E64120"/>
    <w:rsid w:val="00E650A2"/>
    <w:rsid w:val="00E660A1"/>
    <w:rsid w:val="00E70947"/>
    <w:rsid w:val="00E72062"/>
    <w:rsid w:val="00E74106"/>
    <w:rsid w:val="00E805BA"/>
    <w:rsid w:val="00EA3CCF"/>
    <w:rsid w:val="00EA538D"/>
    <w:rsid w:val="00EB1B0C"/>
    <w:rsid w:val="00EC53AC"/>
    <w:rsid w:val="00EE73A0"/>
    <w:rsid w:val="00EF3DC0"/>
    <w:rsid w:val="00F00624"/>
    <w:rsid w:val="00F055F1"/>
    <w:rsid w:val="00F14C75"/>
    <w:rsid w:val="00F266B2"/>
    <w:rsid w:val="00F4717C"/>
    <w:rsid w:val="00F610AF"/>
    <w:rsid w:val="00F90BB8"/>
    <w:rsid w:val="00FA2C5A"/>
    <w:rsid w:val="00FB55E5"/>
    <w:rsid w:val="00FC2D11"/>
    <w:rsid w:val="00FC6230"/>
    <w:rsid w:val="00FD7429"/>
    <w:rsid w:val="00FE6A29"/>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character" w:styleId="FollowedHyperlink">
    <w:name w:val="FollowedHyperlink"/>
    <w:basedOn w:val="DefaultParagraphFont"/>
    <w:semiHidden/>
    <w:unhideWhenUsed/>
    <w:rsid w:val="004C1AB2"/>
    <w:rPr>
      <w:color w:val="800080" w:themeColor="followedHyperlink"/>
      <w:u w:val="single"/>
    </w:rPr>
  </w:style>
  <w:style w:type="table" w:styleId="TableGridLight">
    <w:name w:val="Grid Table Light"/>
    <w:basedOn w:val="TableNormal"/>
    <w:uiPriority w:val="40"/>
    <w:rsid w:val="00BB6E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423CD"/>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887">
      <w:bodyDiv w:val="1"/>
      <w:marLeft w:val="0"/>
      <w:marRight w:val="0"/>
      <w:marTop w:val="0"/>
      <w:marBottom w:val="0"/>
      <w:divBdr>
        <w:top w:val="none" w:sz="0" w:space="0" w:color="auto"/>
        <w:left w:val="none" w:sz="0" w:space="0" w:color="auto"/>
        <w:bottom w:val="none" w:sz="0" w:space="0" w:color="auto"/>
        <w:right w:val="none" w:sz="0" w:space="0" w:color="auto"/>
      </w:divBdr>
      <w:divsChild>
        <w:div w:id="592595306">
          <w:marLeft w:val="490"/>
          <w:marRight w:val="0"/>
          <w:marTop w:val="200"/>
          <w:marBottom w:val="0"/>
          <w:divBdr>
            <w:top w:val="none" w:sz="0" w:space="0" w:color="auto"/>
            <w:left w:val="none" w:sz="0" w:space="0" w:color="auto"/>
            <w:bottom w:val="none" w:sz="0" w:space="0" w:color="auto"/>
            <w:right w:val="none" w:sz="0" w:space="0" w:color="auto"/>
          </w:divBdr>
        </w:div>
      </w:divsChild>
    </w:div>
    <w:div w:id="263926887">
      <w:bodyDiv w:val="1"/>
      <w:marLeft w:val="0"/>
      <w:marRight w:val="0"/>
      <w:marTop w:val="0"/>
      <w:marBottom w:val="0"/>
      <w:divBdr>
        <w:top w:val="none" w:sz="0" w:space="0" w:color="auto"/>
        <w:left w:val="none" w:sz="0" w:space="0" w:color="auto"/>
        <w:bottom w:val="none" w:sz="0" w:space="0" w:color="auto"/>
        <w:right w:val="none" w:sz="0" w:space="0" w:color="auto"/>
      </w:divBdr>
      <w:divsChild>
        <w:div w:id="1264340094">
          <w:marLeft w:val="490"/>
          <w:marRight w:val="0"/>
          <w:marTop w:val="200"/>
          <w:marBottom w:val="0"/>
          <w:divBdr>
            <w:top w:val="none" w:sz="0" w:space="0" w:color="auto"/>
            <w:left w:val="none" w:sz="0" w:space="0" w:color="auto"/>
            <w:bottom w:val="none" w:sz="0" w:space="0" w:color="auto"/>
            <w:right w:val="none" w:sz="0" w:space="0" w:color="auto"/>
          </w:divBdr>
        </w:div>
      </w:divsChild>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306348931">
      <w:bodyDiv w:val="1"/>
      <w:marLeft w:val="0"/>
      <w:marRight w:val="0"/>
      <w:marTop w:val="0"/>
      <w:marBottom w:val="0"/>
      <w:divBdr>
        <w:top w:val="none" w:sz="0" w:space="0" w:color="auto"/>
        <w:left w:val="none" w:sz="0" w:space="0" w:color="auto"/>
        <w:bottom w:val="none" w:sz="0" w:space="0" w:color="auto"/>
        <w:right w:val="none" w:sz="0" w:space="0" w:color="auto"/>
      </w:divBdr>
    </w:div>
    <w:div w:id="1473593837">
      <w:bodyDiv w:val="1"/>
      <w:marLeft w:val="0"/>
      <w:marRight w:val="0"/>
      <w:marTop w:val="0"/>
      <w:marBottom w:val="0"/>
      <w:divBdr>
        <w:top w:val="none" w:sz="0" w:space="0" w:color="auto"/>
        <w:left w:val="none" w:sz="0" w:space="0" w:color="auto"/>
        <w:bottom w:val="none" w:sz="0" w:space="0" w:color="auto"/>
        <w:right w:val="none" w:sz="0" w:space="0" w:color="auto"/>
      </w:divBdr>
      <w:divsChild>
        <w:div w:id="1921913906">
          <w:marLeft w:val="490"/>
          <w:marRight w:val="0"/>
          <w:marTop w:val="20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966304685">
      <w:bodyDiv w:val="1"/>
      <w:marLeft w:val="0"/>
      <w:marRight w:val="0"/>
      <w:marTop w:val="0"/>
      <w:marBottom w:val="0"/>
      <w:divBdr>
        <w:top w:val="none" w:sz="0" w:space="0" w:color="auto"/>
        <w:left w:val="none" w:sz="0" w:space="0" w:color="auto"/>
        <w:bottom w:val="none" w:sz="0" w:space="0" w:color="auto"/>
        <w:right w:val="none" w:sz="0" w:space="0" w:color="auto"/>
      </w:divBdr>
    </w:div>
    <w:div w:id="19765256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926">
          <w:marLeft w:val="49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2/blood-2014-08-551994%20Accessed%2011/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process/pmg37/chapter/highly-specialised-technolog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s.gov.uk/peoplepopulationandcommunity/populationandmigration/populationestimates%20Accessed%2011/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1251</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Stephanie Callaghan</cp:lastModifiedBy>
  <cp:revision>3</cp:revision>
  <cp:lastPrinted>2020-02-04T14:39:00Z</cp:lastPrinted>
  <dcterms:created xsi:type="dcterms:W3CDTF">2022-12-21T14:32:00Z</dcterms:created>
  <dcterms:modified xsi:type="dcterms:W3CDTF">2022-12-21T15:36:00Z</dcterms:modified>
</cp:coreProperties>
</file>