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bookmarkStart w:id="1" w:name="_Toc450904381" w:displacedByCustomXml="next"/>
    <w:bookmarkStart w:id="2" w:name="_Toc452035616" w:displacedByCustomXml="next"/>
    <w:sdt>
      <w:sdtPr>
        <w:rPr>
          <w:rFonts w:ascii="Arial" w:eastAsiaTheme="minorHAnsi" w:hAnsi="Arial" w:cs="Arial"/>
          <w:b w:val="0"/>
          <w:bCs w:val="0"/>
          <w:color w:val="auto"/>
          <w:sz w:val="24"/>
          <w:szCs w:val="24"/>
        </w:rPr>
        <w:id w:val="1877343637"/>
        <w:docPartObj>
          <w:docPartGallery w:val="Cover Pages"/>
          <w:docPartUnique/>
        </w:docPartObj>
      </w:sdtPr>
      <w:sdtEndPr/>
      <w:sdtContent>
        <w:p w14:paraId="72CA7C39" w14:textId="77777777" w:rsidR="008C7845" w:rsidRPr="00D21C25" w:rsidRDefault="008C7845" w:rsidP="003D56F0">
          <w:pPr>
            <w:pStyle w:val="Heading3"/>
          </w:pPr>
          <w:r w:rsidRPr="00D21C25">
            <w:rPr>
              <w:noProof/>
            </w:rPr>
            <mc:AlternateContent>
              <mc:Choice Requires="wpg">
                <w:drawing>
                  <wp:anchor distT="0" distB="0" distL="114300" distR="114300" simplePos="0" relativeHeight="251659264" behindDoc="0" locked="0" layoutInCell="0" allowOverlap="1" wp14:anchorId="0CD22689" wp14:editId="41875CAF">
                    <wp:simplePos x="0" y="0"/>
                    <wp:positionH relativeFrom="page">
                      <wp:align>center</wp:align>
                    </wp:positionH>
                    <wp:positionV relativeFrom="margin">
                      <wp:align>center</wp:align>
                    </wp:positionV>
                    <wp:extent cx="7772400" cy="8228965"/>
                    <wp:effectExtent l="38100" t="0" r="40640" b="52070"/>
                    <wp:wrapNone/>
                    <wp:docPr id="40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228965"/>
                              <a:chOff x="0" y="1440"/>
                              <a:chExt cx="12240" cy="12959"/>
                            </a:xfrm>
                          </wpg:grpSpPr>
                          <wpg:grpSp>
                            <wpg:cNvPr id="408" name="Group 4"/>
                            <wpg:cNvGrpSpPr>
                              <a:grpSpLocks/>
                            </wpg:cNvGrpSpPr>
                            <wpg:grpSpPr bwMode="auto">
                              <a:xfrm>
                                <a:off x="0" y="9661"/>
                                <a:ext cx="12240" cy="4738"/>
                                <a:chOff x="-6" y="3399"/>
                                <a:chExt cx="12197" cy="4253"/>
                              </a:xfrm>
                            </wpg:grpSpPr>
                            <wpg:grpSp>
                              <wpg:cNvPr id="409" name="Group 5"/>
                              <wpg:cNvGrpSpPr>
                                <a:grpSpLocks/>
                              </wpg:cNvGrpSpPr>
                              <wpg:grpSpPr bwMode="auto">
                                <a:xfrm>
                                  <a:off x="-6" y="3717"/>
                                  <a:ext cx="12189" cy="3550"/>
                                  <a:chOff x="18" y="7468"/>
                                  <a:chExt cx="12189" cy="3550"/>
                                </a:xfrm>
                              </wpg:grpSpPr>
                              <wps:wsp>
                                <wps:cNvPr id="410"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8"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9" name="Rectangle 15"/>
                            <wps:cNvSpPr>
                              <a:spLocks noChangeArrowheads="1"/>
                            </wps:cNvSpPr>
                            <wps:spPr bwMode="auto">
                              <a:xfrm>
                                <a:off x="1800" y="1440"/>
                                <a:ext cx="8638" cy="10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753DEB2C" w14:textId="77777777" w:rsidR="005055D8" w:rsidRDefault="005055D8" w:rsidP="00CC7EC2"/>
                              </w:txbxContent>
                            </wps:txbx>
                            <wps:bodyPr rot="0" vert="horz" wrap="square" lIns="91440" tIns="45720" rIns="91440" bIns="45720" anchor="t" anchorCtr="0" upright="1">
                              <a:spAutoFit/>
                            </wps:bodyPr>
                          </wps:wsp>
                          <wps:wsp>
                            <wps:cNvPr id="420" name="Rectangle 16"/>
                            <wps:cNvSpPr>
                              <a:spLocks noChangeArrowheads="1"/>
                            </wps:cNvSpPr>
                            <wps:spPr bwMode="auto">
                              <a:xfrm>
                                <a:off x="6734" y="11043"/>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71F5E8BB" w14:textId="69E930D4" w:rsidR="005055D8" w:rsidRDefault="005055D8" w:rsidP="00CC7EC2"/>
                              </w:txbxContent>
                            </wps:txbx>
                            <wps:bodyPr rot="0" vert="horz" wrap="square" lIns="91440" tIns="45720" rIns="91440" bIns="45720" anchor="t" anchorCtr="0" upright="1">
                              <a:spAutoFit/>
                            </wps:bodyPr>
                          </wps:wsp>
                          <wps:wsp>
                            <wps:cNvPr id="421" name="Rectangle 17"/>
                            <wps:cNvSpPr>
                              <a:spLocks noChangeArrowheads="1"/>
                            </wps:cNvSpPr>
                            <wps:spPr bwMode="auto">
                              <a:xfrm>
                                <a:off x="1800" y="2294"/>
                                <a:ext cx="8638" cy="726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bookmarkStart w:id="3" w:name="_Toc452035617" w:displacedByCustomXml="next"/>
                                <w:bookmarkStart w:id="4" w:name="_Toc450904382" w:displacedByCustomXml="next"/>
                                <w:sdt>
                                  <w:sdtPr>
                                    <w:rPr>
                                      <w:rStyle w:val="BookTitle"/>
                                      <w:smallCaps w:val="0"/>
                                    </w:rPr>
                                    <w:alias w:val="Title"/>
                                    <w:id w:val="-621544638"/>
                                    <w:dataBinding w:prefixMappings="xmlns:ns0='http://schemas.openxmlformats.org/package/2006/metadata/core-properties' xmlns:ns1='http://purl.org/dc/elements/1.1/'" w:xpath="/ns0:coreProperties[1]/ns1:title[1]" w:storeItemID="{6C3C8BC8-F283-45AE-878A-BAB7291924A1}"/>
                                    <w:text/>
                                  </w:sdtPr>
                                  <w:sdtEndPr>
                                    <w:rPr>
                                      <w:rStyle w:val="BookTitle"/>
                                    </w:rPr>
                                  </w:sdtEndPr>
                                  <w:sdtContent>
                                    <w:p w14:paraId="2E86030C" w14:textId="6D3EE3DF" w:rsidR="005055D8" w:rsidRPr="00F634F5" w:rsidRDefault="005055D8" w:rsidP="00CC7EC2">
                                      <w:pPr>
                                        <w:pStyle w:val="Style3"/>
                                        <w:rPr>
                                          <w:rStyle w:val="BookTitle"/>
                                          <w:smallCaps w:val="0"/>
                                        </w:rPr>
                                      </w:pPr>
                                      <w:r w:rsidRPr="00F634F5">
                                        <w:rPr>
                                          <w:rStyle w:val="BookTitle"/>
                                          <w:smallCaps w:val="0"/>
                                        </w:rPr>
                                        <w:t>NICE Drug Misuse Prevention:</w:t>
                                      </w:r>
                                    </w:p>
                                  </w:sdtContent>
                                </w:sdt>
                                <w:bookmarkEnd w:id="3" w:displacedByCustomXml="prev"/>
                                <w:bookmarkEnd w:id="4" w:displacedByCustomXml="prev"/>
                                <w:bookmarkStart w:id="5" w:name="_Toc452035618" w:displacedByCustomXml="next"/>
                                <w:bookmarkStart w:id="6" w:name="_Toc450904383" w:displacedByCustomXml="next"/>
                                <w:sdt>
                                  <w:sdtPr>
                                    <w:rPr>
                                      <w:rStyle w:val="BookTitle"/>
                                      <w:smallCaps w:val="0"/>
                                    </w:rPr>
                                    <w:alias w:val="Subtitle"/>
                                    <w:id w:val="1952516410"/>
                                    <w:dataBinding w:prefixMappings="xmlns:ns0='http://schemas.openxmlformats.org/package/2006/metadata/core-properties' xmlns:ns1='http://purl.org/dc/elements/1.1/'" w:xpath="/ns0:coreProperties[1]/ns1:subject[1]" w:storeItemID="{6C3C8BC8-F283-45AE-878A-BAB7291924A1}"/>
                                    <w:text/>
                                  </w:sdtPr>
                                  <w:sdtEndPr>
                                    <w:rPr>
                                      <w:rStyle w:val="BookTitle"/>
                                    </w:rPr>
                                  </w:sdtEndPr>
                                  <w:sdtContent>
                                    <w:p w14:paraId="662FA825" w14:textId="3764AD7E" w:rsidR="005055D8" w:rsidRPr="00F634F5" w:rsidRDefault="005055D8" w:rsidP="00CC7EC2">
                                      <w:pPr>
                                        <w:pStyle w:val="Style3"/>
                                        <w:rPr>
                                          <w:rStyle w:val="BookTitle"/>
                                          <w:smallCaps w:val="0"/>
                                        </w:rPr>
                                      </w:pPr>
                                      <w:r w:rsidRPr="00F634F5">
                                        <w:rPr>
                                          <w:rStyle w:val="BookTitle"/>
                                          <w:smallCaps w:val="0"/>
                                        </w:rPr>
                                        <w:t>Economic Modelling Report</w:t>
                                      </w:r>
                                    </w:p>
                                  </w:sdtContent>
                                </w:sdt>
                                <w:bookmarkEnd w:id="5" w:displacedByCustomXml="prev"/>
                                <w:bookmarkEnd w:id="6" w:displacedByCustomXml="prev"/>
                                <w:p w14:paraId="4D527A8B" w14:textId="30176AE6" w:rsidR="005055D8" w:rsidRPr="00F634F5" w:rsidRDefault="005055D8" w:rsidP="00CC7EC2">
                                  <w:pPr>
                                    <w:rPr>
                                      <w:rStyle w:val="BookTitle"/>
                                      <w:smallCaps w:val="0"/>
                                      <w:color w:val="000000" w:themeColor="text1"/>
                                      <w:sz w:val="32"/>
                                      <w:szCs w:val="32"/>
                                    </w:rPr>
                                  </w:pPr>
                                  <w:r w:rsidRPr="00F634F5">
                                    <w:rPr>
                                      <w:rStyle w:val="BookTitle"/>
                                      <w:smallCaps w:val="0"/>
                                      <w:color w:val="000000" w:themeColor="text1"/>
                                      <w:sz w:val="32"/>
                                      <w:szCs w:val="32"/>
                                    </w:rPr>
                                    <w:t>Brendan Collins, Simon Leigh, Fatemeh Behzadnejad, Antony P. Martin, Alan Haycox, Harry Sumnall, Geoff Bates.</w:t>
                                  </w:r>
                                </w:p>
                                <w:p w14:paraId="7033FDEF" w14:textId="77777777" w:rsidR="005055D8" w:rsidRDefault="005055D8" w:rsidP="00CC7EC2"/>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xmlns:w15="http://schemas.microsoft.com/office/word/2012/wordml">
                <w:pict>
                  <v:group w14:anchorId="0CD22689" id="Group 3" o:spid="_x0000_s1026" style="position:absolute;margin-left:0;margin-top:0;width:612pt;height:647.95pt;z-index:251659264;mso-width-percent:1000;mso-height-percent:1000;mso-position-horizontal:center;mso-position-horizontal-relative:page;mso-position-vertical:center;mso-position-vertical-relative:margin;mso-width-percent:1000;mso-height-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" o:allowincell="f">
                    <v:group id="Group 4" o:spid="_x0000_s1027"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group id="Group 5"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5CQRcYAAADcAAAADwAAAGRycy9kb3ducmV2LnhtbESPW2vCQBSE3wv+h+UI&#10;faub2FY0ZhURW/ogghcQ3w7Zkwtmz4bsNon/vlso9HGYmW+YdD2YWnTUusqygngSgSDOrK64UHA5&#10;f7zMQTiPrLG2TAoe5GC9Gj2lmGjb85G6ky9EgLBLUEHpfZNI6bKSDLqJbYiDl9vWoA+yLaRusQ9w&#10;U8tpFM2kwYrDQokNbUvK7qdvo+Czx37zGu+6/T3fPm7n98N1H5NSz+NhswThafD/4b/2l1bwFi3g&#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kJBFxgAAANwA&#10;AAAPAAAAAAAAAAAAAAAAAKoCAABkcnMvZG93bnJldi54bWxQSwUGAAAAAAQABAD6AAAAnQMAAAAA&#10;">
                        <v:shape id="Freeform 6"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7CRMAA&#10;AADcAAAADwAAAGRycy9kb3ducmV2LnhtbERPzWoCMRC+C75DGKE3za60IlujiCBY7KFqH2DYjLuL&#10;yWRJRt2+fXMo9Pjx/a82g3fqQTF1gQ2UswIUcR1sx42B78t+ugSVBNmiC0wGfijBZj0erbCy4ckn&#10;epylUTmEU4UGWpG+0jrVLXlMs9ATZ+4aokfJMDbaRnzmcO/0vCgW2mPHuaHFnnYt1bfz3RsQd+RT&#10;vfx4O96L0n1+RdstdmLMy2TYvoMSGuRf/Oc+WAOvZZ6fz+Qjo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7CRMAAAADcAAAADwAAAAAAAAAAAAAAAACYAgAAZHJzL2Rvd25y&#10;ZXYueG1sUEsFBgAAAAAEAAQA9QAAAIUD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2xsYA&#10;AADcAAAADwAAAGRycy9kb3ducmV2LnhtbESPQWsCMRSE74X+h/AKvZSa3VZqWY0i0tJ6stqC18fm&#10;uVndvGyTVFd/fSMIHoeZ+YYZTTrbiD35UDtWkPcyEMSl0zVXCn6+3x9fQYSIrLFxTAqOFGAyvr0Z&#10;YaHdgZe0X8VKJAiHAhWYGNtCylAashh6riVO3sZ5izFJX0nt8ZDgtpFPWfYiLdacFgy2NDNU7lZ/&#10;VsHXaemnz+2vP6HpV4vtfP0wePtQ6v6umw5BROriNXxpf2oF/TyH85l0BOT4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g2xsYAAADc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WTcMMA&#10;AADcAAAADwAAAGRycy9kb3ducmV2LnhtbESPQYvCMBSE78L+h/AW9qapQVS6RnFXZEW8qOv90Tzb&#10;avNSmqj13xtB8DjMzDfMZNbaSlyp8aVjDf1eAoI4c6bkXMP/ftkdg/AB2WDlmDTcycNs+tGZYGrc&#10;jbd03YVcRAj7FDUUIdSplD4ryKLvuZo4ekfXWAxRNrk0Dd4i3FZSJclQWiw5LhRY029B2Xl3sRpG&#10;+8VgMTdr9fPH4aSygzodNkrrr892/g0iUBve4Vd7ZTQM+gqeZ+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WTcMMAAADc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I4MUA&#10;AADcAAAADwAAAGRycy9kb3ducmV2LnhtbESPQWvCQBSE70L/w/IKvemutaik2UgJaHvoxUTvj+xr&#10;Epp9G7LbGP313ULB4zAz3zDpbrKdGGnwrWMNy4UCQVw503Kt4VTu51sQPiAb7ByThit52GUPsxQT&#10;4y58pLEItYgQ9glqaELoEyl91ZBFv3A9cfS+3GAxRDnU0gx4iXDbyWel1tJiy3GhwZ7yhqrv4sdq&#10;OI756nwoFV1Ls+neN5+Fut1yrZ8ep7dXEIGmcA//tz+MhpflCv7OxCM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gjgxQAAANwAAAAPAAAAAAAAAAAAAAAAAJgCAABkcnMv&#10;ZG93bnJldi54bWxQSwUGAAAAAAQABAD1AAAAigM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w+sYA&#10;AADcAAAADwAAAGRycy9kb3ducmV2LnhtbESPQWsCMRSE7wX/Q3hCbzWraCmrUURs6aVQtyJ6e7t5&#10;zS7dvCxJqmt/fVMQehxm5htmseptK87kQ+NYwXiUgSCunG7YKNh/PD88gQgRWWPrmBRcKcBqObhb&#10;YK7dhXd0LqIRCcIhRwV1jF0uZahqshhGriNO3qfzFmOS3kjt8ZLgtpWTLHuUFhtOCzV2tKmp+iq+&#10;rYKDfJ8Vx515c+WpzEq/PbTm50Wp+2G/noOI1Mf/8K39qhVMx1P4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Qw+sYAAADcAAAADwAAAAAAAAAAAAAAAACYAgAAZHJz&#10;L2Rvd25yZXYueG1sUEsFBgAAAAAEAAQA9QAAAIsD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sFfsYA&#10;AADcAAAADwAAAGRycy9kb3ducmV2LnhtbESPQWvCQBSE7wX/w/KEXopuLK2E1FXEYOlBqMZCr6/Z&#10;ZxLMvg27WxP/vVsoeBxm5htmsRpMKy7kfGNZwWyagCAurW64UvB13E5SED4ga2wtk4IreVgtRw8L&#10;zLTt+UCXIlQiQthnqKAOocuk9GVNBv3UdsTRO1lnMETpKqkd9hFuWvmcJHNpsOG4UGNHm5rKc/Fr&#10;FBT5d/F09fvPPE/33fuP221Mnyr1OB7WbyACDeEe/m9/aAUvs1f4O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sFfsYAAADcAAAADwAAAAAAAAAAAAAAAACYAgAAZHJz&#10;L2Rvd25yZXYueG1sUEsFBgAAAAAEAAQA9QAAAIsDA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8JbsMA&#10;AADcAAAADwAAAGRycy9kb3ducmV2LnhtbESPQWvCQBSE7wX/w/IEb3WTKFJSV9FCaT0aW8+P7DMb&#10;zL6N2a1J/70rCB6HmfmGWa4H24grdb52rCCdJiCIS6drrhT8HD5f30D4gKyxcUwK/snDejV6WWKu&#10;Xc97uhahEhHCPkcFJoQ2l9KXhiz6qWuJo3dyncUQZVdJ3WEf4baRWZIspMWa44LBlj4Mlefizyr4&#10;7fdSh+ayO34VaTarj9usvBilJuNh8w4i0BCe4Uf7WyuYpwu4n4lH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8JbsMAAADcAAAADwAAAAAAAAAAAAAAAACYAgAAZHJzL2Rv&#10;d25yZXYueG1sUEsFBgAAAAAEAAQA9QAAAIgD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ACcUA&#10;AADcAAAADwAAAGRycy9kb3ducmV2LnhtbESPW4vCMBSE3xf8D+EIvq2pF1apRnFFYd8WLyC+HZpj&#10;W2xOapKt7b/fLCz4OMzMN8xy3ZpKNOR8aVnBaJiAIM6sLjlXcD7t3+cgfEDWWFkmBR15WK96b0tM&#10;tX3ygZpjyEWEsE9RQRFCnUrps4IM+qGtiaN3s85giNLlUjt8Rrip5DhJPqTBkuNCgTVtC8ruxx+j&#10;YOK+x7vD5eHR3ubb82fTTa91p9Sg324WIAK14RX+b39pBdPRDP7Ox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4AJxQAAANwAAAAPAAAAAAAAAAAAAAAAAJgCAABkcnMv&#10;ZG93bnJldi54bWxQSwUGAAAAAAQABAD1AAAAigM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HgAcMA&#10;AADcAAAADwAAAGRycy9kb3ducmV2LnhtbERPz0/CMBS+k/g/NM+Em3SAIJkUYhY0JHgQhHB9rM92&#10;cX1d1jrmf28PJhy/fL+X697VoqM2VJ4VjEcZCOLS64qNguPn68MCRIjIGmvPpOCXAqxXd4Ml5tpf&#10;eU/dIRqRQjjkqMDG2ORShtKSwzDyDXHivnzrMCbYGqlbvKZwV8tJls2lw4pTg8WGCkvl9+HHKXj7&#10;mBVT0523zc5X9vT+dDSXYqPU8L5/eQYRqY838b97qxU8jtPadCYdAb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HgAcMAAADcAAAADwAAAAAAAAAAAAAAAACYAgAAZHJzL2Rv&#10;d25yZXYueG1sUEsFBgAAAAAEAAQA9QAAAIgDAAAAAA==&#10;" path="m,1038l,2411,4102,3432,4102,,,1038xe" fillcolor="#d3dfee" stroked="f">
                        <v:fill opacity="46003f"/>
                        <v:path arrowok="t" o:connecttype="custom" o:connectlocs="0,1038;0,2411;4102,3432;4102,0;0,1038" o:connectangles="0,0,0,0,0"/>
                      </v:shape>
                    </v:group>
                    <v:rect id="Rectangle 15" o:spid="_x0000_s1038" style="position:absolute;left:1800;top:1440;width:8638;height:1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UpPsYA&#10;AADcAAAADwAAAGRycy9kb3ducmV2LnhtbESP0WrCQBRE3wv9h+UWfCl1o4it0Y2UtEL0zdQPuGZv&#10;kzTZuyG7jfHvuwXBx2FmzjCb7WhaMVDvassKZtMIBHFhdc2lgtPX7uUNhPPIGlvLpOBKDrbJ48MG&#10;Y20vfKQh96UIEHYxKqi872IpXVGRQTe1HXHwvm1v0AfZl1L3eAlw08p5FC2lwZrDQoUdpRUVTf5r&#10;FOwPi8MpzeRPs6o/nrPXPJLn5adSk6fxfQ3C0+jv4Vs70woWsxX8nwlHQ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OUpPsYAAADcAAAADwAAAAAAAAAAAAAAAACYAgAAZHJz&#10;L2Rvd25yZXYueG1sUEsFBgAAAAAEAAQA9QAAAIsDAAAAAA==&#10;" filled="f" stroked="f">
                      <v:textbox style="mso-fit-shape-to-text:t">
                        <w:txbxContent>
                          <w:p w14:paraId="753DEB2C" w14:textId="77777777" w:rsidR="005055D8" w:rsidRDefault="005055D8" w:rsidP="00CC7EC2"/>
                        </w:txbxContent>
                      </v:textbox>
                    </v:rect>
                    <v:rect id="Rectangle 16" o:spid="_x0000_s1039" style="position:absolute;left:6734;top:11043;width:4998;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NKHsMA&#10;AADcAAAADwAAAGRycy9kb3ducmV2LnhtbERPzWrCQBC+F3yHZYReitk0iNU0q4htIXpr6gOM2WkS&#10;zc6G7DbGt3cPQo8f33+2GU0rBupdY1nBaxSDIC6tbrhScPz5mi1BOI+ssbVMCm7kYLOePGWYanvl&#10;bxoKX4kQwi5FBbX3XSqlK2sy6CLbEQfu1/YGfYB9JXWP1xBuWpnE8UIabDg01NjRrqbyUvwZBfvD&#10;/HDc5fJ8WTUfL/lbEcvT4lOp5+m4fQfhafT/4oc71wrmSZgfzoQj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NKHsMAAADcAAAADwAAAAAAAAAAAAAAAACYAgAAZHJzL2Rv&#10;d25yZXYueG1sUEsFBgAAAAAEAAQA9QAAAIgDAAAAAA==&#10;" filled="f" stroked="f">
                      <v:textbox style="mso-fit-shape-to-text:t">
                        <w:txbxContent>
                          <w:p w14:paraId="71F5E8BB" w14:textId="69E930D4" w:rsidR="005055D8" w:rsidRDefault="005055D8" w:rsidP="00CC7EC2"/>
                        </w:txbxContent>
                      </v:textbox>
                    </v:rect>
                    <v:rect id="Rectangle 17"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rxMUA&#10;AADcAAAADwAAAGRycy9kb3ducmV2LnhtbESP0WrCQBRE3wv+w3ILvtWNqUhJXaUooQqtoPUDrtlr&#10;EszeDbtrEv/eLRT6OMzMGWaxGkwjOnK+tqxgOklAEBdW11wqOP3kL28gfEDW2FgmBXfysFqOnhaY&#10;advzgbpjKEWEsM9QQRVCm0npi4oM+oltiaN3sc5giNKVUjvsI9w0Mk2SuTRYc1yosKV1RcX1eDMK&#10;Xr/2e/e9uebzZHPasXXD+vN8UGr8PHy8gwg0hP/wX3urFczSKfye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vExQAAANwAAAAPAAAAAAAAAAAAAAAAAJgCAABkcnMv&#10;ZG93bnJldi54bWxQSwUGAAAAAAQABAD1AAAAigMAAAAA&#10;" filled="f" stroked="f">
                      <v:textbox>
                        <w:txbxContent>
                          <w:bookmarkStart w:id="6" w:name="_Toc452035617" w:displacedByCustomXml="next"/>
                          <w:bookmarkStart w:id="7" w:name="_Toc450904382" w:displacedByCustomXml="next"/>
                          <w:sdt>
                            <w:sdtPr>
                              <w:rPr>
                                <w:rStyle w:val="BookTitle"/>
                                <w:smallCaps w:val="0"/>
                              </w:rPr>
                              <w:alias w:val="Title"/>
                              <w:id w:val="-621544638"/>
                              <w:dataBinding w:prefixMappings="xmlns:ns0='http://schemas.openxmlformats.org/package/2006/metadata/core-properties' xmlns:ns1='http://purl.org/dc/elements/1.1/'" w:xpath="/ns0:coreProperties[1]/ns1:title[1]" w:storeItemID="{6C3C8BC8-F283-45AE-878A-BAB7291924A1}"/>
                              <w:text/>
                            </w:sdtPr>
                            <w:sdtContent>
                              <w:p w14:paraId="2E86030C" w14:textId="6D3EE3DF" w:rsidR="005055D8" w:rsidRPr="00F634F5" w:rsidRDefault="005055D8" w:rsidP="00CC7EC2">
                                <w:pPr>
                                  <w:pStyle w:val="Style3"/>
                                  <w:rPr>
                                    <w:rStyle w:val="BookTitle"/>
                                    <w:smallCaps w:val="0"/>
                                  </w:rPr>
                                </w:pPr>
                                <w:r w:rsidRPr="00F634F5">
                                  <w:rPr>
                                    <w:rStyle w:val="BookTitle"/>
                                    <w:smallCaps w:val="0"/>
                                  </w:rPr>
                                  <w:t>NICE Drug Misuse Prevention:</w:t>
                                </w:r>
                              </w:p>
                            </w:sdtContent>
                          </w:sdt>
                          <w:bookmarkEnd w:id="6" w:displacedByCustomXml="prev"/>
                          <w:bookmarkEnd w:id="7" w:displacedByCustomXml="prev"/>
                          <w:bookmarkStart w:id="8" w:name="_Toc452035618" w:displacedByCustomXml="next"/>
                          <w:bookmarkStart w:id="9" w:name="_Toc450904383" w:displacedByCustomXml="next"/>
                          <w:sdt>
                            <w:sdtPr>
                              <w:rPr>
                                <w:rStyle w:val="BookTitle"/>
                                <w:smallCaps w:val="0"/>
                              </w:rPr>
                              <w:alias w:val="Subtitle"/>
                              <w:id w:val="1952516410"/>
                              <w:dataBinding w:prefixMappings="xmlns:ns0='http://schemas.openxmlformats.org/package/2006/metadata/core-properties' xmlns:ns1='http://purl.org/dc/elements/1.1/'" w:xpath="/ns0:coreProperties[1]/ns1:subject[1]" w:storeItemID="{6C3C8BC8-F283-45AE-878A-BAB7291924A1}"/>
                              <w:text/>
                            </w:sdtPr>
                            <w:sdtContent>
                              <w:p w14:paraId="662FA825" w14:textId="3764AD7E" w:rsidR="005055D8" w:rsidRPr="00F634F5" w:rsidRDefault="005055D8" w:rsidP="00CC7EC2">
                                <w:pPr>
                                  <w:pStyle w:val="Style3"/>
                                  <w:rPr>
                                    <w:rStyle w:val="BookTitle"/>
                                    <w:smallCaps w:val="0"/>
                                  </w:rPr>
                                </w:pPr>
                                <w:r w:rsidRPr="00F634F5">
                                  <w:rPr>
                                    <w:rStyle w:val="BookTitle"/>
                                    <w:smallCaps w:val="0"/>
                                  </w:rPr>
                                  <w:t>Economic Modelling Report</w:t>
                                </w:r>
                              </w:p>
                            </w:sdtContent>
                          </w:sdt>
                          <w:bookmarkEnd w:id="8" w:displacedByCustomXml="prev"/>
                          <w:bookmarkEnd w:id="9" w:displacedByCustomXml="prev"/>
                          <w:p w14:paraId="4D527A8B" w14:textId="30176AE6" w:rsidR="005055D8" w:rsidRPr="00F634F5" w:rsidRDefault="005055D8" w:rsidP="00CC7EC2">
                            <w:pPr>
                              <w:rPr>
                                <w:rStyle w:val="BookTitle"/>
                                <w:smallCaps w:val="0"/>
                                <w:color w:val="000000" w:themeColor="text1"/>
                                <w:sz w:val="32"/>
                                <w:szCs w:val="32"/>
                              </w:rPr>
                            </w:pPr>
                            <w:r w:rsidRPr="00F634F5">
                              <w:rPr>
                                <w:rStyle w:val="BookTitle"/>
                                <w:smallCaps w:val="0"/>
                                <w:color w:val="000000" w:themeColor="text1"/>
                                <w:sz w:val="32"/>
                                <w:szCs w:val="32"/>
                              </w:rPr>
                              <w:t>Brendan Collins, Simon Leigh, Fatemeh Behzadnejad, Antony P. Martin, Alan Haycox, Harry Sumnall, Geoff Bates.</w:t>
                            </w:r>
                          </w:p>
                          <w:p w14:paraId="7033FDEF" w14:textId="77777777" w:rsidR="005055D8" w:rsidRDefault="005055D8" w:rsidP="00CC7EC2"/>
                        </w:txbxContent>
                      </v:textbox>
                    </v:rect>
                    <w10:wrap anchorx="page" anchory="margin"/>
                  </v:group>
                </w:pict>
              </mc:Fallback>
            </mc:AlternateContent>
          </w:r>
          <w:bookmarkEnd w:id="2"/>
          <w:bookmarkEnd w:id="1"/>
          <w:r w:rsidRPr="00AC2C72">
            <w:br w:type="page"/>
          </w:r>
        </w:p>
        <w:sdt>
          <w:sdtPr>
            <w:rPr>
              <w:rFonts w:ascii="Arial" w:eastAsiaTheme="minorHAnsi" w:hAnsi="Arial" w:cs="Arial"/>
              <w:b w:val="0"/>
              <w:bCs w:val="0"/>
              <w:color w:val="auto"/>
              <w:sz w:val="24"/>
              <w:szCs w:val="22"/>
              <w:lang w:val="en-GB" w:eastAsia="en-US"/>
            </w:rPr>
            <w:id w:val="1878885973"/>
            <w:docPartObj>
              <w:docPartGallery w:val="Table of Contents"/>
              <w:docPartUnique/>
            </w:docPartObj>
          </w:sdtPr>
          <w:sdtEndPr>
            <w:rPr>
              <w:noProof/>
              <w:szCs w:val="24"/>
              <w:lang w:eastAsia="en-GB"/>
            </w:rPr>
          </w:sdtEndPr>
          <w:sdtContent>
            <w:p w14:paraId="5D0C9BB4" w14:textId="60B918F1" w:rsidR="008C7845" w:rsidRPr="00D21C25" w:rsidRDefault="008C7845" w:rsidP="00CC7EC2">
              <w:pPr>
                <w:pStyle w:val="TOCHeading"/>
              </w:pPr>
              <w:r w:rsidRPr="00D21C25">
                <w:t>Contents</w:t>
              </w:r>
            </w:p>
            <w:p w14:paraId="1FB57472" w14:textId="5494C805" w:rsidR="007F2A06" w:rsidRDefault="008C7845" w:rsidP="003D56F0">
              <w:pPr>
                <w:pStyle w:val="TOC3"/>
                <w:tabs>
                  <w:tab w:val="right" w:leader="dot" w:pos="9016"/>
                </w:tabs>
                <w:rPr>
                  <w:rFonts w:asciiTheme="minorHAnsi" w:eastAsiaTheme="minorEastAsia" w:hAnsiTheme="minorHAnsi" w:cstheme="minorBidi"/>
                  <w:noProof/>
                  <w:sz w:val="22"/>
                  <w:szCs w:val="22"/>
                </w:rPr>
              </w:pPr>
              <w:r w:rsidRPr="00AC2C72">
                <w:fldChar w:fldCharType="begin"/>
              </w:r>
              <w:r w:rsidRPr="00AC2C72">
                <w:instrText xml:space="preserve"> TOC \o "1-3" \h \z \u </w:instrText>
              </w:r>
              <w:r w:rsidRPr="00AC2C72">
                <w:fldChar w:fldCharType="separate"/>
              </w:r>
            </w:p>
            <w:p w14:paraId="0F40FC67" w14:textId="77777777" w:rsidR="007F2A06" w:rsidRDefault="00984E4E">
              <w:pPr>
                <w:pStyle w:val="TOC2"/>
                <w:tabs>
                  <w:tab w:val="left" w:pos="800"/>
                  <w:tab w:val="right" w:leader="dot" w:pos="9016"/>
                </w:tabs>
                <w:rPr>
                  <w:rFonts w:asciiTheme="minorHAnsi" w:eastAsiaTheme="minorEastAsia" w:hAnsiTheme="minorHAnsi" w:cstheme="minorBidi"/>
                  <w:noProof/>
                  <w:sz w:val="22"/>
                  <w:szCs w:val="22"/>
                </w:rPr>
              </w:pPr>
              <w:hyperlink w:anchor="_Toc452035620" w:history="1">
                <w:r w:rsidR="007F2A06" w:rsidRPr="00D74F74">
                  <w:rPr>
                    <w:rStyle w:val="Hyperlink"/>
                    <w:noProof/>
                  </w:rPr>
                  <w:t>1.</w:t>
                </w:r>
                <w:r w:rsidR="007F2A06">
                  <w:rPr>
                    <w:rFonts w:asciiTheme="minorHAnsi" w:eastAsiaTheme="minorEastAsia" w:hAnsiTheme="minorHAnsi" w:cstheme="minorBidi"/>
                    <w:noProof/>
                    <w:sz w:val="22"/>
                    <w:szCs w:val="22"/>
                  </w:rPr>
                  <w:tab/>
                </w:r>
                <w:r w:rsidR="007F2A06" w:rsidRPr="00D74F74">
                  <w:rPr>
                    <w:rStyle w:val="Hyperlink"/>
                    <w:noProof/>
                  </w:rPr>
                  <w:t>Executive Summary &amp; Evidence Statements</w:t>
                </w:r>
                <w:r w:rsidR="007F2A06">
                  <w:rPr>
                    <w:noProof/>
                    <w:webHidden/>
                  </w:rPr>
                  <w:tab/>
                </w:r>
                <w:r w:rsidR="007F2A06">
                  <w:rPr>
                    <w:noProof/>
                    <w:webHidden/>
                  </w:rPr>
                  <w:fldChar w:fldCharType="begin"/>
                </w:r>
                <w:r w:rsidR="007F2A06">
                  <w:rPr>
                    <w:noProof/>
                    <w:webHidden/>
                  </w:rPr>
                  <w:instrText xml:space="preserve"> PAGEREF _Toc452035620 \h </w:instrText>
                </w:r>
                <w:r w:rsidR="007F2A06">
                  <w:rPr>
                    <w:noProof/>
                    <w:webHidden/>
                  </w:rPr>
                </w:r>
                <w:r w:rsidR="007F2A06">
                  <w:rPr>
                    <w:noProof/>
                    <w:webHidden/>
                  </w:rPr>
                  <w:fldChar w:fldCharType="separate"/>
                </w:r>
                <w:r w:rsidR="007F2A06">
                  <w:rPr>
                    <w:noProof/>
                    <w:webHidden/>
                  </w:rPr>
                  <w:t>3</w:t>
                </w:r>
                <w:r w:rsidR="007F2A06">
                  <w:rPr>
                    <w:noProof/>
                    <w:webHidden/>
                  </w:rPr>
                  <w:fldChar w:fldCharType="end"/>
                </w:r>
              </w:hyperlink>
            </w:p>
            <w:p w14:paraId="4B1FBDBB"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21" w:history="1">
                <w:r w:rsidR="007F2A06" w:rsidRPr="00D74F74">
                  <w:rPr>
                    <w:rStyle w:val="Hyperlink"/>
                    <w:noProof/>
                  </w:rPr>
                  <w:t>Results and Evidence Statements</w:t>
                </w:r>
                <w:r w:rsidR="007F2A06">
                  <w:rPr>
                    <w:noProof/>
                    <w:webHidden/>
                  </w:rPr>
                  <w:tab/>
                </w:r>
                <w:r w:rsidR="007F2A06">
                  <w:rPr>
                    <w:noProof/>
                    <w:webHidden/>
                  </w:rPr>
                  <w:fldChar w:fldCharType="begin"/>
                </w:r>
                <w:r w:rsidR="007F2A06">
                  <w:rPr>
                    <w:noProof/>
                    <w:webHidden/>
                  </w:rPr>
                  <w:instrText xml:space="preserve"> PAGEREF _Toc452035621 \h </w:instrText>
                </w:r>
                <w:r w:rsidR="007F2A06">
                  <w:rPr>
                    <w:noProof/>
                    <w:webHidden/>
                  </w:rPr>
                </w:r>
                <w:r w:rsidR="007F2A06">
                  <w:rPr>
                    <w:noProof/>
                    <w:webHidden/>
                  </w:rPr>
                  <w:fldChar w:fldCharType="separate"/>
                </w:r>
                <w:r w:rsidR="007F2A06">
                  <w:rPr>
                    <w:noProof/>
                    <w:webHidden/>
                  </w:rPr>
                  <w:t>3</w:t>
                </w:r>
                <w:r w:rsidR="007F2A06">
                  <w:rPr>
                    <w:noProof/>
                    <w:webHidden/>
                  </w:rPr>
                  <w:fldChar w:fldCharType="end"/>
                </w:r>
              </w:hyperlink>
            </w:p>
            <w:p w14:paraId="1BBE7F42" w14:textId="77777777" w:rsidR="007F2A06" w:rsidRDefault="00984E4E">
              <w:pPr>
                <w:pStyle w:val="TOC2"/>
                <w:tabs>
                  <w:tab w:val="left" w:pos="800"/>
                  <w:tab w:val="right" w:leader="dot" w:pos="9016"/>
                </w:tabs>
                <w:rPr>
                  <w:rFonts w:asciiTheme="minorHAnsi" w:eastAsiaTheme="minorEastAsia" w:hAnsiTheme="minorHAnsi" w:cstheme="minorBidi"/>
                  <w:noProof/>
                  <w:sz w:val="22"/>
                  <w:szCs w:val="22"/>
                </w:rPr>
              </w:pPr>
              <w:hyperlink w:anchor="_Toc452035622" w:history="1">
                <w:r w:rsidR="007F2A06" w:rsidRPr="00D74F74">
                  <w:rPr>
                    <w:rStyle w:val="Hyperlink"/>
                    <w:noProof/>
                  </w:rPr>
                  <w:t>2.</w:t>
                </w:r>
                <w:r w:rsidR="007F2A06">
                  <w:rPr>
                    <w:rFonts w:asciiTheme="minorHAnsi" w:eastAsiaTheme="minorEastAsia" w:hAnsiTheme="minorHAnsi" w:cstheme="minorBidi"/>
                    <w:noProof/>
                    <w:sz w:val="22"/>
                    <w:szCs w:val="22"/>
                  </w:rPr>
                  <w:tab/>
                </w:r>
                <w:r w:rsidR="007F2A06" w:rsidRPr="00D74F74">
                  <w:rPr>
                    <w:rStyle w:val="Hyperlink"/>
                    <w:noProof/>
                  </w:rPr>
                  <w:t>Introduction</w:t>
                </w:r>
                <w:r w:rsidR="007F2A06">
                  <w:rPr>
                    <w:noProof/>
                    <w:webHidden/>
                  </w:rPr>
                  <w:tab/>
                </w:r>
                <w:r w:rsidR="007F2A06">
                  <w:rPr>
                    <w:noProof/>
                    <w:webHidden/>
                  </w:rPr>
                  <w:fldChar w:fldCharType="begin"/>
                </w:r>
                <w:r w:rsidR="007F2A06">
                  <w:rPr>
                    <w:noProof/>
                    <w:webHidden/>
                  </w:rPr>
                  <w:instrText xml:space="preserve"> PAGEREF _Toc452035622 \h </w:instrText>
                </w:r>
                <w:r w:rsidR="007F2A06">
                  <w:rPr>
                    <w:noProof/>
                    <w:webHidden/>
                  </w:rPr>
                </w:r>
                <w:r w:rsidR="007F2A06">
                  <w:rPr>
                    <w:noProof/>
                    <w:webHidden/>
                  </w:rPr>
                  <w:fldChar w:fldCharType="separate"/>
                </w:r>
                <w:r w:rsidR="007F2A06">
                  <w:rPr>
                    <w:noProof/>
                    <w:webHidden/>
                  </w:rPr>
                  <w:t>7</w:t>
                </w:r>
                <w:r w:rsidR="007F2A06">
                  <w:rPr>
                    <w:noProof/>
                    <w:webHidden/>
                  </w:rPr>
                  <w:fldChar w:fldCharType="end"/>
                </w:r>
              </w:hyperlink>
            </w:p>
            <w:p w14:paraId="7624D606"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23" w:history="1">
                <w:r w:rsidR="007F2A06" w:rsidRPr="00D74F74">
                  <w:rPr>
                    <w:rStyle w:val="Hyperlink"/>
                    <w:noProof/>
                  </w:rPr>
                  <w:t>2.1 Overall Aims and Objectives</w:t>
                </w:r>
                <w:r w:rsidR="007F2A06">
                  <w:rPr>
                    <w:noProof/>
                    <w:webHidden/>
                  </w:rPr>
                  <w:tab/>
                </w:r>
                <w:r w:rsidR="007F2A06">
                  <w:rPr>
                    <w:noProof/>
                    <w:webHidden/>
                  </w:rPr>
                  <w:fldChar w:fldCharType="begin"/>
                </w:r>
                <w:r w:rsidR="007F2A06">
                  <w:rPr>
                    <w:noProof/>
                    <w:webHidden/>
                  </w:rPr>
                  <w:instrText xml:space="preserve"> PAGEREF _Toc452035623 \h </w:instrText>
                </w:r>
                <w:r w:rsidR="007F2A06">
                  <w:rPr>
                    <w:noProof/>
                    <w:webHidden/>
                  </w:rPr>
                </w:r>
                <w:r w:rsidR="007F2A06">
                  <w:rPr>
                    <w:noProof/>
                    <w:webHidden/>
                  </w:rPr>
                  <w:fldChar w:fldCharType="separate"/>
                </w:r>
                <w:r w:rsidR="007F2A06">
                  <w:rPr>
                    <w:noProof/>
                    <w:webHidden/>
                  </w:rPr>
                  <w:t>8</w:t>
                </w:r>
                <w:r w:rsidR="007F2A06">
                  <w:rPr>
                    <w:noProof/>
                    <w:webHidden/>
                  </w:rPr>
                  <w:fldChar w:fldCharType="end"/>
                </w:r>
              </w:hyperlink>
            </w:p>
            <w:p w14:paraId="7E339638"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24" w:history="1">
                <w:r w:rsidR="007F2A06" w:rsidRPr="00D74F74">
                  <w:rPr>
                    <w:rStyle w:val="Hyperlink"/>
                    <w:noProof/>
                  </w:rPr>
                  <w:t>2.2 Decision Question</w:t>
                </w:r>
                <w:r w:rsidR="007F2A06">
                  <w:rPr>
                    <w:noProof/>
                    <w:webHidden/>
                  </w:rPr>
                  <w:tab/>
                </w:r>
                <w:r w:rsidR="007F2A06">
                  <w:rPr>
                    <w:noProof/>
                    <w:webHidden/>
                  </w:rPr>
                  <w:fldChar w:fldCharType="begin"/>
                </w:r>
                <w:r w:rsidR="007F2A06">
                  <w:rPr>
                    <w:noProof/>
                    <w:webHidden/>
                  </w:rPr>
                  <w:instrText xml:space="preserve"> PAGEREF _Toc452035624 \h </w:instrText>
                </w:r>
                <w:r w:rsidR="007F2A06">
                  <w:rPr>
                    <w:noProof/>
                    <w:webHidden/>
                  </w:rPr>
                </w:r>
                <w:r w:rsidR="007F2A06">
                  <w:rPr>
                    <w:noProof/>
                    <w:webHidden/>
                  </w:rPr>
                  <w:fldChar w:fldCharType="separate"/>
                </w:r>
                <w:r w:rsidR="007F2A06">
                  <w:rPr>
                    <w:noProof/>
                    <w:webHidden/>
                  </w:rPr>
                  <w:t>8</w:t>
                </w:r>
                <w:r w:rsidR="007F2A06">
                  <w:rPr>
                    <w:noProof/>
                    <w:webHidden/>
                  </w:rPr>
                  <w:fldChar w:fldCharType="end"/>
                </w:r>
              </w:hyperlink>
            </w:p>
            <w:p w14:paraId="1C16CDB8"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25" w:history="1">
                <w:r w:rsidR="007F2A06" w:rsidRPr="00D74F74">
                  <w:rPr>
                    <w:rStyle w:val="Hyperlink"/>
                    <w:noProof/>
                  </w:rPr>
                  <w:t>2.3 Objectives of this Report</w:t>
                </w:r>
                <w:r w:rsidR="007F2A06">
                  <w:rPr>
                    <w:noProof/>
                    <w:webHidden/>
                  </w:rPr>
                  <w:tab/>
                </w:r>
                <w:r w:rsidR="007F2A06">
                  <w:rPr>
                    <w:noProof/>
                    <w:webHidden/>
                  </w:rPr>
                  <w:fldChar w:fldCharType="begin"/>
                </w:r>
                <w:r w:rsidR="007F2A06">
                  <w:rPr>
                    <w:noProof/>
                    <w:webHidden/>
                  </w:rPr>
                  <w:instrText xml:space="preserve"> PAGEREF _Toc452035625 \h </w:instrText>
                </w:r>
                <w:r w:rsidR="007F2A06">
                  <w:rPr>
                    <w:noProof/>
                    <w:webHidden/>
                  </w:rPr>
                </w:r>
                <w:r w:rsidR="007F2A06">
                  <w:rPr>
                    <w:noProof/>
                    <w:webHidden/>
                  </w:rPr>
                  <w:fldChar w:fldCharType="separate"/>
                </w:r>
                <w:r w:rsidR="007F2A06">
                  <w:rPr>
                    <w:noProof/>
                    <w:webHidden/>
                  </w:rPr>
                  <w:t>8</w:t>
                </w:r>
                <w:r w:rsidR="007F2A06">
                  <w:rPr>
                    <w:noProof/>
                    <w:webHidden/>
                  </w:rPr>
                  <w:fldChar w:fldCharType="end"/>
                </w:r>
              </w:hyperlink>
            </w:p>
            <w:p w14:paraId="31DECA8F" w14:textId="77777777" w:rsidR="007F2A06" w:rsidRDefault="00984E4E">
              <w:pPr>
                <w:pStyle w:val="TOC2"/>
                <w:tabs>
                  <w:tab w:val="left" w:pos="800"/>
                  <w:tab w:val="right" w:leader="dot" w:pos="9016"/>
                </w:tabs>
                <w:rPr>
                  <w:rFonts w:asciiTheme="minorHAnsi" w:eastAsiaTheme="minorEastAsia" w:hAnsiTheme="minorHAnsi" w:cstheme="minorBidi"/>
                  <w:noProof/>
                  <w:sz w:val="22"/>
                  <w:szCs w:val="22"/>
                </w:rPr>
              </w:pPr>
              <w:hyperlink w:anchor="_Toc452035626" w:history="1">
                <w:r w:rsidR="007F2A06" w:rsidRPr="00D74F74">
                  <w:rPr>
                    <w:rStyle w:val="Hyperlink"/>
                    <w:noProof/>
                  </w:rPr>
                  <w:t>3.</w:t>
                </w:r>
                <w:r w:rsidR="007F2A06">
                  <w:rPr>
                    <w:rFonts w:asciiTheme="minorHAnsi" w:eastAsiaTheme="minorEastAsia" w:hAnsiTheme="minorHAnsi" w:cstheme="minorBidi"/>
                    <w:noProof/>
                    <w:sz w:val="22"/>
                    <w:szCs w:val="22"/>
                  </w:rPr>
                  <w:tab/>
                </w:r>
                <w:r w:rsidR="007F2A06" w:rsidRPr="00D74F74">
                  <w:rPr>
                    <w:rStyle w:val="Hyperlink"/>
                    <w:noProof/>
                  </w:rPr>
                  <w:t>Summary of Results of Economic Literature Review</w:t>
                </w:r>
                <w:r w:rsidR="007F2A06">
                  <w:rPr>
                    <w:noProof/>
                    <w:webHidden/>
                  </w:rPr>
                  <w:tab/>
                </w:r>
                <w:r w:rsidR="007F2A06">
                  <w:rPr>
                    <w:noProof/>
                    <w:webHidden/>
                  </w:rPr>
                  <w:fldChar w:fldCharType="begin"/>
                </w:r>
                <w:r w:rsidR="007F2A06">
                  <w:rPr>
                    <w:noProof/>
                    <w:webHidden/>
                  </w:rPr>
                  <w:instrText xml:space="preserve"> PAGEREF _Toc452035626 \h </w:instrText>
                </w:r>
                <w:r w:rsidR="007F2A06">
                  <w:rPr>
                    <w:noProof/>
                    <w:webHidden/>
                  </w:rPr>
                </w:r>
                <w:r w:rsidR="007F2A06">
                  <w:rPr>
                    <w:noProof/>
                    <w:webHidden/>
                  </w:rPr>
                  <w:fldChar w:fldCharType="separate"/>
                </w:r>
                <w:r w:rsidR="007F2A06">
                  <w:rPr>
                    <w:noProof/>
                    <w:webHidden/>
                  </w:rPr>
                  <w:t>8</w:t>
                </w:r>
                <w:r w:rsidR="007F2A06">
                  <w:rPr>
                    <w:noProof/>
                    <w:webHidden/>
                  </w:rPr>
                  <w:fldChar w:fldCharType="end"/>
                </w:r>
              </w:hyperlink>
            </w:p>
            <w:p w14:paraId="4B0DAB10"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27" w:history="1">
                <w:r w:rsidR="007F2A06" w:rsidRPr="00D74F74">
                  <w:rPr>
                    <w:rStyle w:val="Hyperlink"/>
                    <w:noProof/>
                  </w:rPr>
                  <w:t>3.1 Method for selection of effectiveness studies</w:t>
                </w:r>
                <w:r w:rsidR="007F2A06">
                  <w:rPr>
                    <w:noProof/>
                    <w:webHidden/>
                  </w:rPr>
                  <w:tab/>
                </w:r>
                <w:r w:rsidR="007F2A06">
                  <w:rPr>
                    <w:noProof/>
                    <w:webHidden/>
                  </w:rPr>
                  <w:fldChar w:fldCharType="begin"/>
                </w:r>
                <w:r w:rsidR="007F2A06">
                  <w:rPr>
                    <w:noProof/>
                    <w:webHidden/>
                  </w:rPr>
                  <w:instrText xml:space="preserve"> PAGEREF _Toc452035627 \h </w:instrText>
                </w:r>
                <w:r w:rsidR="007F2A06">
                  <w:rPr>
                    <w:noProof/>
                    <w:webHidden/>
                  </w:rPr>
                </w:r>
                <w:r w:rsidR="007F2A06">
                  <w:rPr>
                    <w:noProof/>
                    <w:webHidden/>
                  </w:rPr>
                  <w:fldChar w:fldCharType="separate"/>
                </w:r>
                <w:r w:rsidR="007F2A06">
                  <w:rPr>
                    <w:noProof/>
                    <w:webHidden/>
                  </w:rPr>
                  <w:t>9</w:t>
                </w:r>
                <w:r w:rsidR="007F2A06">
                  <w:rPr>
                    <w:noProof/>
                    <w:webHidden/>
                  </w:rPr>
                  <w:fldChar w:fldCharType="end"/>
                </w:r>
              </w:hyperlink>
            </w:p>
            <w:p w14:paraId="666859DB" w14:textId="77777777" w:rsidR="007F2A06" w:rsidRDefault="00984E4E">
              <w:pPr>
                <w:pStyle w:val="TOC2"/>
                <w:tabs>
                  <w:tab w:val="left" w:pos="800"/>
                  <w:tab w:val="right" w:leader="dot" w:pos="9016"/>
                </w:tabs>
                <w:rPr>
                  <w:rFonts w:asciiTheme="minorHAnsi" w:eastAsiaTheme="minorEastAsia" w:hAnsiTheme="minorHAnsi" w:cstheme="minorBidi"/>
                  <w:noProof/>
                  <w:sz w:val="22"/>
                  <w:szCs w:val="22"/>
                </w:rPr>
              </w:pPr>
              <w:hyperlink w:anchor="_Toc452035628" w:history="1">
                <w:r w:rsidR="007F2A06" w:rsidRPr="00D74F74">
                  <w:rPr>
                    <w:rStyle w:val="Hyperlink"/>
                    <w:noProof/>
                  </w:rPr>
                  <w:t>4.</w:t>
                </w:r>
                <w:r w:rsidR="007F2A06">
                  <w:rPr>
                    <w:rFonts w:asciiTheme="minorHAnsi" w:eastAsiaTheme="minorEastAsia" w:hAnsiTheme="minorHAnsi" w:cstheme="minorBidi"/>
                    <w:noProof/>
                    <w:sz w:val="22"/>
                    <w:szCs w:val="22"/>
                  </w:rPr>
                  <w:tab/>
                </w:r>
                <w:r w:rsidR="007F2A06" w:rsidRPr="00D74F74">
                  <w:rPr>
                    <w:rStyle w:val="Hyperlink"/>
                    <w:noProof/>
                  </w:rPr>
                  <w:t>Modelling Methodology</w:t>
                </w:r>
                <w:r w:rsidR="007F2A06">
                  <w:rPr>
                    <w:noProof/>
                    <w:webHidden/>
                  </w:rPr>
                  <w:tab/>
                </w:r>
                <w:r w:rsidR="007F2A06">
                  <w:rPr>
                    <w:noProof/>
                    <w:webHidden/>
                  </w:rPr>
                  <w:fldChar w:fldCharType="begin"/>
                </w:r>
                <w:r w:rsidR="007F2A06">
                  <w:rPr>
                    <w:noProof/>
                    <w:webHidden/>
                  </w:rPr>
                  <w:instrText xml:space="preserve"> PAGEREF _Toc452035628 \h </w:instrText>
                </w:r>
                <w:r w:rsidR="007F2A06">
                  <w:rPr>
                    <w:noProof/>
                    <w:webHidden/>
                  </w:rPr>
                </w:r>
                <w:r w:rsidR="007F2A06">
                  <w:rPr>
                    <w:noProof/>
                    <w:webHidden/>
                  </w:rPr>
                  <w:fldChar w:fldCharType="separate"/>
                </w:r>
                <w:r w:rsidR="007F2A06">
                  <w:rPr>
                    <w:noProof/>
                    <w:webHidden/>
                  </w:rPr>
                  <w:t>10</w:t>
                </w:r>
                <w:r w:rsidR="007F2A06">
                  <w:rPr>
                    <w:noProof/>
                    <w:webHidden/>
                  </w:rPr>
                  <w:fldChar w:fldCharType="end"/>
                </w:r>
              </w:hyperlink>
            </w:p>
            <w:p w14:paraId="4C4C069E"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29" w:history="1">
                <w:r w:rsidR="007F2A06" w:rsidRPr="00D74F74">
                  <w:rPr>
                    <w:rStyle w:val="Hyperlink"/>
                    <w:noProof/>
                  </w:rPr>
                  <w:t>4.1 Model Perspectives</w:t>
                </w:r>
                <w:r w:rsidR="007F2A06">
                  <w:rPr>
                    <w:noProof/>
                    <w:webHidden/>
                  </w:rPr>
                  <w:tab/>
                </w:r>
                <w:r w:rsidR="007F2A06">
                  <w:rPr>
                    <w:noProof/>
                    <w:webHidden/>
                  </w:rPr>
                  <w:fldChar w:fldCharType="begin"/>
                </w:r>
                <w:r w:rsidR="007F2A06">
                  <w:rPr>
                    <w:noProof/>
                    <w:webHidden/>
                  </w:rPr>
                  <w:instrText xml:space="preserve"> PAGEREF _Toc452035629 \h </w:instrText>
                </w:r>
                <w:r w:rsidR="007F2A06">
                  <w:rPr>
                    <w:noProof/>
                    <w:webHidden/>
                  </w:rPr>
                </w:r>
                <w:r w:rsidR="007F2A06">
                  <w:rPr>
                    <w:noProof/>
                    <w:webHidden/>
                  </w:rPr>
                  <w:fldChar w:fldCharType="separate"/>
                </w:r>
                <w:r w:rsidR="007F2A06">
                  <w:rPr>
                    <w:noProof/>
                    <w:webHidden/>
                  </w:rPr>
                  <w:t>10</w:t>
                </w:r>
                <w:r w:rsidR="007F2A06">
                  <w:rPr>
                    <w:noProof/>
                    <w:webHidden/>
                  </w:rPr>
                  <w:fldChar w:fldCharType="end"/>
                </w:r>
              </w:hyperlink>
            </w:p>
            <w:p w14:paraId="1BA6AFFF"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30" w:history="1">
                <w:r w:rsidR="007F2A06" w:rsidRPr="00D74F74">
                  <w:rPr>
                    <w:rStyle w:val="Hyperlink"/>
                    <w:noProof/>
                  </w:rPr>
                  <w:t>4.2 Model Framework</w:t>
                </w:r>
                <w:r w:rsidR="007F2A06">
                  <w:rPr>
                    <w:noProof/>
                    <w:webHidden/>
                  </w:rPr>
                  <w:tab/>
                </w:r>
                <w:r w:rsidR="007F2A06">
                  <w:rPr>
                    <w:noProof/>
                    <w:webHidden/>
                  </w:rPr>
                  <w:fldChar w:fldCharType="begin"/>
                </w:r>
                <w:r w:rsidR="007F2A06">
                  <w:rPr>
                    <w:noProof/>
                    <w:webHidden/>
                  </w:rPr>
                  <w:instrText xml:space="preserve"> PAGEREF _Toc452035630 \h </w:instrText>
                </w:r>
                <w:r w:rsidR="007F2A06">
                  <w:rPr>
                    <w:noProof/>
                    <w:webHidden/>
                  </w:rPr>
                </w:r>
                <w:r w:rsidR="007F2A06">
                  <w:rPr>
                    <w:noProof/>
                    <w:webHidden/>
                  </w:rPr>
                  <w:fldChar w:fldCharType="separate"/>
                </w:r>
                <w:r w:rsidR="007F2A06">
                  <w:rPr>
                    <w:noProof/>
                    <w:webHidden/>
                  </w:rPr>
                  <w:t>10</w:t>
                </w:r>
                <w:r w:rsidR="007F2A06">
                  <w:rPr>
                    <w:noProof/>
                    <w:webHidden/>
                  </w:rPr>
                  <w:fldChar w:fldCharType="end"/>
                </w:r>
              </w:hyperlink>
            </w:p>
            <w:p w14:paraId="64BA7FE2"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31" w:history="1">
                <w:r w:rsidR="007F2A06" w:rsidRPr="00D74F74">
                  <w:rPr>
                    <w:rStyle w:val="Hyperlink"/>
                    <w:noProof/>
                  </w:rPr>
                  <w:t>4.3 Conceptual framework of models</w:t>
                </w:r>
                <w:r w:rsidR="007F2A06">
                  <w:rPr>
                    <w:noProof/>
                    <w:webHidden/>
                  </w:rPr>
                  <w:tab/>
                </w:r>
                <w:r w:rsidR="007F2A06">
                  <w:rPr>
                    <w:noProof/>
                    <w:webHidden/>
                  </w:rPr>
                  <w:fldChar w:fldCharType="begin"/>
                </w:r>
                <w:r w:rsidR="007F2A06">
                  <w:rPr>
                    <w:noProof/>
                    <w:webHidden/>
                  </w:rPr>
                  <w:instrText xml:space="preserve"> PAGEREF _Toc452035631 \h </w:instrText>
                </w:r>
                <w:r w:rsidR="007F2A06">
                  <w:rPr>
                    <w:noProof/>
                    <w:webHidden/>
                  </w:rPr>
                </w:r>
                <w:r w:rsidR="007F2A06">
                  <w:rPr>
                    <w:noProof/>
                    <w:webHidden/>
                  </w:rPr>
                  <w:fldChar w:fldCharType="separate"/>
                </w:r>
                <w:r w:rsidR="007F2A06">
                  <w:rPr>
                    <w:noProof/>
                    <w:webHidden/>
                  </w:rPr>
                  <w:t>10</w:t>
                </w:r>
                <w:r w:rsidR="007F2A06">
                  <w:rPr>
                    <w:noProof/>
                    <w:webHidden/>
                  </w:rPr>
                  <w:fldChar w:fldCharType="end"/>
                </w:r>
              </w:hyperlink>
            </w:p>
            <w:p w14:paraId="61C8EE6C"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32" w:history="1">
                <w:r w:rsidR="007F2A06" w:rsidRPr="00D74F74">
                  <w:rPr>
                    <w:rStyle w:val="Hyperlink"/>
                    <w:noProof/>
                  </w:rPr>
                  <w:t>4.4 Population at risk</w:t>
                </w:r>
                <w:r w:rsidR="007F2A06">
                  <w:rPr>
                    <w:noProof/>
                    <w:webHidden/>
                  </w:rPr>
                  <w:tab/>
                </w:r>
                <w:r w:rsidR="007F2A06">
                  <w:rPr>
                    <w:noProof/>
                    <w:webHidden/>
                  </w:rPr>
                  <w:fldChar w:fldCharType="begin"/>
                </w:r>
                <w:r w:rsidR="007F2A06">
                  <w:rPr>
                    <w:noProof/>
                    <w:webHidden/>
                  </w:rPr>
                  <w:instrText xml:space="preserve"> PAGEREF _Toc452035632 \h </w:instrText>
                </w:r>
                <w:r w:rsidR="007F2A06">
                  <w:rPr>
                    <w:noProof/>
                    <w:webHidden/>
                  </w:rPr>
                </w:r>
                <w:r w:rsidR="007F2A06">
                  <w:rPr>
                    <w:noProof/>
                    <w:webHidden/>
                  </w:rPr>
                  <w:fldChar w:fldCharType="separate"/>
                </w:r>
                <w:r w:rsidR="007F2A06">
                  <w:rPr>
                    <w:noProof/>
                    <w:webHidden/>
                  </w:rPr>
                  <w:t>12</w:t>
                </w:r>
                <w:r w:rsidR="007F2A06">
                  <w:rPr>
                    <w:noProof/>
                    <w:webHidden/>
                  </w:rPr>
                  <w:fldChar w:fldCharType="end"/>
                </w:r>
              </w:hyperlink>
            </w:p>
            <w:p w14:paraId="746F7F98"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33" w:history="1">
                <w:r w:rsidR="007F2A06" w:rsidRPr="00D74F74">
                  <w:rPr>
                    <w:rStyle w:val="Hyperlink"/>
                    <w:noProof/>
                  </w:rPr>
                  <w:t>4.5 Intervention costs</w:t>
                </w:r>
                <w:r w:rsidR="007F2A06">
                  <w:rPr>
                    <w:noProof/>
                    <w:webHidden/>
                  </w:rPr>
                  <w:tab/>
                </w:r>
                <w:r w:rsidR="007F2A06">
                  <w:rPr>
                    <w:noProof/>
                    <w:webHidden/>
                  </w:rPr>
                  <w:fldChar w:fldCharType="begin"/>
                </w:r>
                <w:r w:rsidR="007F2A06">
                  <w:rPr>
                    <w:noProof/>
                    <w:webHidden/>
                  </w:rPr>
                  <w:instrText xml:space="preserve"> PAGEREF _Toc452035633 \h </w:instrText>
                </w:r>
                <w:r w:rsidR="007F2A06">
                  <w:rPr>
                    <w:noProof/>
                    <w:webHidden/>
                  </w:rPr>
                </w:r>
                <w:r w:rsidR="007F2A06">
                  <w:rPr>
                    <w:noProof/>
                    <w:webHidden/>
                  </w:rPr>
                  <w:fldChar w:fldCharType="separate"/>
                </w:r>
                <w:r w:rsidR="007F2A06">
                  <w:rPr>
                    <w:noProof/>
                    <w:webHidden/>
                  </w:rPr>
                  <w:t>18</w:t>
                </w:r>
                <w:r w:rsidR="007F2A06">
                  <w:rPr>
                    <w:noProof/>
                    <w:webHidden/>
                  </w:rPr>
                  <w:fldChar w:fldCharType="end"/>
                </w:r>
              </w:hyperlink>
            </w:p>
            <w:p w14:paraId="747EECAB"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34" w:history="1">
                <w:r w:rsidR="007F2A06" w:rsidRPr="00D74F74">
                  <w:rPr>
                    <w:rStyle w:val="Hyperlink"/>
                    <w:noProof/>
                  </w:rPr>
                  <w:t>4.6 The cost consequences of drug misuse</w:t>
                </w:r>
                <w:r w:rsidR="007F2A06">
                  <w:rPr>
                    <w:noProof/>
                    <w:webHidden/>
                  </w:rPr>
                  <w:tab/>
                </w:r>
                <w:r w:rsidR="007F2A06">
                  <w:rPr>
                    <w:noProof/>
                    <w:webHidden/>
                  </w:rPr>
                  <w:fldChar w:fldCharType="begin"/>
                </w:r>
                <w:r w:rsidR="007F2A06">
                  <w:rPr>
                    <w:noProof/>
                    <w:webHidden/>
                  </w:rPr>
                  <w:instrText xml:space="preserve"> PAGEREF _Toc452035634 \h </w:instrText>
                </w:r>
                <w:r w:rsidR="007F2A06">
                  <w:rPr>
                    <w:noProof/>
                    <w:webHidden/>
                  </w:rPr>
                </w:r>
                <w:r w:rsidR="007F2A06">
                  <w:rPr>
                    <w:noProof/>
                    <w:webHidden/>
                  </w:rPr>
                  <w:fldChar w:fldCharType="separate"/>
                </w:r>
                <w:r w:rsidR="007F2A06">
                  <w:rPr>
                    <w:noProof/>
                    <w:webHidden/>
                  </w:rPr>
                  <w:t>24</w:t>
                </w:r>
                <w:r w:rsidR="007F2A06">
                  <w:rPr>
                    <w:noProof/>
                    <w:webHidden/>
                  </w:rPr>
                  <w:fldChar w:fldCharType="end"/>
                </w:r>
              </w:hyperlink>
            </w:p>
            <w:p w14:paraId="444A3F1A"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35" w:history="1">
                <w:r w:rsidR="007F2A06" w:rsidRPr="00D74F74">
                  <w:rPr>
                    <w:rStyle w:val="Hyperlink"/>
                    <w:noProof/>
                  </w:rPr>
                  <w:t>4.7 Sensitivity Analysis</w:t>
                </w:r>
                <w:r w:rsidR="007F2A06">
                  <w:rPr>
                    <w:noProof/>
                    <w:webHidden/>
                  </w:rPr>
                  <w:tab/>
                </w:r>
                <w:r w:rsidR="007F2A06">
                  <w:rPr>
                    <w:noProof/>
                    <w:webHidden/>
                  </w:rPr>
                  <w:fldChar w:fldCharType="begin"/>
                </w:r>
                <w:r w:rsidR="007F2A06">
                  <w:rPr>
                    <w:noProof/>
                    <w:webHidden/>
                  </w:rPr>
                  <w:instrText xml:space="preserve"> PAGEREF _Toc452035635 \h </w:instrText>
                </w:r>
                <w:r w:rsidR="007F2A06">
                  <w:rPr>
                    <w:noProof/>
                    <w:webHidden/>
                  </w:rPr>
                </w:r>
                <w:r w:rsidR="007F2A06">
                  <w:rPr>
                    <w:noProof/>
                    <w:webHidden/>
                  </w:rPr>
                  <w:fldChar w:fldCharType="separate"/>
                </w:r>
                <w:r w:rsidR="007F2A06">
                  <w:rPr>
                    <w:noProof/>
                    <w:webHidden/>
                  </w:rPr>
                  <w:t>26</w:t>
                </w:r>
                <w:r w:rsidR="007F2A06">
                  <w:rPr>
                    <w:noProof/>
                    <w:webHidden/>
                  </w:rPr>
                  <w:fldChar w:fldCharType="end"/>
                </w:r>
              </w:hyperlink>
            </w:p>
            <w:p w14:paraId="6F63A055"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36" w:history="1">
                <w:r w:rsidR="007F2A06" w:rsidRPr="00D74F74">
                  <w:rPr>
                    <w:rStyle w:val="Hyperlink"/>
                    <w:noProof/>
                  </w:rPr>
                  <w:t>4.8 Quality assurance of models</w:t>
                </w:r>
                <w:r w:rsidR="007F2A06">
                  <w:rPr>
                    <w:noProof/>
                    <w:webHidden/>
                  </w:rPr>
                  <w:tab/>
                </w:r>
                <w:r w:rsidR="007F2A06">
                  <w:rPr>
                    <w:noProof/>
                    <w:webHidden/>
                  </w:rPr>
                  <w:fldChar w:fldCharType="begin"/>
                </w:r>
                <w:r w:rsidR="007F2A06">
                  <w:rPr>
                    <w:noProof/>
                    <w:webHidden/>
                  </w:rPr>
                  <w:instrText xml:space="preserve"> PAGEREF _Toc452035636 \h </w:instrText>
                </w:r>
                <w:r w:rsidR="007F2A06">
                  <w:rPr>
                    <w:noProof/>
                    <w:webHidden/>
                  </w:rPr>
                </w:r>
                <w:r w:rsidR="007F2A06">
                  <w:rPr>
                    <w:noProof/>
                    <w:webHidden/>
                  </w:rPr>
                  <w:fldChar w:fldCharType="separate"/>
                </w:r>
                <w:r w:rsidR="007F2A06">
                  <w:rPr>
                    <w:noProof/>
                    <w:webHidden/>
                  </w:rPr>
                  <w:t>26</w:t>
                </w:r>
                <w:r w:rsidR="007F2A06">
                  <w:rPr>
                    <w:noProof/>
                    <w:webHidden/>
                  </w:rPr>
                  <w:fldChar w:fldCharType="end"/>
                </w:r>
              </w:hyperlink>
            </w:p>
            <w:p w14:paraId="5C0ADF8D"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37" w:history="1">
                <w:r w:rsidR="007F2A06" w:rsidRPr="00D74F74">
                  <w:rPr>
                    <w:rStyle w:val="Hyperlink"/>
                    <w:noProof/>
                  </w:rPr>
                  <w:t>4.9 Limitations of modelling approach</w:t>
                </w:r>
                <w:r w:rsidR="007F2A06">
                  <w:rPr>
                    <w:noProof/>
                    <w:webHidden/>
                  </w:rPr>
                  <w:tab/>
                </w:r>
                <w:r w:rsidR="007F2A06">
                  <w:rPr>
                    <w:noProof/>
                    <w:webHidden/>
                  </w:rPr>
                  <w:fldChar w:fldCharType="begin"/>
                </w:r>
                <w:r w:rsidR="007F2A06">
                  <w:rPr>
                    <w:noProof/>
                    <w:webHidden/>
                  </w:rPr>
                  <w:instrText xml:space="preserve"> PAGEREF _Toc452035637 \h </w:instrText>
                </w:r>
                <w:r w:rsidR="007F2A06">
                  <w:rPr>
                    <w:noProof/>
                    <w:webHidden/>
                  </w:rPr>
                </w:r>
                <w:r w:rsidR="007F2A06">
                  <w:rPr>
                    <w:noProof/>
                    <w:webHidden/>
                  </w:rPr>
                  <w:fldChar w:fldCharType="separate"/>
                </w:r>
                <w:r w:rsidR="007F2A06">
                  <w:rPr>
                    <w:noProof/>
                    <w:webHidden/>
                  </w:rPr>
                  <w:t>27</w:t>
                </w:r>
                <w:r w:rsidR="007F2A06">
                  <w:rPr>
                    <w:noProof/>
                    <w:webHidden/>
                  </w:rPr>
                  <w:fldChar w:fldCharType="end"/>
                </w:r>
              </w:hyperlink>
            </w:p>
            <w:p w14:paraId="282F1C09" w14:textId="77777777" w:rsidR="007F2A06" w:rsidRDefault="00984E4E">
              <w:pPr>
                <w:pStyle w:val="TOC2"/>
                <w:tabs>
                  <w:tab w:val="left" w:pos="800"/>
                  <w:tab w:val="right" w:leader="dot" w:pos="9016"/>
                </w:tabs>
                <w:rPr>
                  <w:rFonts w:asciiTheme="minorHAnsi" w:eastAsiaTheme="minorEastAsia" w:hAnsiTheme="minorHAnsi" w:cstheme="minorBidi"/>
                  <w:noProof/>
                  <w:sz w:val="22"/>
                  <w:szCs w:val="22"/>
                </w:rPr>
              </w:pPr>
              <w:hyperlink w:anchor="_Toc452035638" w:history="1">
                <w:r w:rsidR="007F2A06" w:rsidRPr="00D74F74">
                  <w:rPr>
                    <w:rStyle w:val="Hyperlink"/>
                    <w:noProof/>
                  </w:rPr>
                  <w:t>5.</w:t>
                </w:r>
                <w:r w:rsidR="007F2A06">
                  <w:rPr>
                    <w:rFonts w:asciiTheme="minorHAnsi" w:eastAsiaTheme="minorEastAsia" w:hAnsiTheme="minorHAnsi" w:cstheme="minorBidi"/>
                    <w:noProof/>
                    <w:sz w:val="22"/>
                    <w:szCs w:val="22"/>
                  </w:rPr>
                  <w:tab/>
                </w:r>
                <w:r w:rsidR="007F2A06" w:rsidRPr="00D74F74">
                  <w:rPr>
                    <w:rStyle w:val="Hyperlink"/>
                    <w:noProof/>
                  </w:rPr>
                  <w:t>Model Description and Results</w:t>
                </w:r>
                <w:r w:rsidR="007F2A06">
                  <w:rPr>
                    <w:noProof/>
                    <w:webHidden/>
                  </w:rPr>
                  <w:tab/>
                </w:r>
                <w:r w:rsidR="007F2A06">
                  <w:rPr>
                    <w:noProof/>
                    <w:webHidden/>
                  </w:rPr>
                  <w:fldChar w:fldCharType="begin"/>
                </w:r>
                <w:r w:rsidR="007F2A06">
                  <w:rPr>
                    <w:noProof/>
                    <w:webHidden/>
                  </w:rPr>
                  <w:instrText xml:space="preserve"> PAGEREF _Toc452035638 \h </w:instrText>
                </w:r>
                <w:r w:rsidR="007F2A06">
                  <w:rPr>
                    <w:noProof/>
                    <w:webHidden/>
                  </w:rPr>
                </w:r>
                <w:r w:rsidR="007F2A06">
                  <w:rPr>
                    <w:noProof/>
                    <w:webHidden/>
                  </w:rPr>
                  <w:fldChar w:fldCharType="separate"/>
                </w:r>
                <w:r w:rsidR="007F2A06">
                  <w:rPr>
                    <w:noProof/>
                    <w:webHidden/>
                  </w:rPr>
                  <w:t>28</w:t>
                </w:r>
                <w:r w:rsidR="007F2A06">
                  <w:rPr>
                    <w:noProof/>
                    <w:webHidden/>
                  </w:rPr>
                  <w:fldChar w:fldCharType="end"/>
                </w:r>
              </w:hyperlink>
            </w:p>
            <w:p w14:paraId="325349C1"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39" w:history="1">
                <w:r w:rsidR="007F2A06" w:rsidRPr="00D74F74">
                  <w:rPr>
                    <w:rStyle w:val="Hyperlink"/>
                    <w:noProof/>
                  </w:rPr>
                  <w:t>5.1 Models focussing on cannabis use</w:t>
                </w:r>
                <w:r w:rsidR="007F2A06">
                  <w:rPr>
                    <w:noProof/>
                    <w:webHidden/>
                  </w:rPr>
                  <w:tab/>
                </w:r>
                <w:r w:rsidR="007F2A06">
                  <w:rPr>
                    <w:noProof/>
                    <w:webHidden/>
                  </w:rPr>
                  <w:fldChar w:fldCharType="begin"/>
                </w:r>
                <w:r w:rsidR="007F2A06">
                  <w:rPr>
                    <w:noProof/>
                    <w:webHidden/>
                  </w:rPr>
                  <w:instrText xml:space="preserve"> PAGEREF _Toc452035639 \h </w:instrText>
                </w:r>
                <w:r w:rsidR="007F2A06">
                  <w:rPr>
                    <w:noProof/>
                    <w:webHidden/>
                  </w:rPr>
                </w:r>
                <w:r w:rsidR="007F2A06">
                  <w:rPr>
                    <w:noProof/>
                    <w:webHidden/>
                  </w:rPr>
                  <w:fldChar w:fldCharType="separate"/>
                </w:r>
                <w:r w:rsidR="007F2A06">
                  <w:rPr>
                    <w:noProof/>
                    <w:webHidden/>
                  </w:rPr>
                  <w:t>28</w:t>
                </w:r>
                <w:r w:rsidR="007F2A06">
                  <w:rPr>
                    <w:noProof/>
                    <w:webHidden/>
                  </w:rPr>
                  <w:fldChar w:fldCharType="end"/>
                </w:r>
              </w:hyperlink>
            </w:p>
            <w:p w14:paraId="40414BB4"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40" w:history="1">
                <w:r w:rsidR="007F2A06" w:rsidRPr="00D74F74">
                  <w:rPr>
                    <w:rStyle w:val="Hyperlink"/>
                    <w:noProof/>
                  </w:rPr>
                  <w:t>5.1.1 Model of Focus on Families intervention based on Catalano et al (1999)</w:t>
                </w:r>
                <w:r w:rsidR="007F2A06">
                  <w:rPr>
                    <w:noProof/>
                    <w:webHidden/>
                  </w:rPr>
                  <w:tab/>
                </w:r>
                <w:r w:rsidR="007F2A06">
                  <w:rPr>
                    <w:noProof/>
                    <w:webHidden/>
                  </w:rPr>
                  <w:fldChar w:fldCharType="begin"/>
                </w:r>
                <w:r w:rsidR="007F2A06">
                  <w:rPr>
                    <w:noProof/>
                    <w:webHidden/>
                  </w:rPr>
                  <w:instrText xml:space="preserve"> PAGEREF _Toc452035640 \h </w:instrText>
                </w:r>
                <w:r w:rsidR="007F2A06">
                  <w:rPr>
                    <w:noProof/>
                    <w:webHidden/>
                  </w:rPr>
                </w:r>
                <w:r w:rsidR="007F2A06">
                  <w:rPr>
                    <w:noProof/>
                    <w:webHidden/>
                  </w:rPr>
                  <w:fldChar w:fldCharType="separate"/>
                </w:r>
                <w:r w:rsidR="007F2A06">
                  <w:rPr>
                    <w:noProof/>
                    <w:webHidden/>
                  </w:rPr>
                  <w:t>32</w:t>
                </w:r>
                <w:r w:rsidR="007F2A06">
                  <w:rPr>
                    <w:noProof/>
                    <w:webHidden/>
                  </w:rPr>
                  <w:fldChar w:fldCharType="end"/>
                </w:r>
              </w:hyperlink>
            </w:p>
            <w:p w14:paraId="24020305"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41" w:history="1">
                <w:r w:rsidR="007F2A06" w:rsidRPr="00D74F74">
                  <w:rPr>
                    <w:rStyle w:val="Hyperlink"/>
                    <w:noProof/>
                  </w:rPr>
                  <w:t xml:space="preserve">5.1.2 Model of </w:t>
                </w:r>
                <w:r w:rsidR="007F2A06" w:rsidRPr="00D74F74">
                  <w:rPr>
                    <w:rStyle w:val="Hyperlink"/>
                    <w:noProof/>
                    <w:lang w:val="en-US"/>
                  </w:rPr>
                  <w:t>Web-Based Personalized Feedback based on Lee et al. (2010)</w:t>
                </w:r>
                <w:r w:rsidR="007F2A06">
                  <w:rPr>
                    <w:noProof/>
                    <w:webHidden/>
                  </w:rPr>
                  <w:tab/>
                </w:r>
                <w:r w:rsidR="007F2A06">
                  <w:rPr>
                    <w:noProof/>
                    <w:webHidden/>
                  </w:rPr>
                  <w:fldChar w:fldCharType="begin"/>
                </w:r>
                <w:r w:rsidR="007F2A06">
                  <w:rPr>
                    <w:noProof/>
                    <w:webHidden/>
                  </w:rPr>
                  <w:instrText xml:space="preserve"> PAGEREF _Toc452035641 \h </w:instrText>
                </w:r>
                <w:r w:rsidR="007F2A06">
                  <w:rPr>
                    <w:noProof/>
                    <w:webHidden/>
                  </w:rPr>
                </w:r>
                <w:r w:rsidR="007F2A06">
                  <w:rPr>
                    <w:noProof/>
                    <w:webHidden/>
                  </w:rPr>
                  <w:fldChar w:fldCharType="separate"/>
                </w:r>
                <w:r w:rsidR="007F2A06">
                  <w:rPr>
                    <w:noProof/>
                    <w:webHidden/>
                  </w:rPr>
                  <w:t>36</w:t>
                </w:r>
                <w:r w:rsidR="007F2A06">
                  <w:rPr>
                    <w:noProof/>
                    <w:webHidden/>
                  </w:rPr>
                  <w:fldChar w:fldCharType="end"/>
                </w:r>
              </w:hyperlink>
            </w:p>
            <w:p w14:paraId="7C3AAD5B"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42" w:history="1">
                <w:r w:rsidR="007F2A06" w:rsidRPr="00D74F74">
                  <w:rPr>
                    <w:rStyle w:val="Hyperlink"/>
                    <w:noProof/>
                  </w:rPr>
                  <w:t xml:space="preserve">5.1.3 Model of </w:t>
                </w:r>
                <w:r w:rsidR="007F2A06" w:rsidRPr="00D74F74">
                  <w:rPr>
                    <w:rStyle w:val="Hyperlink"/>
                    <w:noProof/>
                    <w:lang w:val="en-US"/>
                  </w:rPr>
                  <w:t>Familias Unidas based on Prado et al. (2012)</w:t>
                </w:r>
                <w:r w:rsidR="007F2A06">
                  <w:rPr>
                    <w:noProof/>
                    <w:webHidden/>
                  </w:rPr>
                  <w:tab/>
                </w:r>
                <w:r w:rsidR="007F2A06">
                  <w:rPr>
                    <w:noProof/>
                    <w:webHidden/>
                  </w:rPr>
                  <w:fldChar w:fldCharType="begin"/>
                </w:r>
                <w:r w:rsidR="007F2A06">
                  <w:rPr>
                    <w:noProof/>
                    <w:webHidden/>
                  </w:rPr>
                  <w:instrText xml:space="preserve"> PAGEREF _Toc452035642 \h </w:instrText>
                </w:r>
                <w:r w:rsidR="007F2A06">
                  <w:rPr>
                    <w:noProof/>
                    <w:webHidden/>
                  </w:rPr>
                </w:r>
                <w:r w:rsidR="007F2A06">
                  <w:rPr>
                    <w:noProof/>
                    <w:webHidden/>
                  </w:rPr>
                  <w:fldChar w:fldCharType="separate"/>
                </w:r>
                <w:r w:rsidR="007F2A06">
                  <w:rPr>
                    <w:noProof/>
                    <w:webHidden/>
                  </w:rPr>
                  <w:t>40</w:t>
                </w:r>
                <w:r w:rsidR="007F2A06">
                  <w:rPr>
                    <w:noProof/>
                    <w:webHidden/>
                  </w:rPr>
                  <w:fldChar w:fldCharType="end"/>
                </w:r>
              </w:hyperlink>
            </w:p>
            <w:p w14:paraId="72197464"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43" w:history="1">
                <w:r w:rsidR="007F2A06" w:rsidRPr="00D74F74">
                  <w:rPr>
                    <w:rStyle w:val="Hyperlink"/>
                    <w:noProof/>
                  </w:rPr>
                  <w:t>5.2. Model focussing on ecstasy</w:t>
                </w:r>
                <w:r w:rsidR="007F2A06">
                  <w:rPr>
                    <w:noProof/>
                    <w:webHidden/>
                  </w:rPr>
                  <w:tab/>
                </w:r>
                <w:r w:rsidR="007F2A06">
                  <w:rPr>
                    <w:noProof/>
                    <w:webHidden/>
                  </w:rPr>
                  <w:fldChar w:fldCharType="begin"/>
                </w:r>
                <w:r w:rsidR="007F2A06">
                  <w:rPr>
                    <w:noProof/>
                    <w:webHidden/>
                  </w:rPr>
                  <w:instrText xml:space="preserve"> PAGEREF _Toc452035643 \h </w:instrText>
                </w:r>
                <w:r w:rsidR="007F2A06">
                  <w:rPr>
                    <w:noProof/>
                    <w:webHidden/>
                  </w:rPr>
                </w:r>
                <w:r w:rsidR="007F2A06">
                  <w:rPr>
                    <w:noProof/>
                    <w:webHidden/>
                  </w:rPr>
                  <w:fldChar w:fldCharType="separate"/>
                </w:r>
                <w:r w:rsidR="007F2A06">
                  <w:rPr>
                    <w:noProof/>
                    <w:webHidden/>
                  </w:rPr>
                  <w:t>45</w:t>
                </w:r>
                <w:r w:rsidR="007F2A06">
                  <w:rPr>
                    <w:noProof/>
                    <w:webHidden/>
                  </w:rPr>
                  <w:fldChar w:fldCharType="end"/>
                </w:r>
              </w:hyperlink>
            </w:p>
            <w:p w14:paraId="55931597"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44" w:history="1">
                <w:r w:rsidR="007F2A06" w:rsidRPr="00D74F74">
                  <w:rPr>
                    <w:rStyle w:val="Hyperlink"/>
                    <w:noProof/>
                  </w:rPr>
                  <w:t>5.2.1 Model of Brief Intervention for reducing ecstasy consumption amongst those attending nightclubs based on Martin et al. (2010)</w:t>
                </w:r>
                <w:r w:rsidR="007F2A06">
                  <w:rPr>
                    <w:noProof/>
                    <w:webHidden/>
                  </w:rPr>
                  <w:tab/>
                </w:r>
                <w:r w:rsidR="007F2A06">
                  <w:rPr>
                    <w:noProof/>
                    <w:webHidden/>
                  </w:rPr>
                  <w:fldChar w:fldCharType="begin"/>
                </w:r>
                <w:r w:rsidR="007F2A06">
                  <w:rPr>
                    <w:noProof/>
                    <w:webHidden/>
                  </w:rPr>
                  <w:instrText xml:space="preserve"> PAGEREF _Toc452035644 \h </w:instrText>
                </w:r>
                <w:r w:rsidR="007F2A06">
                  <w:rPr>
                    <w:noProof/>
                    <w:webHidden/>
                  </w:rPr>
                </w:r>
                <w:r w:rsidR="007F2A06">
                  <w:rPr>
                    <w:noProof/>
                    <w:webHidden/>
                  </w:rPr>
                  <w:fldChar w:fldCharType="separate"/>
                </w:r>
                <w:r w:rsidR="007F2A06">
                  <w:rPr>
                    <w:noProof/>
                    <w:webHidden/>
                  </w:rPr>
                  <w:t>51</w:t>
                </w:r>
                <w:r w:rsidR="007F2A06">
                  <w:rPr>
                    <w:noProof/>
                    <w:webHidden/>
                  </w:rPr>
                  <w:fldChar w:fldCharType="end"/>
                </w:r>
              </w:hyperlink>
            </w:p>
            <w:p w14:paraId="06B0260A" w14:textId="77777777" w:rsidR="007F2A06" w:rsidRDefault="00984E4E">
              <w:pPr>
                <w:pStyle w:val="TOC3"/>
                <w:tabs>
                  <w:tab w:val="left" w:pos="1200"/>
                  <w:tab w:val="right" w:leader="dot" w:pos="9016"/>
                </w:tabs>
                <w:rPr>
                  <w:rFonts w:asciiTheme="minorHAnsi" w:eastAsiaTheme="minorEastAsia" w:hAnsiTheme="minorHAnsi" w:cstheme="minorBidi"/>
                  <w:noProof/>
                  <w:sz w:val="22"/>
                  <w:szCs w:val="22"/>
                </w:rPr>
              </w:pPr>
              <w:hyperlink w:anchor="_Toc452035645" w:history="1">
                <w:r w:rsidR="007F2A06" w:rsidRPr="00D74F74">
                  <w:rPr>
                    <w:rStyle w:val="Hyperlink"/>
                    <w:noProof/>
                  </w:rPr>
                  <w:t>5.3</w:t>
                </w:r>
                <w:r w:rsidR="007F2A06">
                  <w:rPr>
                    <w:rFonts w:asciiTheme="minorHAnsi" w:eastAsiaTheme="minorEastAsia" w:hAnsiTheme="minorHAnsi" w:cstheme="minorBidi"/>
                    <w:noProof/>
                    <w:sz w:val="22"/>
                    <w:szCs w:val="22"/>
                  </w:rPr>
                  <w:tab/>
                </w:r>
                <w:r w:rsidR="007F2A06" w:rsidRPr="00D74F74">
                  <w:rPr>
                    <w:rStyle w:val="Hyperlink"/>
                    <w:noProof/>
                  </w:rPr>
                  <w:t>Models focussing on cocaine use</w:t>
                </w:r>
                <w:r w:rsidR="007F2A06">
                  <w:rPr>
                    <w:noProof/>
                    <w:webHidden/>
                  </w:rPr>
                  <w:tab/>
                </w:r>
                <w:r w:rsidR="007F2A06">
                  <w:rPr>
                    <w:noProof/>
                    <w:webHidden/>
                  </w:rPr>
                  <w:fldChar w:fldCharType="begin"/>
                </w:r>
                <w:r w:rsidR="007F2A06">
                  <w:rPr>
                    <w:noProof/>
                    <w:webHidden/>
                  </w:rPr>
                  <w:instrText xml:space="preserve"> PAGEREF _Toc452035645 \h </w:instrText>
                </w:r>
                <w:r w:rsidR="007F2A06">
                  <w:rPr>
                    <w:noProof/>
                    <w:webHidden/>
                  </w:rPr>
                </w:r>
                <w:r w:rsidR="007F2A06">
                  <w:rPr>
                    <w:noProof/>
                    <w:webHidden/>
                  </w:rPr>
                  <w:fldChar w:fldCharType="separate"/>
                </w:r>
                <w:r w:rsidR="007F2A06">
                  <w:rPr>
                    <w:noProof/>
                    <w:webHidden/>
                  </w:rPr>
                  <w:t>59</w:t>
                </w:r>
                <w:r w:rsidR="007F2A06">
                  <w:rPr>
                    <w:noProof/>
                    <w:webHidden/>
                  </w:rPr>
                  <w:fldChar w:fldCharType="end"/>
                </w:r>
              </w:hyperlink>
            </w:p>
            <w:p w14:paraId="2EAFFB7E"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46" w:history="1">
                <w:r w:rsidR="007F2A06" w:rsidRPr="00D74F74">
                  <w:rPr>
                    <w:rStyle w:val="Hyperlink"/>
                    <w:noProof/>
                  </w:rPr>
                  <w:t>5.3.1 Model of Motivational Interviewing to reduce drug use in young gay and bisexual men, based on Parsons et al., (2014)</w:t>
                </w:r>
                <w:r w:rsidR="007F2A06">
                  <w:rPr>
                    <w:noProof/>
                    <w:webHidden/>
                  </w:rPr>
                  <w:tab/>
                </w:r>
                <w:r w:rsidR="007F2A06">
                  <w:rPr>
                    <w:noProof/>
                    <w:webHidden/>
                  </w:rPr>
                  <w:fldChar w:fldCharType="begin"/>
                </w:r>
                <w:r w:rsidR="007F2A06">
                  <w:rPr>
                    <w:noProof/>
                    <w:webHidden/>
                  </w:rPr>
                  <w:instrText xml:space="preserve"> PAGEREF _Toc452035646 \h </w:instrText>
                </w:r>
                <w:r w:rsidR="007F2A06">
                  <w:rPr>
                    <w:noProof/>
                    <w:webHidden/>
                  </w:rPr>
                </w:r>
                <w:r w:rsidR="007F2A06">
                  <w:rPr>
                    <w:noProof/>
                    <w:webHidden/>
                  </w:rPr>
                  <w:fldChar w:fldCharType="separate"/>
                </w:r>
                <w:r w:rsidR="007F2A06">
                  <w:rPr>
                    <w:noProof/>
                    <w:webHidden/>
                  </w:rPr>
                  <w:t>63</w:t>
                </w:r>
                <w:r w:rsidR="007F2A06">
                  <w:rPr>
                    <w:noProof/>
                    <w:webHidden/>
                  </w:rPr>
                  <w:fldChar w:fldCharType="end"/>
                </w:r>
              </w:hyperlink>
            </w:p>
            <w:p w14:paraId="304FCA8B"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47" w:history="1">
                <w:r w:rsidR="007F2A06" w:rsidRPr="00D74F74">
                  <w:rPr>
                    <w:rStyle w:val="Hyperlink"/>
                    <w:noProof/>
                  </w:rPr>
                  <w:t>5.3.2 Model of Motivational Interviewing intervention to reduce club drug use and HIV risk behaviors among men who have sex with men, based on Morgenstern et al., (2009).</w:t>
                </w:r>
                <w:r w:rsidR="007F2A06">
                  <w:rPr>
                    <w:noProof/>
                    <w:webHidden/>
                  </w:rPr>
                  <w:tab/>
                </w:r>
                <w:r w:rsidR="007F2A06">
                  <w:rPr>
                    <w:noProof/>
                    <w:webHidden/>
                  </w:rPr>
                  <w:fldChar w:fldCharType="begin"/>
                </w:r>
                <w:r w:rsidR="007F2A06">
                  <w:rPr>
                    <w:noProof/>
                    <w:webHidden/>
                  </w:rPr>
                  <w:instrText xml:space="preserve"> PAGEREF _Toc452035647 \h </w:instrText>
                </w:r>
                <w:r w:rsidR="007F2A06">
                  <w:rPr>
                    <w:noProof/>
                    <w:webHidden/>
                  </w:rPr>
                </w:r>
                <w:r w:rsidR="007F2A06">
                  <w:rPr>
                    <w:noProof/>
                    <w:webHidden/>
                  </w:rPr>
                  <w:fldChar w:fldCharType="separate"/>
                </w:r>
                <w:r w:rsidR="007F2A06">
                  <w:rPr>
                    <w:noProof/>
                    <w:webHidden/>
                  </w:rPr>
                  <w:t>67</w:t>
                </w:r>
                <w:r w:rsidR="007F2A06">
                  <w:rPr>
                    <w:noProof/>
                    <w:webHidden/>
                  </w:rPr>
                  <w:fldChar w:fldCharType="end"/>
                </w:r>
              </w:hyperlink>
            </w:p>
            <w:p w14:paraId="001A1210"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48" w:history="1">
                <w:r w:rsidR="007F2A06" w:rsidRPr="00D74F74">
                  <w:rPr>
                    <w:rStyle w:val="Hyperlink"/>
                    <w:noProof/>
                  </w:rPr>
                  <w:t>5.3.3 Model of a family intervention to reduce sexual risk behaviour, substance use, and delinquency among newly homeless youth, based on Milburn et al. (2012).</w:t>
                </w:r>
                <w:r w:rsidR="007F2A06">
                  <w:rPr>
                    <w:noProof/>
                    <w:webHidden/>
                  </w:rPr>
                  <w:tab/>
                </w:r>
                <w:r w:rsidR="007F2A06">
                  <w:rPr>
                    <w:noProof/>
                    <w:webHidden/>
                  </w:rPr>
                  <w:fldChar w:fldCharType="begin"/>
                </w:r>
                <w:r w:rsidR="007F2A06">
                  <w:rPr>
                    <w:noProof/>
                    <w:webHidden/>
                  </w:rPr>
                  <w:instrText xml:space="preserve"> PAGEREF _Toc452035648 \h </w:instrText>
                </w:r>
                <w:r w:rsidR="007F2A06">
                  <w:rPr>
                    <w:noProof/>
                    <w:webHidden/>
                  </w:rPr>
                </w:r>
                <w:r w:rsidR="007F2A06">
                  <w:rPr>
                    <w:noProof/>
                    <w:webHidden/>
                  </w:rPr>
                  <w:fldChar w:fldCharType="separate"/>
                </w:r>
                <w:r w:rsidR="007F2A06">
                  <w:rPr>
                    <w:noProof/>
                    <w:webHidden/>
                  </w:rPr>
                  <w:t>70</w:t>
                </w:r>
                <w:r w:rsidR="007F2A06">
                  <w:rPr>
                    <w:noProof/>
                    <w:webHidden/>
                  </w:rPr>
                  <w:fldChar w:fldCharType="end"/>
                </w:r>
              </w:hyperlink>
            </w:p>
            <w:p w14:paraId="0333A1F2" w14:textId="77777777" w:rsidR="007F2A06" w:rsidRDefault="00984E4E">
              <w:pPr>
                <w:pStyle w:val="TOC2"/>
                <w:tabs>
                  <w:tab w:val="left" w:pos="800"/>
                  <w:tab w:val="right" w:leader="dot" w:pos="9016"/>
                </w:tabs>
                <w:rPr>
                  <w:rFonts w:asciiTheme="minorHAnsi" w:eastAsiaTheme="minorEastAsia" w:hAnsiTheme="minorHAnsi" w:cstheme="minorBidi"/>
                  <w:noProof/>
                  <w:sz w:val="22"/>
                  <w:szCs w:val="22"/>
                </w:rPr>
              </w:pPr>
              <w:hyperlink w:anchor="_Toc452035649" w:history="1">
                <w:r w:rsidR="007F2A06" w:rsidRPr="00D74F74">
                  <w:rPr>
                    <w:rStyle w:val="Hyperlink"/>
                    <w:noProof/>
                  </w:rPr>
                  <w:t>6.</w:t>
                </w:r>
                <w:r w:rsidR="007F2A06">
                  <w:rPr>
                    <w:rFonts w:asciiTheme="minorHAnsi" w:eastAsiaTheme="minorEastAsia" w:hAnsiTheme="minorHAnsi" w:cstheme="minorBidi"/>
                    <w:noProof/>
                    <w:sz w:val="22"/>
                    <w:szCs w:val="22"/>
                  </w:rPr>
                  <w:tab/>
                </w:r>
                <w:r w:rsidR="007F2A06" w:rsidRPr="00D74F74">
                  <w:rPr>
                    <w:rStyle w:val="Hyperlink"/>
                    <w:noProof/>
                  </w:rPr>
                  <w:t>6. Discussion and Conclusions</w:t>
                </w:r>
                <w:r w:rsidR="007F2A06">
                  <w:rPr>
                    <w:noProof/>
                    <w:webHidden/>
                  </w:rPr>
                  <w:tab/>
                </w:r>
                <w:r w:rsidR="007F2A06">
                  <w:rPr>
                    <w:noProof/>
                    <w:webHidden/>
                  </w:rPr>
                  <w:fldChar w:fldCharType="begin"/>
                </w:r>
                <w:r w:rsidR="007F2A06">
                  <w:rPr>
                    <w:noProof/>
                    <w:webHidden/>
                  </w:rPr>
                  <w:instrText xml:space="preserve"> PAGEREF _Toc452035649 \h </w:instrText>
                </w:r>
                <w:r w:rsidR="007F2A06">
                  <w:rPr>
                    <w:noProof/>
                    <w:webHidden/>
                  </w:rPr>
                </w:r>
                <w:r w:rsidR="007F2A06">
                  <w:rPr>
                    <w:noProof/>
                    <w:webHidden/>
                  </w:rPr>
                  <w:fldChar w:fldCharType="separate"/>
                </w:r>
                <w:r w:rsidR="007F2A06">
                  <w:rPr>
                    <w:noProof/>
                    <w:webHidden/>
                  </w:rPr>
                  <w:t>75</w:t>
                </w:r>
                <w:r w:rsidR="007F2A06">
                  <w:rPr>
                    <w:noProof/>
                    <w:webHidden/>
                  </w:rPr>
                  <w:fldChar w:fldCharType="end"/>
                </w:r>
              </w:hyperlink>
            </w:p>
            <w:p w14:paraId="6ED861E2"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50" w:history="1">
                <w:r w:rsidR="007F2A06" w:rsidRPr="00D74F74">
                  <w:rPr>
                    <w:rStyle w:val="Hyperlink"/>
                    <w:noProof/>
                  </w:rPr>
                  <w:t>6.1 Cost-effectiveness analyses</w:t>
                </w:r>
                <w:r w:rsidR="007F2A06">
                  <w:rPr>
                    <w:noProof/>
                    <w:webHidden/>
                  </w:rPr>
                  <w:tab/>
                </w:r>
                <w:r w:rsidR="007F2A06">
                  <w:rPr>
                    <w:noProof/>
                    <w:webHidden/>
                  </w:rPr>
                  <w:fldChar w:fldCharType="begin"/>
                </w:r>
                <w:r w:rsidR="007F2A06">
                  <w:rPr>
                    <w:noProof/>
                    <w:webHidden/>
                  </w:rPr>
                  <w:instrText xml:space="preserve"> PAGEREF _Toc452035650 \h </w:instrText>
                </w:r>
                <w:r w:rsidR="007F2A06">
                  <w:rPr>
                    <w:noProof/>
                    <w:webHidden/>
                  </w:rPr>
                </w:r>
                <w:r w:rsidR="007F2A06">
                  <w:rPr>
                    <w:noProof/>
                    <w:webHidden/>
                  </w:rPr>
                  <w:fldChar w:fldCharType="separate"/>
                </w:r>
                <w:r w:rsidR="007F2A06">
                  <w:rPr>
                    <w:noProof/>
                    <w:webHidden/>
                  </w:rPr>
                  <w:t>75</w:t>
                </w:r>
                <w:r w:rsidR="007F2A06">
                  <w:rPr>
                    <w:noProof/>
                    <w:webHidden/>
                  </w:rPr>
                  <w:fldChar w:fldCharType="end"/>
                </w:r>
              </w:hyperlink>
            </w:p>
            <w:p w14:paraId="7E300051"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51" w:history="1">
                <w:r w:rsidR="007F2A06" w:rsidRPr="00D74F74">
                  <w:rPr>
                    <w:rStyle w:val="Hyperlink"/>
                    <w:noProof/>
                  </w:rPr>
                  <w:t>6.2 Evidence Statements</w:t>
                </w:r>
                <w:r w:rsidR="007F2A06">
                  <w:rPr>
                    <w:noProof/>
                    <w:webHidden/>
                  </w:rPr>
                  <w:tab/>
                </w:r>
                <w:r w:rsidR="007F2A06">
                  <w:rPr>
                    <w:noProof/>
                    <w:webHidden/>
                  </w:rPr>
                  <w:fldChar w:fldCharType="begin"/>
                </w:r>
                <w:r w:rsidR="007F2A06">
                  <w:rPr>
                    <w:noProof/>
                    <w:webHidden/>
                  </w:rPr>
                  <w:instrText xml:space="preserve"> PAGEREF _Toc452035651 \h </w:instrText>
                </w:r>
                <w:r w:rsidR="007F2A06">
                  <w:rPr>
                    <w:noProof/>
                    <w:webHidden/>
                  </w:rPr>
                </w:r>
                <w:r w:rsidR="007F2A06">
                  <w:rPr>
                    <w:noProof/>
                    <w:webHidden/>
                  </w:rPr>
                  <w:fldChar w:fldCharType="separate"/>
                </w:r>
                <w:r w:rsidR="007F2A06">
                  <w:rPr>
                    <w:noProof/>
                    <w:webHidden/>
                  </w:rPr>
                  <w:t>78</w:t>
                </w:r>
                <w:r w:rsidR="007F2A06">
                  <w:rPr>
                    <w:noProof/>
                    <w:webHidden/>
                  </w:rPr>
                  <w:fldChar w:fldCharType="end"/>
                </w:r>
              </w:hyperlink>
            </w:p>
            <w:p w14:paraId="12890C8E"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52" w:history="1">
                <w:r w:rsidR="007F2A06" w:rsidRPr="00D74F74">
                  <w:rPr>
                    <w:rStyle w:val="Hyperlink"/>
                    <w:noProof/>
                  </w:rPr>
                  <w:t>6.3 Discussion</w:t>
                </w:r>
                <w:r w:rsidR="007F2A06">
                  <w:rPr>
                    <w:noProof/>
                    <w:webHidden/>
                  </w:rPr>
                  <w:tab/>
                </w:r>
                <w:r w:rsidR="007F2A06">
                  <w:rPr>
                    <w:noProof/>
                    <w:webHidden/>
                  </w:rPr>
                  <w:fldChar w:fldCharType="begin"/>
                </w:r>
                <w:r w:rsidR="007F2A06">
                  <w:rPr>
                    <w:noProof/>
                    <w:webHidden/>
                  </w:rPr>
                  <w:instrText xml:space="preserve"> PAGEREF _Toc452035652 \h </w:instrText>
                </w:r>
                <w:r w:rsidR="007F2A06">
                  <w:rPr>
                    <w:noProof/>
                    <w:webHidden/>
                  </w:rPr>
                </w:r>
                <w:r w:rsidR="007F2A06">
                  <w:rPr>
                    <w:noProof/>
                    <w:webHidden/>
                  </w:rPr>
                  <w:fldChar w:fldCharType="separate"/>
                </w:r>
                <w:r w:rsidR="007F2A06">
                  <w:rPr>
                    <w:noProof/>
                    <w:webHidden/>
                  </w:rPr>
                  <w:t>80</w:t>
                </w:r>
                <w:r w:rsidR="007F2A06">
                  <w:rPr>
                    <w:noProof/>
                    <w:webHidden/>
                  </w:rPr>
                  <w:fldChar w:fldCharType="end"/>
                </w:r>
              </w:hyperlink>
            </w:p>
            <w:p w14:paraId="2EB35112"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53" w:history="1">
                <w:r w:rsidR="007F2A06" w:rsidRPr="00D74F74">
                  <w:rPr>
                    <w:rStyle w:val="Hyperlink"/>
                    <w:noProof/>
                  </w:rPr>
                  <w:t>6.3 Conclusion</w:t>
                </w:r>
                <w:r w:rsidR="007F2A06">
                  <w:rPr>
                    <w:noProof/>
                    <w:webHidden/>
                  </w:rPr>
                  <w:tab/>
                </w:r>
                <w:r w:rsidR="007F2A06">
                  <w:rPr>
                    <w:noProof/>
                    <w:webHidden/>
                  </w:rPr>
                  <w:fldChar w:fldCharType="begin"/>
                </w:r>
                <w:r w:rsidR="007F2A06">
                  <w:rPr>
                    <w:noProof/>
                    <w:webHidden/>
                  </w:rPr>
                  <w:instrText xml:space="preserve"> PAGEREF _Toc452035653 \h </w:instrText>
                </w:r>
                <w:r w:rsidR="007F2A06">
                  <w:rPr>
                    <w:noProof/>
                    <w:webHidden/>
                  </w:rPr>
                </w:r>
                <w:r w:rsidR="007F2A06">
                  <w:rPr>
                    <w:noProof/>
                    <w:webHidden/>
                  </w:rPr>
                  <w:fldChar w:fldCharType="separate"/>
                </w:r>
                <w:r w:rsidR="007F2A06">
                  <w:rPr>
                    <w:noProof/>
                    <w:webHidden/>
                  </w:rPr>
                  <w:t>84</w:t>
                </w:r>
                <w:r w:rsidR="007F2A06">
                  <w:rPr>
                    <w:noProof/>
                    <w:webHidden/>
                  </w:rPr>
                  <w:fldChar w:fldCharType="end"/>
                </w:r>
              </w:hyperlink>
            </w:p>
            <w:p w14:paraId="3039DCD5" w14:textId="77777777" w:rsidR="007F2A06" w:rsidRDefault="00984E4E">
              <w:pPr>
                <w:pStyle w:val="TOC2"/>
                <w:tabs>
                  <w:tab w:val="left" w:pos="800"/>
                  <w:tab w:val="right" w:leader="dot" w:pos="9016"/>
                </w:tabs>
                <w:rPr>
                  <w:rFonts w:asciiTheme="minorHAnsi" w:eastAsiaTheme="minorEastAsia" w:hAnsiTheme="minorHAnsi" w:cstheme="minorBidi"/>
                  <w:noProof/>
                  <w:sz w:val="22"/>
                  <w:szCs w:val="22"/>
                </w:rPr>
              </w:pPr>
              <w:hyperlink w:anchor="_Toc452035654" w:history="1">
                <w:r w:rsidR="007F2A06" w:rsidRPr="00D74F74">
                  <w:rPr>
                    <w:rStyle w:val="Hyperlink"/>
                    <w:noProof/>
                  </w:rPr>
                  <w:t>7.</w:t>
                </w:r>
                <w:r w:rsidR="007F2A06">
                  <w:rPr>
                    <w:rFonts w:asciiTheme="minorHAnsi" w:eastAsiaTheme="minorEastAsia" w:hAnsiTheme="minorHAnsi" w:cstheme="minorBidi"/>
                    <w:noProof/>
                    <w:sz w:val="22"/>
                    <w:szCs w:val="22"/>
                  </w:rPr>
                  <w:tab/>
                </w:r>
                <w:r w:rsidR="007F2A06" w:rsidRPr="00D74F74">
                  <w:rPr>
                    <w:rStyle w:val="Hyperlink"/>
                    <w:noProof/>
                  </w:rPr>
                  <w:t>Appendix 1. Model Assumption Tables &amp; Input Parameters for Univariate Sensitivity Analyses</w:t>
                </w:r>
                <w:r w:rsidR="007F2A06">
                  <w:rPr>
                    <w:noProof/>
                    <w:webHidden/>
                  </w:rPr>
                  <w:tab/>
                </w:r>
                <w:r w:rsidR="007F2A06">
                  <w:rPr>
                    <w:noProof/>
                    <w:webHidden/>
                  </w:rPr>
                  <w:fldChar w:fldCharType="begin"/>
                </w:r>
                <w:r w:rsidR="007F2A06">
                  <w:rPr>
                    <w:noProof/>
                    <w:webHidden/>
                  </w:rPr>
                  <w:instrText xml:space="preserve"> PAGEREF _Toc452035654 \h </w:instrText>
                </w:r>
                <w:r w:rsidR="007F2A06">
                  <w:rPr>
                    <w:noProof/>
                    <w:webHidden/>
                  </w:rPr>
                </w:r>
                <w:r w:rsidR="007F2A06">
                  <w:rPr>
                    <w:noProof/>
                    <w:webHidden/>
                  </w:rPr>
                  <w:fldChar w:fldCharType="separate"/>
                </w:r>
                <w:r w:rsidR="007F2A06">
                  <w:rPr>
                    <w:noProof/>
                    <w:webHidden/>
                  </w:rPr>
                  <w:t>85</w:t>
                </w:r>
                <w:r w:rsidR="007F2A06">
                  <w:rPr>
                    <w:noProof/>
                    <w:webHidden/>
                  </w:rPr>
                  <w:fldChar w:fldCharType="end"/>
                </w:r>
              </w:hyperlink>
            </w:p>
            <w:p w14:paraId="36D9A12F"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55" w:history="1">
                <w:r w:rsidR="007F2A06" w:rsidRPr="00D74F74">
                  <w:rPr>
                    <w:rStyle w:val="Hyperlink"/>
                    <w:noProof/>
                  </w:rPr>
                  <w:t>7.1 Model based on Catalano, et al. "An experimental intervention with families of substance abusers: one-year follow-up of the focus on families project."</w:t>
                </w:r>
                <w:r w:rsidR="007F2A06">
                  <w:rPr>
                    <w:noProof/>
                    <w:webHidden/>
                  </w:rPr>
                  <w:tab/>
                </w:r>
                <w:r w:rsidR="007F2A06">
                  <w:rPr>
                    <w:noProof/>
                    <w:webHidden/>
                  </w:rPr>
                  <w:fldChar w:fldCharType="begin"/>
                </w:r>
                <w:r w:rsidR="007F2A06">
                  <w:rPr>
                    <w:noProof/>
                    <w:webHidden/>
                  </w:rPr>
                  <w:instrText xml:space="preserve"> PAGEREF _Toc452035655 \h </w:instrText>
                </w:r>
                <w:r w:rsidR="007F2A06">
                  <w:rPr>
                    <w:noProof/>
                    <w:webHidden/>
                  </w:rPr>
                </w:r>
                <w:r w:rsidR="007F2A06">
                  <w:rPr>
                    <w:noProof/>
                    <w:webHidden/>
                  </w:rPr>
                  <w:fldChar w:fldCharType="separate"/>
                </w:r>
                <w:r w:rsidR="007F2A06">
                  <w:rPr>
                    <w:noProof/>
                    <w:webHidden/>
                  </w:rPr>
                  <w:t>85</w:t>
                </w:r>
                <w:r w:rsidR="007F2A06">
                  <w:rPr>
                    <w:noProof/>
                    <w:webHidden/>
                  </w:rPr>
                  <w:fldChar w:fldCharType="end"/>
                </w:r>
              </w:hyperlink>
            </w:p>
            <w:p w14:paraId="56095EB1"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56" w:history="1">
                <w:r w:rsidR="007F2A06" w:rsidRPr="00D74F74">
                  <w:rPr>
                    <w:rStyle w:val="Hyperlink"/>
                    <w:noProof/>
                  </w:rPr>
                  <w:t>7.2 Model based on Lee et al. (2010) "A brief, web-based personalized feedback selective intervention for college student marijuana use: a randomized clinical trial"</w:t>
                </w:r>
                <w:r w:rsidR="007F2A06">
                  <w:rPr>
                    <w:noProof/>
                    <w:webHidden/>
                  </w:rPr>
                  <w:tab/>
                </w:r>
                <w:r w:rsidR="007F2A06">
                  <w:rPr>
                    <w:noProof/>
                    <w:webHidden/>
                  </w:rPr>
                  <w:fldChar w:fldCharType="begin"/>
                </w:r>
                <w:r w:rsidR="007F2A06">
                  <w:rPr>
                    <w:noProof/>
                    <w:webHidden/>
                  </w:rPr>
                  <w:instrText xml:space="preserve"> PAGEREF _Toc452035656 \h </w:instrText>
                </w:r>
                <w:r w:rsidR="007F2A06">
                  <w:rPr>
                    <w:noProof/>
                    <w:webHidden/>
                  </w:rPr>
                </w:r>
                <w:r w:rsidR="007F2A06">
                  <w:rPr>
                    <w:noProof/>
                    <w:webHidden/>
                  </w:rPr>
                  <w:fldChar w:fldCharType="separate"/>
                </w:r>
                <w:r w:rsidR="007F2A06">
                  <w:rPr>
                    <w:noProof/>
                    <w:webHidden/>
                  </w:rPr>
                  <w:t>87</w:t>
                </w:r>
                <w:r w:rsidR="007F2A06">
                  <w:rPr>
                    <w:noProof/>
                    <w:webHidden/>
                  </w:rPr>
                  <w:fldChar w:fldCharType="end"/>
                </w:r>
              </w:hyperlink>
            </w:p>
            <w:p w14:paraId="4082853E"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57" w:history="1">
                <w:r w:rsidR="007F2A06" w:rsidRPr="00D74F74">
                  <w:rPr>
                    <w:rStyle w:val="Hyperlink"/>
                    <w:noProof/>
                  </w:rPr>
                  <w:t>7.3 Model based on Prado et al. (2012) "The efficacy of Familias Unidas on drug and alcohol outcomes for Hispanic delinquent youth: Main effects and interaction effects by parental stress and social support."</w:t>
                </w:r>
                <w:r w:rsidR="007F2A06">
                  <w:rPr>
                    <w:noProof/>
                    <w:webHidden/>
                  </w:rPr>
                  <w:tab/>
                </w:r>
                <w:r w:rsidR="007F2A06">
                  <w:rPr>
                    <w:noProof/>
                    <w:webHidden/>
                  </w:rPr>
                  <w:fldChar w:fldCharType="begin"/>
                </w:r>
                <w:r w:rsidR="007F2A06">
                  <w:rPr>
                    <w:noProof/>
                    <w:webHidden/>
                  </w:rPr>
                  <w:instrText xml:space="preserve"> PAGEREF _Toc452035657 \h </w:instrText>
                </w:r>
                <w:r w:rsidR="007F2A06">
                  <w:rPr>
                    <w:noProof/>
                    <w:webHidden/>
                  </w:rPr>
                </w:r>
                <w:r w:rsidR="007F2A06">
                  <w:rPr>
                    <w:noProof/>
                    <w:webHidden/>
                  </w:rPr>
                  <w:fldChar w:fldCharType="separate"/>
                </w:r>
                <w:r w:rsidR="007F2A06">
                  <w:rPr>
                    <w:noProof/>
                    <w:webHidden/>
                  </w:rPr>
                  <w:t>88</w:t>
                </w:r>
                <w:r w:rsidR="007F2A06">
                  <w:rPr>
                    <w:noProof/>
                    <w:webHidden/>
                  </w:rPr>
                  <w:fldChar w:fldCharType="end"/>
                </w:r>
              </w:hyperlink>
            </w:p>
            <w:p w14:paraId="6A3E664D"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58" w:history="1">
                <w:r w:rsidR="007F2A06" w:rsidRPr="00D74F74">
                  <w:rPr>
                    <w:rStyle w:val="Hyperlink"/>
                    <w:noProof/>
                  </w:rPr>
                  <w:t>7.4 Model based on Martin et al. (2010): "Brief intervention for regular ecstasy (MDMA) users: Pilot randomised trial of a Check-up model."</w:t>
                </w:r>
                <w:r w:rsidR="007F2A06">
                  <w:rPr>
                    <w:noProof/>
                    <w:webHidden/>
                  </w:rPr>
                  <w:tab/>
                </w:r>
                <w:r w:rsidR="007F2A06">
                  <w:rPr>
                    <w:noProof/>
                    <w:webHidden/>
                  </w:rPr>
                  <w:fldChar w:fldCharType="begin"/>
                </w:r>
                <w:r w:rsidR="007F2A06">
                  <w:rPr>
                    <w:noProof/>
                    <w:webHidden/>
                  </w:rPr>
                  <w:instrText xml:space="preserve"> PAGEREF _Toc452035658 \h </w:instrText>
                </w:r>
                <w:r w:rsidR="007F2A06">
                  <w:rPr>
                    <w:noProof/>
                    <w:webHidden/>
                  </w:rPr>
                </w:r>
                <w:r w:rsidR="007F2A06">
                  <w:rPr>
                    <w:noProof/>
                    <w:webHidden/>
                  </w:rPr>
                  <w:fldChar w:fldCharType="separate"/>
                </w:r>
                <w:r w:rsidR="007F2A06">
                  <w:rPr>
                    <w:noProof/>
                    <w:webHidden/>
                  </w:rPr>
                  <w:t>92</w:t>
                </w:r>
                <w:r w:rsidR="007F2A06">
                  <w:rPr>
                    <w:noProof/>
                    <w:webHidden/>
                  </w:rPr>
                  <w:fldChar w:fldCharType="end"/>
                </w:r>
              </w:hyperlink>
            </w:p>
            <w:p w14:paraId="76E77C73"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59" w:history="1">
                <w:r w:rsidR="007F2A06" w:rsidRPr="00D74F74">
                  <w:rPr>
                    <w:rStyle w:val="Hyperlink"/>
                    <w:noProof/>
                  </w:rPr>
                  <w:t>7.5 Model based on Parsons, et al (2014). A randomized controlled trial utilizing motivational interviewing to reduce HIV risk and drug use in young gay and bisexual men. Journal of Consulting and Clinical Psychology, 82(1), 9–18.</w:t>
                </w:r>
                <w:r w:rsidR="007F2A06">
                  <w:rPr>
                    <w:noProof/>
                    <w:webHidden/>
                  </w:rPr>
                  <w:tab/>
                </w:r>
                <w:r w:rsidR="007F2A06">
                  <w:rPr>
                    <w:noProof/>
                    <w:webHidden/>
                  </w:rPr>
                  <w:fldChar w:fldCharType="begin"/>
                </w:r>
                <w:r w:rsidR="007F2A06">
                  <w:rPr>
                    <w:noProof/>
                    <w:webHidden/>
                  </w:rPr>
                  <w:instrText xml:space="preserve"> PAGEREF _Toc452035659 \h </w:instrText>
                </w:r>
                <w:r w:rsidR="007F2A06">
                  <w:rPr>
                    <w:noProof/>
                    <w:webHidden/>
                  </w:rPr>
                </w:r>
                <w:r w:rsidR="007F2A06">
                  <w:rPr>
                    <w:noProof/>
                    <w:webHidden/>
                  </w:rPr>
                  <w:fldChar w:fldCharType="separate"/>
                </w:r>
                <w:r w:rsidR="007F2A06">
                  <w:rPr>
                    <w:noProof/>
                    <w:webHidden/>
                  </w:rPr>
                  <w:t>94</w:t>
                </w:r>
                <w:r w:rsidR="007F2A06">
                  <w:rPr>
                    <w:noProof/>
                    <w:webHidden/>
                  </w:rPr>
                  <w:fldChar w:fldCharType="end"/>
                </w:r>
              </w:hyperlink>
            </w:p>
            <w:p w14:paraId="299E37DF"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60" w:history="1">
                <w:r w:rsidR="007F2A06" w:rsidRPr="00D74F74">
                  <w:rPr>
                    <w:rStyle w:val="Hyperlink"/>
                    <w:noProof/>
                  </w:rPr>
                  <w:t>7.6 Model based on Morgenstern et al. (2009) Randomized Trial to Reduce Club Drug Use and HIV Risk Behaviors Among Men Who Have Sex With Men.</w:t>
                </w:r>
                <w:r w:rsidR="007F2A06">
                  <w:rPr>
                    <w:noProof/>
                    <w:webHidden/>
                  </w:rPr>
                  <w:tab/>
                </w:r>
                <w:r w:rsidR="007F2A06">
                  <w:rPr>
                    <w:noProof/>
                    <w:webHidden/>
                  </w:rPr>
                  <w:fldChar w:fldCharType="begin"/>
                </w:r>
                <w:r w:rsidR="007F2A06">
                  <w:rPr>
                    <w:noProof/>
                    <w:webHidden/>
                  </w:rPr>
                  <w:instrText xml:space="preserve"> PAGEREF _Toc452035660 \h </w:instrText>
                </w:r>
                <w:r w:rsidR="007F2A06">
                  <w:rPr>
                    <w:noProof/>
                    <w:webHidden/>
                  </w:rPr>
                </w:r>
                <w:r w:rsidR="007F2A06">
                  <w:rPr>
                    <w:noProof/>
                    <w:webHidden/>
                  </w:rPr>
                  <w:fldChar w:fldCharType="separate"/>
                </w:r>
                <w:r w:rsidR="007F2A06">
                  <w:rPr>
                    <w:noProof/>
                    <w:webHidden/>
                  </w:rPr>
                  <w:t>95</w:t>
                </w:r>
                <w:r w:rsidR="007F2A06">
                  <w:rPr>
                    <w:noProof/>
                    <w:webHidden/>
                  </w:rPr>
                  <w:fldChar w:fldCharType="end"/>
                </w:r>
              </w:hyperlink>
            </w:p>
            <w:p w14:paraId="35D235A9" w14:textId="77777777" w:rsidR="007F2A06" w:rsidRDefault="00984E4E">
              <w:pPr>
                <w:pStyle w:val="TOC3"/>
                <w:tabs>
                  <w:tab w:val="right" w:leader="dot" w:pos="9016"/>
                </w:tabs>
                <w:rPr>
                  <w:rFonts w:asciiTheme="minorHAnsi" w:eastAsiaTheme="minorEastAsia" w:hAnsiTheme="minorHAnsi" w:cstheme="minorBidi"/>
                  <w:noProof/>
                  <w:sz w:val="22"/>
                  <w:szCs w:val="22"/>
                </w:rPr>
              </w:pPr>
              <w:hyperlink w:anchor="_Toc452035661" w:history="1">
                <w:r w:rsidR="007F2A06" w:rsidRPr="00D74F74">
                  <w:rPr>
                    <w:rStyle w:val="Hyperlink"/>
                    <w:noProof/>
                  </w:rPr>
                  <w:t>7.7 Model based on Milburn, et al, 2012. A family intervention to reduce sexual risk behavior, substance use, and delinquency among newly homeless youth. Journal of Adolescent Health, 50(4), pp.358-364.</w:t>
                </w:r>
                <w:r w:rsidR="007F2A06">
                  <w:rPr>
                    <w:noProof/>
                    <w:webHidden/>
                  </w:rPr>
                  <w:tab/>
                </w:r>
                <w:r w:rsidR="007F2A06">
                  <w:rPr>
                    <w:noProof/>
                    <w:webHidden/>
                  </w:rPr>
                  <w:fldChar w:fldCharType="begin"/>
                </w:r>
                <w:r w:rsidR="007F2A06">
                  <w:rPr>
                    <w:noProof/>
                    <w:webHidden/>
                  </w:rPr>
                  <w:instrText xml:space="preserve"> PAGEREF _Toc452035661 \h </w:instrText>
                </w:r>
                <w:r w:rsidR="007F2A06">
                  <w:rPr>
                    <w:noProof/>
                    <w:webHidden/>
                  </w:rPr>
                </w:r>
                <w:r w:rsidR="007F2A06">
                  <w:rPr>
                    <w:noProof/>
                    <w:webHidden/>
                  </w:rPr>
                  <w:fldChar w:fldCharType="separate"/>
                </w:r>
                <w:r w:rsidR="007F2A06">
                  <w:rPr>
                    <w:noProof/>
                    <w:webHidden/>
                  </w:rPr>
                  <w:t>97</w:t>
                </w:r>
                <w:r w:rsidR="007F2A06">
                  <w:rPr>
                    <w:noProof/>
                    <w:webHidden/>
                  </w:rPr>
                  <w:fldChar w:fldCharType="end"/>
                </w:r>
              </w:hyperlink>
            </w:p>
            <w:p w14:paraId="5C617174" w14:textId="77777777" w:rsidR="007F2A06" w:rsidRDefault="00984E4E">
              <w:pPr>
                <w:pStyle w:val="TOC2"/>
                <w:tabs>
                  <w:tab w:val="left" w:pos="800"/>
                  <w:tab w:val="right" w:leader="dot" w:pos="9016"/>
                </w:tabs>
                <w:rPr>
                  <w:rFonts w:asciiTheme="minorHAnsi" w:eastAsiaTheme="minorEastAsia" w:hAnsiTheme="minorHAnsi" w:cstheme="minorBidi"/>
                  <w:noProof/>
                  <w:sz w:val="22"/>
                  <w:szCs w:val="22"/>
                </w:rPr>
              </w:pPr>
              <w:hyperlink w:anchor="_Toc452035662" w:history="1">
                <w:r w:rsidR="007F2A06" w:rsidRPr="00D74F74">
                  <w:rPr>
                    <w:rStyle w:val="Hyperlink"/>
                    <w:noProof/>
                  </w:rPr>
                  <w:t>8.</w:t>
                </w:r>
                <w:r w:rsidR="007F2A06">
                  <w:rPr>
                    <w:rFonts w:asciiTheme="minorHAnsi" w:eastAsiaTheme="minorEastAsia" w:hAnsiTheme="minorHAnsi" w:cstheme="minorBidi"/>
                    <w:noProof/>
                    <w:sz w:val="22"/>
                    <w:szCs w:val="22"/>
                  </w:rPr>
                  <w:tab/>
                </w:r>
                <w:r w:rsidR="007F2A06" w:rsidRPr="00D74F74">
                  <w:rPr>
                    <w:rStyle w:val="Hyperlink"/>
                    <w:noProof/>
                  </w:rPr>
                  <w:t>References</w:t>
                </w:r>
                <w:r w:rsidR="007F2A06">
                  <w:rPr>
                    <w:noProof/>
                    <w:webHidden/>
                  </w:rPr>
                  <w:tab/>
                </w:r>
                <w:r w:rsidR="007F2A06">
                  <w:rPr>
                    <w:noProof/>
                    <w:webHidden/>
                  </w:rPr>
                  <w:fldChar w:fldCharType="begin"/>
                </w:r>
                <w:r w:rsidR="007F2A06">
                  <w:rPr>
                    <w:noProof/>
                    <w:webHidden/>
                  </w:rPr>
                  <w:instrText xml:space="preserve"> PAGEREF _Toc452035662 \h </w:instrText>
                </w:r>
                <w:r w:rsidR="007F2A06">
                  <w:rPr>
                    <w:noProof/>
                    <w:webHidden/>
                  </w:rPr>
                </w:r>
                <w:r w:rsidR="007F2A06">
                  <w:rPr>
                    <w:noProof/>
                    <w:webHidden/>
                  </w:rPr>
                  <w:fldChar w:fldCharType="separate"/>
                </w:r>
                <w:r w:rsidR="007F2A06">
                  <w:rPr>
                    <w:noProof/>
                    <w:webHidden/>
                  </w:rPr>
                  <w:t>99</w:t>
                </w:r>
                <w:r w:rsidR="007F2A06">
                  <w:rPr>
                    <w:noProof/>
                    <w:webHidden/>
                  </w:rPr>
                  <w:fldChar w:fldCharType="end"/>
                </w:r>
              </w:hyperlink>
            </w:p>
            <w:p w14:paraId="47BE321D" w14:textId="0E62007B" w:rsidR="008C7845" w:rsidRPr="00AC2C72" w:rsidRDefault="008C7845" w:rsidP="00CC7EC2">
              <w:r w:rsidRPr="00AC2C72">
                <w:rPr>
                  <w:b/>
                  <w:bCs/>
                  <w:noProof/>
                </w:rPr>
                <w:fldChar w:fldCharType="end"/>
              </w:r>
            </w:p>
          </w:sdtContent>
        </w:sdt>
        <w:p w14:paraId="31A3E358" w14:textId="4E5E82A9" w:rsidR="008C7845" w:rsidRPr="00D21C25" w:rsidRDefault="00984E4E" w:rsidP="00AD2788">
          <w:pPr>
            <w:rPr>
              <w:rFonts w:eastAsiaTheme="majorEastAsia"/>
              <w:color w:val="365F91" w:themeColor="accent1" w:themeShade="BF"/>
              <w:sz w:val="28"/>
              <w:szCs w:val="28"/>
            </w:rPr>
          </w:pPr>
        </w:p>
      </w:sdtContent>
    </w:sdt>
    <w:p w14:paraId="169036C9" w14:textId="77777777" w:rsidR="008C7845" w:rsidRPr="00D21C25" w:rsidRDefault="008C7845">
      <w:pPr>
        <w:rPr>
          <w:rFonts w:eastAsiaTheme="majorEastAsia"/>
          <w:color w:val="365F91" w:themeColor="accent1" w:themeShade="BF"/>
          <w:sz w:val="28"/>
          <w:szCs w:val="28"/>
        </w:rPr>
      </w:pPr>
      <w:r w:rsidRPr="00AC2C72">
        <w:br w:type="page"/>
      </w:r>
    </w:p>
    <w:p w14:paraId="288456DC" w14:textId="0432E944" w:rsidR="00BE6B23" w:rsidRDefault="00BE6B23">
      <w:pPr>
        <w:pStyle w:val="Heading1"/>
      </w:pPr>
      <w:bookmarkStart w:id="7" w:name="_Toc450904384"/>
      <w:bookmarkStart w:id="8" w:name="_Toc452035619"/>
      <w:r w:rsidRPr="00D21C25">
        <w:lastRenderedPageBreak/>
        <w:t>NICE Drug Misuse Prevention</w:t>
      </w:r>
      <w:r w:rsidR="009A69B6" w:rsidRPr="00D21C25">
        <w:t>: Economic Modelling Report</w:t>
      </w:r>
      <w:bookmarkEnd w:id="7"/>
      <w:bookmarkEnd w:id="8"/>
    </w:p>
    <w:p w14:paraId="10FC74DD" w14:textId="77777777" w:rsidR="007A18BC" w:rsidRDefault="007A18BC"/>
    <w:p w14:paraId="1BE7589D" w14:textId="2F621028" w:rsidR="00BE6B23" w:rsidRPr="00D21C25" w:rsidRDefault="00BE6B23">
      <w:pPr>
        <w:pStyle w:val="Heading2"/>
        <w:numPr>
          <w:ilvl w:val="0"/>
          <w:numId w:val="3"/>
        </w:numPr>
      </w:pPr>
      <w:bookmarkStart w:id="9" w:name="_Toc452035620"/>
      <w:r w:rsidRPr="00D21C25">
        <w:t>Executive Summary &amp; Evidence Statements</w:t>
      </w:r>
      <w:bookmarkEnd w:id="9"/>
    </w:p>
    <w:p w14:paraId="230DDBE4" w14:textId="77777777" w:rsidR="003D36FE" w:rsidRPr="00184233" w:rsidRDefault="003D36FE"/>
    <w:p w14:paraId="1561AE89" w14:textId="02BF1A51" w:rsidR="00A0583B" w:rsidRPr="00AC2C72" w:rsidRDefault="00A0583B">
      <w:r w:rsidRPr="00AC2C72">
        <w:rPr>
          <w:b/>
        </w:rPr>
        <w:t>Objective</w:t>
      </w:r>
      <w:r w:rsidRPr="00AC2C72">
        <w:t>:</w:t>
      </w:r>
      <w:r w:rsidR="00A758D3" w:rsidRPr="00AC2C72">
        <w:t xml:space="preserve"> </w:t>
      </w:r>
      <w:r w:rsidR="003D36FE" w:rsidRPr="00AC2C72">
        <w:t>T</w:t>
      </w:r>
      <w:r w:rsidR="00A758D3" w:rsidRPr="00AC2C72">
        <w:t xml:space="preserve">o estimate the </w:t>
      </w:r>
      <w:r w:rsidR="003D36FE" w:rsidRPr="00AC2C72">
        <w:t xml:space="preserve">likely </w:t>
      </w:r>
      <w:r w:rsidR="00A758D3" w:rsidRPr="00AC2C72">
        <w:t xml:space="preserve">cost effectiveness of </w:t>
      </w:r>
      <w:r w:rsidR="003D36FE" w:rsidRPr="00AC2C72">
        <w:t xml:space="preserve">targeted </w:t>
      </w:r>
      <w:r w:rsidR="00A758D3" w:rsidRPr="00AC2C72">
        <w:t xml:space="preserve">interventions aimed at reducing or preventing drug misuse in </w:t>
      </w:r>
      <w:r w:rsidR="003D36FE" w:rsidRPr="00AC2C72">
        <w:t xml:space="preserve">pre-defined </w:t>
      </w:r>
      <w:r w:rsidR="00A758D3" w:rsidRPr="00AC2C72">
        <w:t>vulnerable</w:t>
      </w:r>
      <w:r w:rsidR="003D36FE" w:rsidRPr="00AC2C72">
        <w:t xml:space="preserve"> (and at-risk)</w:t>
      </w:r>
      <w:r w:rsidR="00A758D3" w:rsidRPr="00AC2C72">
        <w:t xml:space="preserve"> populations. </w:t>
      </w:r>
      <w:r w:rsidR="004B7E47">
        <w:t xml:space="preserve">This is to enable the NICE Public Health Advisory Committee to consider whether interventions are cost effective when making their recommendations. </w:t>
      </w:r>
    </w:p>
    <w:p w14:paraId="180D1F35" w14:textId="77777777" w:rsidR="003D36FE" w:rsidRPr="00AC2C72" w:rsidRDefault="003D36FE"/>
    <w:p w14:paraId="15055BAD" w14:textId="00899AD2" w:rsidR="00A758D3" w:rsidRPr="00AC2C72" w:rsidRDefault="00A0583B">
      <w:r w:rsidRPr="00AC2C72">
        <w:rPr>
          <w:b/>
        </w:rPr>
        <w:t>Method</w:t>
      </w:r>
      <w:r w:rsidRPr="00AC2C72">
        <w:t>:</w:t>
      </w:r>
      <w:r w:rsidR="00A758D3" w:rsidRPr="00AC2C72">
        <w:t xml:space="preserve"> </w:t>
      </w:r>
      <w:r w:rsidR="004B7E47">
        <w:t>This model b</w:t>
      </w:r>
      <w:r w:rsidR="00A758D3" w:rsidRPr="00AC2C72">
        <w:t xml:space="preserve">uilt </w:t>
      </w:r>
      <w:r w:rsidR="003D36FE" w:rsidRPr="00AC2C72">
        <w:t>up</w:t>
      </w:r>
      <w:r w:rsidR="00A758D3" w:rsidRPr="00AC2C72">
        <w:t xml:space="preserve">on </w:t>
      </w:r>
      <w:r w:rsidR="003D36FE" w:rsidRPr="00AC2C72">
        <w:t>the initial</w:t>
      </w:r>
      <w:r w:rsidR="00A758D3" w:rsidRPr="00AC2C72">
        <w:t xml:space="preserve"> </w:t>
      </w:r>
      <w:r w:rsidR="003D36FE" w:rsidRPr="00AC2C72">
        <w:t xml:space="preserve">systematic </w:t>
      </w:r>
      <w:r w:rsidR="00A758D3" w:rsidRPr="00AC2C72">
        <w:t>review of studies</w:t>
      </w:r>
      <w:r w:rsidR="003D36FE" w:rsidRPr="00AC2C72">
        <w:t xml:space="preserve"> concerning the ‘effectiveness’ of such interventions, as</w:t>
      </w:r>
      <w:r w:rsidR="00A758D3" w:rsidRPr="00AC2C72">
        <w:t xml:space="preserve"> undertaken by Liverpool John Moore’s University</w:t>
      </w:r>
      <w:r w:rsidR="00473A6B" w:rsidRPr="00AC2C72">
        <w:t xml:space="preserve"> Centre for Public Health and by the NICE team</w:t>
      </w:r>
      <w:r w:rsidR="00A758D3" w:rsidRPr="00AC2C72">
        <w:t xml:space="preserve">. The </w:t>
      </w:r>
      <w:r w:rsidR="004B7E47">
        <w:t>modelling</w:t>
      </w:r>
      <w:r w:rsidR="00A758D3" w:rsidRPr="00AC2C72">
        <w:t xml:space="preserve"> involved two stages:</w:t>
      </w:r>
    </w:p>
    <w:p w14:paraId="120AA960" w14:textId="66F8E40C" w:rsidR="00A758D3" w:rsidRPr="00AC2C72" w:rsidRDefault="003D36FE">
      <w:pPr>
        <w:pStyle w:val="ListParagraph"/>
        <w:numPr>
          <w:ilvl w:val="0"/>
          <w:numId w:val="30"/>
        </w:numPr>
      </w:pPr>
      <w:r w:rsidRPr="00AC2C72">
        <w:t>T</w:t>
      </w:r>
      <w:r w:rsidR="00A758D3" w:rsidRPr="00AC2C72">
        <w:t xml:space="preserve">he selection of </w:t>
      </w:r>
      <w:r w:rsidRPr="00AC2C72">
        <w:t xml:space="preserve">relevant </w:t>
      </w:r>
      <w:r w:rsidR="00A758D3" w:rsidRPr="00AC2C72">
        <w:t>studies</w:t>
      </w:r>
      <w:r w:rsidRPr="00AC2C72">
        <w:t xml:space="preserve"> (and interventions)</w:t>
      </w:r>
      <w:r w:rsidR="00A758D3" w:rsidRPr="00AC2C72">
        <w:t xml:space="preserve"> identified in the </w:t>
      </w:r>
      <w:r w:rsidRPr="00AC2C72">
        <w:t xml:space="preserve">effectiveness review, </w:t>
      </w:r>
      <w:r w:rsidR="00A758D3" w:rsidRPr="00AC2C72">
        <w:t>based on the quality of the methodology employed in the studies; and</w:t>
      </w:r>
    </w:p>
    <w:p w14:paraId="3E10774E" w14:textId="6A385DB3" w:rsidR="00A758D3" w:rsidRPr="00AC2C72" w:rsidRDefault="003D36FE">
      <w:pPr>
        <w:pStyle w:val="ListParagraph"/>
        <w:numPr>
          <w:ilvl w:val="0"/>
          <w:numId w:val="30"/>
        </w:numPr>
      </w:pPr>
      <w:r w:rsidRPr="00AC2C72">
        <w:t>T</w:t>
      </w:r>
      <w:r w:rsidR="00A758D3" w:rsidRPr="00AC2C72">
        <w:t xml:space="preserve">he building of </w:t>
      </w:r>
      <w:r w:rsidRPr="00AC2C72">
        <w:t>a number of economic</w:t>
      </w:r>
      <w:r w:rsidR="00A758D3" w:rsidRPr="00AC2C72">
        <w:t xml:space="preserve"> model</w:t>
      </w:r>
      <w:r w:rsidRPr="00AC2C72">
        <w:t xml:space="preserve">s, specific to the drug under consideration, the population group being considered, and the intervention identified for such groups. The aim of the models was </w:t>
      </w:r>
      <w:r w:rsidR="00A758D3" w:rsidRPr="00AC2C72">
        <w:t xml:space="preserve">to </w:t>
      </w:r>
      <w:r w:rsidRPr="00AC2C72">
        <w:t xml:space="preserve">estimate </w:t>
      </w:r>
      <w:r w:rsidR="00A758D3" w:rsidRPr="00AC2C72">
        <w:t xml:space="preserve">the </w:t>
      </w:r>
      <w:r w:rsidRPr="00AC2C72">
        <w:t xml:space="preserve">likely </w:t>
      </w:r>
      <w:r w:rsidR="00A758D3" w:rsidRPr="00AC2C72">
        <w:t>impact</w:t>
      </w:r>
      <w:r w:rsidRPr="00AC2C72">
        <w:t xml:space="preserve"> (and value)</w:t>
      </w:r>
      <w:r w:rsidR="00A758D3" w:rsidRPr="00AC2C72">
        <w:t xml:space="preserve"> of </w:t>
      </w:r>
      <w:r w:rsidRPr="00AC2C72">
        <w:t xml:space="preserve">targeted </w:t>
      </w:r>
      <w:r w:rsidR="00A758D3" w:rsidRPr="00AC2C72">
        <w:t>interventions</w:t>
      </w:r>
      <w:r w:rsidRPr="00AC2C72">
        <w:t xml:space="preserve">, </w:t>
      </w:r>
      <w:r w:rsidR="00A758D3" w:rsidRPr="00AC2C72">
        <w:t xml:space="preserve">on the </w:t>
      </w:r>
      <w:r w:rsidRPr="00AC2C72">
        <w:t xml:space="preserve">populations in question, and how any intervention may reduce or </w:t>
      </w:r>
      <w:r w:rsidR="00473A6B" w:rsidRPr="00AC2C72">
        <w:t>delay</w:t>
      </w:r>
      <w:r w:rsidRPr="00AC2C72">
        <w:t xml:space="preserve"> drug use and the harmful consequences that ensue. </w:t>
      </w:r>
    </w:p>
    <w:p w14:paraId="3A64D4CD" w14:textId="77777777" w:rsidR="00266C1A" w:rsidRPr="00AC2C72" w:rsidRDefault="00266C1A"/>
    <w:p w14:paraId="43228271" w14:textId="312CFC31" w:rsidR="00A758D3" w:rsidRDefault="00A758D3">
      <w:r w:rsidRPr="00AC2C72">
        <w:t xml:space="preserve">This </w:t>
      </w:r>
      <w:r w:rsidR="00486572" w:rsidRPr="00AC2C72">
        <w:t xml:space="preserve">report details </w:t>
      </w:r>
      <w:r w:rsidRPr="00AC2C72">
        <w:t>the result</w:t>
      </w:r>
      <w:r w:rsidR="00486572" w:rsidRPr="00AC2C72">
        <w:t>s</w:t>
      </w:r>
      <w:r w:rsidRPr="00AC2C72">
        <w:t xml:space="preserve"> of </w:t>
      </w:r>
      <w:r w:rsidR="00486572" w:rsidRPr="00AC2C72">
        <w:t xml:space="preserve">the </w:t>
      </w:r>
      <w:r w:rsidRPr="00AC2C72">
        <w:t>model</w:t>
      </w:r>
      <w:r w:rsidR="00C4149A" w:rsidRPr="00AC2C72">
        <w:t>s</w:t>
      </w:r>
      <w:r w:rsidRPr="00AC2C72">
        <w:t xml:space="preserve"> developed to predict the </w:t>
      </w:r>
      <w:r w:rsidR="00486572" w:rsidRPr="00AC2C72">
        <w:t xml:space="preserve">potential </w:t>
      </w:r>
      <w:r w:rsidRPr="00AC2C72">
        <w:t xml:space="preserve">impact of changes in </w:t>
      </w:r>
      <w:r w:rsidR="00486572" w:rsidRPr="00AC2C72">
        <w:t>the probability of drug misuse within</w:t>
      </w:r>
      <w:r w:rsidRPr="00AC2C72">
        <w:t xml:space="preserve"> </w:t>
      </w:r>
      <w:r w:rsidR="00C4149A" w:rsidRPr="00AC2C72">
        <w:t>vulnerable populations</w:t>
      </w:r>
      <w:r w:rsidRPr="00AC2C72">
        <w:t xml:space="preserve">. </w:t>
      </w:r>
      <w:r w:rsidR="00B45E73" w:rsidRPr="00AC2C72">
        <w:t>Each model</w:t>
      </w:r>
      <w:r w:rsidRPr="00AC2C72">
        <w:t xml:space="preserve"> </w:t>
      </w:r>
      <w:r w:rsidR="00B45E73" w:rsidRPr="00AC2C72">
        <w:t>places</w:t>
      </w:r>
      <w:r w:rsidR="00486572" w:rsidRPr="00AC2C72">
        <w:t xml:space="preserve"> a value on </w:t>
      </w:r>
      <w:r w:rsidRPr="00AC2C72">
        <w:t xml:space="preserve">the </w:t>
      </w:r>
      <w:r w:rsidR="00486572" w:rsidRPr="00AC2C72">
        <w:t xml:space="preserve">expected </w:t>
      </w:r>
      <w:r w:rsidRPr="00AC2C72">
        <w:t xml:space="preserve">consequences of </w:t>
      </w:r>
      <w:r w:rsidR="00C4149A" w:rsidRPr="00AC2C72">
        <w:t>drug mis</w:t>
      </w:r>
      <w:r w:rsidRPr="00AC2C72">
        <w:t>use</w:t>
      </w:r>
      <w:r w:rsidR="00B45E73" w:rsidRPr="00AC2C72">
        <w:t xml:space="preserve"> within a given vulnerable group</w:t>
      </w:r>
      <w:r w:rsidR="00486572" w:rsidRPr="00AC2C72">
        <w:t xml:space="preserve"> (as reported by pub</w:t>
      </w:r>
      <w:r w:rsidR="00B45E73" w:rsidRPr="00AC2C72">
        <w:t xml:space="preserve">lished literature), expressed </w:t>
      </w:r>
      <w:r w:rsidRPr="00AC2C72">
        <w:t xml:space="preserve">in terms of </w:t>
      </w:r>
      <w:r w:rsidR="00B45E73" w:rsidRPr="00AC2C72">
        <w:t xml:space="preserve">the impact on </w:t>
      </w:r>
      <w:r w:rsidRPr="00AC2C72">
        <w:t>health,</w:t>
      </w:r>
      <w:r w:rsidR="00B45E73" w:rsidRPr="00AC2C72">
        <w:t xml:space="preserve"> healthcare utilisation,</w:t>
      </w:r>
      <w:r w:rsidRPr="00AC2C72">
        <w:t xml:space="preserve"> </w:t>
      </w:r>
      <w:r w:rsidR="004B7E47">
        <w:t xml:space="preserve">and </w:t>
      </w:r>
      <w:r w:rsidRPr="00AC2C72">
        <w:t>crime</w:t>
      </w:r>
      <w:r w:rsidR="00B45E73" w:rsidRPr="00AC2C72">
        <w:t>. Subsequently, each</w:t>
      </w:r>
      <w:r w:rsidRPr="00AC2C72">
        <w:t xml:space="preserve"> model compare</w:t>
      </w:r>
      <w:r w:rsidR="00C4149A" w:rsidRPr="00AC2C72">
        <w:t>s</w:t>
      </w:r>
      <w:r w:rsidRPr="00AC2C72">
        <w:t xml:space="preserve"> the economic cost</w:t>
      </w:r>
      <w:r w:rsidR="00B45E73" w:rsidRPr="00AC2C72">
        <w:t xml:space="preserve"> (including on-costs, staff time and equipment costs)</w:t>
      </w:r>
      <w:r w:rsidRPr="00AC2C72">
        <w:t xml:space="preserve"> of implementing the intervention against </w:t>
      </w:r>
      <w:r w:rsidR="00B45E73" w:rsidRPr="00AC2C72">
        <w:t xml:space="preserve">the expected costs accrued in the event of ‘doing nothing’ or treatment as usual, providing an estimate of </w:t>
      </w:r>
      <w:r w:rsidRPr="00AC2C72">
        <w:t xml:space="preserve">the </w:t>
      </w:r>
      <w:r w:rsidR="00B45E73" w:rsidRPr="00AC2C72">
        <w:t xml:space="preserve">return-on-investment, and in cases where survival and quality-of-life data were available, the </w:t>
      </w:r>
      <w:r w:rsidRPr="00AC2C72">
        <w:t xml:space="preserve">cost-effectiveness of </w:t>
      </w:r>
      <w:r w:rsidR="00B45E73" w:rsidRPr="00AC2C72">
        <w:t xml:space="preserve">such </w:t>
      </w:r>
      <w:r w:rsidRPr="00AC2C72">
        <w:t>intervention</w:t>
      </w:r>
      <w:r w:rsidR="00B45E73" w:rsidRPr="00AC2C72">
        <w:t>s, expressed in terms of the cost per quality-adjusted life year gained</w:t>
      </w:r>
      <w:r w:rsidR="00473A6B" w:rsidRPr="00AC2C72">
        <w:t xml:space="preserve"> (cost utility analysis)</w:t>
      </w:r>
      <w:r w:rsidR="00B45E73" w:rsidRPr="00AC2C72">
        <w:t>.</w:t>
      </w:r>
      <w:r w:rsidRPr="00AC2C72">
        <w:t xml:space="preserve"> </w:t>
      </w:r>
    </w:p>
    <w:p w14:paraId="25D3BF37" w14:textId="77777777" w:rsidR="004B7E47" w:rsidRPr="00AC2C72" w:rsidRDefault="004B7E47"/>
    <w:p w14:paraId="32DDB7BF" w14:textId="4F66672D" w:rsidR="00396D38" w:rsidRPr="00622755" w:rsidRDefault="00396D38">
      <w:pPr>
        <w:pStyle w:val="Heading3"/>
      </w:pPr>
      <w:bookmarkStart w:id="10" w:name="_Toc452035621"/>
      <w:r>
        <w:t xml:space="preserve">Results and </w:t>
      </w:r>
      <w:r w:rsidRPr="00622755">
        <w:t xml:space="preserve">Evidence </w:t>
      </w:r>
      <w:r>
        <w:t>S</w:t>
      </w:r>
      <w:r w:rsidRPr="00622755">
        <w:t>tatement</w:t>
      </w:r>
      <w:r>
        <w:t>s</w:t>
      </w:r>
      <w:bookmarkEnd w:id="10"/>
    </w:p>
    <w:p w14:paraId="7EDEE11E" w14:textId="77777777" w:rsidR="00396D38" w:rsidRDefault="00396D38"/>
    <w:p w14:paraId="7E5D80E4" w14:textId="53155492" w:rsidR="00396D38" w:rsidRDefault="00396D38">
      <w:r>
        <w:t xml:space="preserve">Seven studies were modelled. The modelling adopted a broad public sector which included costs of drug treatment and crime, as well as health care costs and </w:t>
      </w:r>
      <w:r w:rsidR="000A76D1">
        <w:t>quality-adjusted life years</w:t>
      </w:r>
      <w:r w:rsidR="000A76D1" w:rsidRPr="000A76D1">
        <w:t xml:space="preserve"> </w:t>
      </w:r>
      <w:r w:rsidR="000A76D1">
        <w:t>(QALYs)</w:t>
      </w:r>
      <w:r>
        <w:t xml:space="preserve">. </w:t>
      </w:r>
    </w:p>
    <w:p w14:paraId="476F27B8" w14:textId="77777777" w:rsidR="00396D38" w:rsidRPr="00622755" w:rsidRDefault="00396D38"/>
    <w:p w14:paraId="0D92C009" w14:textId="77777777" w:rsidR="000B42BF" w:rsidRDefault="000B42BF"/>
    <w:p w14:paraId="563AF82D" w14:textId="77777777" w:rsidR="000B42BF" w:rsidRDefault="000B42BF">
      <w:r>
        <w:t>Evidence statement 1</w:t>
      </w:r>
    </w:p>
    <w:p w14:paraId="2127915F" w14:textId="77777777" w:rsidR="00E92C82" w:rsidRDefault="00E92C82"/>
    <w:p w14:paraId="6DC681C1" w14:textId="6499F7EF" w:rsidR="00376BD8" w:rsidRDefault="00376BD8">
      <w:r>
        <w:t>An economic model was built based on an experimental intervention with families of substance</w:t>
      </w:r>
      <w:r w:rsidR="00B60AE7">
        <w:t xml:space="preserve"> </w:t>
      </w:r>
      <w:r>
        <w:t xml:space="preserve">users by Catalano et al (1999) and a follow-up study by Haggerty et al (2008). </w:t>
      </w:r>
      <w:r w:rsidRPr="00391C0A">
        <w:t xml:space="preserve">The economic and health </w:t>
      </w:r>
      <w:r>
        <w:t xml:space="preserve">benefits </w:t>
      </w:r>
      <w:r w:rsidRPr="00391C0A">
        <w:t>are limited to 12 months in the model</w:t>
      </w:r>
      <w:r>
        <w:t xml:space="preserve"> as</w:t>
      </w:r>
      <w:r w:rsidRPr="00391C0A">
        <w:t xml:space="preserve"> beyond 12 months of the study, each individual in the intervention or control cohorts ha</w:t>
      </w:r>
      <w:r w:rsidR="004B7E47">
        <w:t>d</w:t>
      </w:r>
      <w:r w:rsidRPr="00391C0A">
        <w:t xml:space="preserve"> the same probability of using cannabis.</w:t>
      </w:r>
      <w:r>
        <w:t xml:space="preserve"> The model found that this intervention was unlikely to be cost effective at a willingness to pay threshold of £20,000 per QALY due to </w:t>
      </w:r>
      <w:r w:rsidR="004B7E47">
        <w:t xml:space="preserve">the </w:t>
      </w:r>
      <w:r>
        <w:t xml:space="preserve">restricted </w:t>
      </w:r>
      <w:r w:rsidR="004B7E47">
        <w:t xml:space="preserve">duration </w:t>
      </w:r>
      <w:r w:rsidR="008E0485">
        <w:t xml:space="preserve">of </w:t>
      </w:r>
      <w:r>
        <w:t xml:space="preserve">benefits </w:t>
      </w:r>
      <w:r w:rsidR="008E0485">
        <w:t>and high intervention costs</w:t>
      </w:r>
      <w:r w:rsidR="000B42BF">
        <w:t xml:space="preserve"> (£</w:t>
      </w:r>
      <w:r w:rsidR="00E92C82">
        <w:t>3,367</w:t>
      </w:r>
      <w:r w:rsidR="000B42BF">
        <w:t>)</w:t>
      </w:r>
      <w:r w:rsidR="008E0485">
        <w:t xml:space="preserve"> </w:t>
      </w:r>
      <w:r>
        <w:t xml:space="preserve">of </w:t>
      </w:r>
      <w:r w:rsidR="004B7E47">
        <w:t>‘F</w:t>
      </w:r>
      <w:r>
        <w:t xml:space="preserve">ocus on </w:t>
      </w:r>
      <w:r w:rsidR="004B7E47">
        <w:t>F</w:t>
      </w:r>
      <w:r>
        <w:t xml:space="preserve">amilies’ </w:t>
      </w:r>
      <w:r w:rsidR="008E0485">
        <w:t>for</w:t>
      </w:r>
      <w:r>
        <w:t xml:space="preserve"> one year. </w:t>
      </w:r>
      <w:r w:rsidR="00E92C82">
        <w:t xml:space="preserve">The ICER (incremental cost effectiveness ratio) in the base case scenario was around £99m per QALY gained. </w:t>
      </w:r>
      <w:r w:rsidR="008E0485">
        <w:t xml:space="preserve">The intervention would have to cost less than £4 </w:t>
      </w:r>
      <w:r w:rsidR="000B42BF">
        <w:t xml:space="preserve">per person </w:t>
      </w:r>
      <w:r w:rsidR="008E0485">
        <w:t>to be considered cost-effective</w:t>
      </w:r>
      <w:r w:rsidR="00E92C82">
        <w:t>, based on results being limited to 12 months.</w:t>
      </w:r>
    </w:p>
    <w:p w14:paraId="736CAB44" w14:textId="77777777" w:rsidR="00376BD8" w:rsidRDefault="00376BD8"/>
    <w:p w14:paraId="284ECF9F" w14:textId="2BAACA38" w:rsidR="000B42BF" w:rsidRDefault="000B42BF">
      <w:r>
        <w:t>Evidence statement 2</w:t>
      </w:r>
    </w:p>
    <w:p w14:paraId="621F16B1" w14:textId="77777777" w:rsidR="00E92C82" w:rsidRDefault="00E92C82"/>
    <w:p w14:paraId="2A74D575" w14:textId="79845397" w:rsidR="00773901" w:rsidRPr="008327CD" w:rsidRDefault="00773901">
      <w:r w:rsidRPr="002006E5">
        <w:t xml:space="preserve">An economic model was informed by results from Lee et al (2010) based on a brief, web-based personalized feedback selective intervention for college student cannabis use. Subgroup analysis found promising effects for those with a family history of drug </w:t>
      </w:r>
      <w:r w:rsidRPr="003D56F0">
        <w:t>problems and therefore</w:t>
      </w:r>
      <w:r w:rsidRPr="002006E5">
        <w:t xml:space="preserve"> supported selective targeting of the intervention which was applied in the model. Based on a cost of £15 the intervention would not be cost effective but if the intervention could be provided at a low cost of £1 or less then it would be dominant, i.e. less costly and more effective than a ‘do nothing’ alternative, as it provides resource savings and reductions in cannabis use. </w:t>
      </w:r>
      <w:r w:rsidR="00E92C82" w:rsidRPr="00A901B2">
        <w:t xml:space="preserve">The ICER (incremental cost effectiveness ratio) in the base case </w:t>
      </w:r>
      <w:r w:rsidR="00E92C82" w:rsidRPr="008327CD">
        <w:t>scenario was around £329,000 per QALY gained.</w:t>
      </w:r>
    </w:p>
    <w:p w14:paraId="36B53E2D" w14:textId="77777777" w:rsidR="00E92C82" w:rsidRPr="006C2AB0" w:rsidRDefault="00E92C82"/>
    <w:p w14:paraId="3410E98A" w14:textId="24D5BCB5" w:rsidR="00E92C82" w:rsidRDefault="00E92C82">
      <w:r>
        <w:t>Evidence statement 3</w:t>
      </w:r>
    </w:p>
    <w:p w14:paraId="53084C22" w14:textId="77777777" w:rsidR="00376BD8" w:rsidRDefault="00376BD8"/>
    <w:p w14:paraId="005D8487" w14:textId="5F0F8455" w:rsidR="00376BD8" w:rsidRPr="00155457" w:rsidRDefault="00376BD8">
      <w:r>
        <w:t xml:space="preserve">An economic model was informed by Prado et al (2012) based on an intervention </w:t>
      </w:r>
      <w:r w:rsidRPr="002006E5">
        <w:t xml:space="preserve">called Familias Unidas to reduce drug </w:t>
      </w:r>
      <w:r w:rsidR="004B7E47" w:rsidRPr="002006E5">
        <w:t xml:space="preserve">use </w:t>
      </w:r>
      <w:r w:rsidRPr="002006E5">
        <w:t>(in particular, cannabis) and alcohol use. Familias Unidas is most effective for adolescents with parents exhibiting high stress and lower levels of social support. Familias Unidas includes eight 2-hour multi-parent group sessions and four 1-hour family visits</w:t>
      </w:r>
      <w:r w:rsidR="00940B3D">
        <w:t xml:space="preserve">. </w:t>
      </w:r>
      <w:r w:rsidRPr="002006E5">
        <w:t>The model found that this intervention was unlikely to be cost effective at a willingness to pay threshold of £20,000 per QALY due to restricted benefits of the intervention</w:t>
      </w:r>
      <w:r w:rsidR="008E0485" w:rsidRPr="002006E5">
        <w:t xml:space="preserve"> and the costs of delivery</w:t>
      </w:r>
      <w:r w:rsidR="000B42BF" w:rsidRPr="002006E5">
        <w:t xml:space="preserve"> (£</w:t>
      </w:r>
      <w:r w:rsidR="00E92C82" w:rsidRPr="002006E5">
        <w:t>154.25 per family</w:t>
      </w:r>
      <w:r w:rsidR="000B42BF" w:rsidRPr="002006E5">
        <w:t>)</w:t>
      </w:r>
      <w:r w:rsidRPr="002006E5">
        <w:t xml:space="preserve">. </w:t>
      </w:r>
      <w:r w:rsidR="00E92C82" w:rsidRPr="002006E5">
        <w:t xml:space="preserve">The ICER (incremental cost effectiveness ratio) in the base case scenario was around £241,000 per QALY gained. </w:t>
      </w:r>
      <w:r w:rsidR="008E0485" w:rsidRPr="002006E5">
        <w:t xml:space="preserve">The intervention would have to cost less than £135 </w:t>
      </w:r>
      <w:r w:rsidR="003D07F5" w:rsidRPr="002006E5">
        <w:t xml:space="preserve">and the effects extrapolated to an additional 12 months </w:t>
      </w:r>
      <w:r w:rsidR="008E0485" w:rsidRPr="002006E5">
        <w:t>to be considered cost-effective</w:t>
      </w:r>
      <w:r w:rsidR="003D07F5" w:rsidRPr="002006E5">
        <w:t>.</w:t>
      </w:r>
    </w:p>
    <w:p w14:paraId="2B570274" w14:textId="77777777" w:rsidR="00376BD8" w:rsidRDefault="00376BD8"/>
    <w:p w14:paraId="68A01E74" w14:textId="77777777" w:rsidR="00141EBF" w:rsidRDefault="00141EBF" w:rsidP="003D56F0">
      <w:r>
        <w:br w:type="page"/>
      </w:r>
    </w:p>
    <w:p w14:paraId="681EFE42" w14:textId="6A6610D1" w:rsidR="00E92C82" w:rsidRDefault="00E92C82" w:rsidP="00CC7EC2">
      <w:r>
        <w:lastRenderedPageBreak/>
        <w:t>Evidence statement 4</w:t>
      </w:r>
    </w:p>
    <w:p w14:paraId="080D22FD" w14:textId="77777777" w:rsidR="00E92C82" w:rsidRPr="00155457" w:rsidRDefault="00E92C82" w:rsidP="00AD2788"/>
    <w:p w14:paraId="1DB71C77" w14:textId="615A86DB" w:rsidR="00E92C82" w:rsidRDefault="00D830A9">
      <w:r w:rsidRPr="00D830A9">
        <w:t>An economic model based on a study of motivational interviewing to reduce ecstasy use in those attending nightclubs, based on Martin et al. 2010, found that the intervention was not likely to be cost effective at a willingness to pay threshold of £20,000 per QALY gained. The ICER (incremental cost effectiveness ratio) in the base case scenario was around £48</w:t>
      </w:r>
      <w:r w:rsidR="00A1383D">
        <w:t xml:space="preserve">5,000 </w:t>
      </w:r>
      <w:r w:rsidRPr="00D830A9">
        <w:t>per QALY gained. Even if the effect of reducing drug use was maintained for at least two years, the cost halved to £32 and a discount rate of 1.5% applied, the ICER was still £70,</w:t>
      </w:r>
      <w:r w:rsidR="00A1383D">
        <w:t>000</w:t>
      </w:r>
      <w:r w:rsidRPr="00D830A9">
        <w:t>. In fact, the intervention could only be cost effective if delivered at a cost of £4.20 per hour or less in the base case scenario.</w:t>
      </w:r>
    </w:p>
    <w:p w14:paraId="69F20FDD" w14:textId="77777777" w:rsidR="00D830A9" w:rsidRDefault="00D830A9"/>
    <w:p w14:paraId="68C8D3EE" w14:textId="7B7731AA" w:rsidR="00E92C82" w:rsidRPr="00155457" w:rsidRDefault="00E92C82">
      <w:r>
        <w:t>Evidence Statement 5</w:t>
      </w:r>
    </w:p>
    <w:p w14:paraId="466746D7" w14:textId="77777777" w:rsidR="00155457" w:rsidRPr="00155457" w:rsidRDefault="00155457"/>
    <w:p w14:paraId="0E53A65F" w14:textId="015CB711" w:rsidR="00396D38" w:rsidRDefault="00396D38">
      <w:r w:rsidRPr="00155457">
        <w:t xml:space="preserve">An economic model based on a study of motivational interviewing to reduce drug use in young gay and bisexual men, based on </w:t>
      </w:r>
      <w:r w:rsidRPr="00155457">
        <w:fldChar w:fldCharType="begin" w:fldLock="1"/>
      </w:r>
      <w:r w:rsidR="00962964" w:rsidRPr="00155457">
        <w:instrText>ADDIN CSL_CITATION { "citationItems" : [ { "id" : "ITEM-1", "itemData" : { "DOI" : "10.1037/a0035311", "ISBN" : "1939-2117(Electronic);0022-006X(Print)", "ISSN" : "1939-2117", "PMID" : "24364800", "abstract" : "OBJECTIVE: Young gay and bisexual men (YGBM) are disproportionally at risk of HIV infection due to sexual risk behaviors, which are often exacerbated by recreational drug use. However, there have been no evidence-based interventions targeting substance-using YGBM. This study was designed to test a brief motivational interviewing (MI) intervention to reduce both risky sex and drug use among HIV-negative YGBM.\\n\\nMETHOD: A total of 143 non-treatment-seeking YGBM (ages 18-29 years) who reported recent unprotected anal intercourse (UAI) and recreational drug use were randomized to 4 sessions of MI or 4 sessions of content-matched education. Participants were followed every 3 months for 1 year, and behavior change was examined across conditions and time for aggregated and day-level drug use and UAI.\\n\\nRESULTS: Regardless of condition, participants reported significant reductions in UAI and substance use over time. However, YGBM in the MI condition were 18% less likely to use drugs and 24% less likely to engage in UAI than YGBM in the education condition.\\n\\nCONCLUSIONS: The results support the utility of MI, compared with a content-matched education condition, to significantly reduce both UAI and drug use among YGBM. Interventions may benefit from an emphasis on substance use reductions, which might indirectly lead to less frequent UAI. Future research efforts should examine whether this type of brief MI intervention is effective when delivered by clinic or community settings utilized by YGBM.", "author" : [ { "dropping-particle" : "", "family" : "Parsons", "given" : "Jeffrey T.;", "non-dropping-particle" : "", "parse-names" : false, "suffix" : "" }, { "dropping-particle" : "", "family" : "Lelutiu-Weinberger", "given" : "Corina", "non-dropping-particle" : "", "parse-names" : false, "suffix" : "" }, { "dropping-particle" : "", "family" : "Michael", "given" : "Botsko.;", "non-dropping-particle" : "", "parse-names" : false, "suffix" : "" }, { "dropping-particle" : "", "family" : "Golub", "given" : "Sarit A.", "non-dropping-particle" : "", "parse-names" : false, "suffix" : "" } ], "container-title" : "Journal of consulting and clinical psychology", "id" : "ITEM-1", "issue" : "1", "issued" : { "date-parts" : [ [ "2014" ] ] }, "page" : "9-18", "title" : "A randomized controlled trial utilizing motivational interviewing to reduce HIV risk and drug use in young gay and bisexual men.", "type" : "article-journal", "volume" : "82" }, "uris" : [ "http://www.mendeley.com/documents/?uuid=79b0e7e0-d531-429c-ab47-a6973bfb2e73" ] } ], "mendeley" : { "formattedCitation" : "(J. T. . Parsons et al. 2014)", "manualFormatting" : "Parsons et al., (2014)", "plainTextFormattedCitation" : "(J. T. . Parsons et al. 2014)", "previouslyFormattedCitation" : "(J. T. . Parsons et al. 2014)" }, "properties" : { "noteIndex" : 0 }, "schema" : "https://github.com/citation-style-language/schema/raw/master/csl-citation.json" }</w:instrText>
      </w:r>
      <w:r w:rsidRPr="00155457">
        <w:fldChar w:fldCharType="separate"/>
      </w:r>
      <w:r w:rsidRPr="00155457">
        <w:rPr>
          <w:noProof/>
        </w:rPr>
        <w:t>Parsons et al., (2014)</w:t>
      </w:r>
      <w:r w:rsidRPr="00155457">
        <w:fldChar w:fldCharType="end"/>
      </w:r>
      <w:r w:rsidRPr="00155457">
        <w:t xml:space="preserve"> found that the intervention was not likely to be cost effective at a willingness to pay threshold of £20,000 per QALY gained. </w:t>
      </w:r>
      <w:r w:rsidR="00E92C82">
        <w:t xml:space="preserve">The ICER (incremental cost effectiveness ratio) in the base case scenario was around £301,000 per QALY gained. </w:t>
      </w:r>
      <w:r w:rsidRPr="00155457">
        <w:t>This</w:t>
      </w:r>
      <w:r w:rsidRPr="00622755">
        <w:t xml:space="preserve"> intervention would only be cost effective if the effect of reducing drug use was maintained for at least two years, and if the intervention could be provided at a cost of less than £88.</w:t>
      </w:r>
    </w:p>
    <w:p w14:paraId="26B94FA7" w14:textId="77777777" w:rsidR="00E92C82" w:rsidRDefault="00E92C82"/>
    <w:p w14:paraId="2E318E1D" w14:textId="3E25BD36" w:rsidR="00E92C82" w:rsidRPr="00622755" w:rsidRDefault="00E92C82">
      <w:r>
        <w:t>Evidence Statement 6</w:t>
      </w:r>
    </w:p>
    <w:p w14:paraId="3A224CE6" w14:textId="77777777" w:rsidR="00396D38" w:rsidRPr="00622755" w:rsidRDefault="00396D38"/>
    <w:p w14:paraId="50ECEAD8" w14:textId="639E2258" w:rsidR="00396D38" w:rsidRDefault="00396D38">
      <w:r w:rsidRPr="00622755">
        <w:t xml:space="preserve">An economic model based on a study of a motivational interviewing intervention to reduce club drug use and HIV risk behaviours among men who have sex with men by Morgenstern et al. (2009) found that the intervention was not likely to be cost effective at a willingness to pay threshold of £20,000 per QALY gained. </w:t>
      </w:r>
      <w:r w:rsidR="00E92C82">
        <w:t xml:space="preserve">The ICER (incremental cost effectiveness ratio) in the base case scenario was around £131,000 per QALY gained. </w:t>
      </w:r>
      <w:r w:rsidRPr="00622755">
        <w:t>This intervention would only be cost effective if the effect of reducing drug use was maintained for at least two years, and if the intervention could be provided at a cost of less than £190. The intervention was targeted to men with an average age of 38 but if it could be provided to younger men then it would be m</w:t>
      </w:r>
      <w:r>
        <w:t>ore likely to be cost effective as younger people are more likely to become drug dependent and to lose more years of life through early death associated with drug use.</w:t>
      </w:r>
    </w:p>
    <w:p w14:paraId="48D88FD1" w14:textId="77777777" w:rsidR="00E92C82" w:rsidRDefault="00E92C82"/>
    <w:p w14:paraId="37121E8A" w14:textId="4D2A7743" w:rsidR="00E92C82" w:rsidRPr="00622755" w:rsidRDefault="00E92C82">
      <w:r>
        <w:t>Evidence Statement 7</w:t>
      </w:r>
    </w:p>
    <w:p w14:paraId="2BFA51C3" w14:textId="77777777" w:rsidR="00396D38" w:rsidRPr="00622755" w:rsidRDefault="00396D38"/>
    <w:p w14:paraId="3D1F71E4" w14:textId="36260BB7" w:rsidR="00396D38" w:rsidRDefault="00396D38">
      <w:r w:rsidRPr="00622755">
        <w:t>An economic model based on a study of a family intervention called STRIVE (Support to Reunite, Involve and Value Each Other)</w:t>
      </w:r>
      <w:r>
        <w:t xml:space="preserve"> by Milburn et al (2012)</w:t>
      </w:r>
      <w:r w:rsidRPr="00622755">
        <w:t xml:space="preserve"> found that this intervention was not likely to be cost effective at a willingness to pay threshold of £20,000 per QALY. </w:t>
      </w:r>
      <w:r w:rsidR="00E92C82">
        <w:t xml:space="preserve">The ICER (incremental cost effectiveness ratio) in the base case scenario was around £117,000 per QALY gained. </w:t>
      </w:r>
      <w:r w:rsidRPr="00622755">
        <w:t xml:space="preserve">If the intervention </w:t>
      </w:r>
      <w:r w:rsidRPr="00622755">
        <w:lastRenderedPageBreak/>
        <w:t>cost was less than £500, and the intervention had a longer term effect over two years or more</w:t>
      </w:r>
      <w:r>
        <w:t>,</w:t>
      </w:r>
      <w:r w:rsidRPr="00622755">
        <w:t xml:space="preserve"> then it </w:t>
      </w:r>
      <w:r>
        <w:t>would</w:t>
      </w:r>
      <w:r w:rsidRPr="00622755">
        <w:t xml:space="preserve"> be cost effective.</w:t>
      </w:r>
    </w:p>
    <w:p w14:paraId="7BC2779B" w14:textId="77777777" w:rsidR="00E92C82" w:rsidRDefault="00E92C82" w:rsidP="003D56F0"/>
    <w:p w14:paraId="35BF06C1" w14:textId="50C8F5F3" w:rsidR="00E92C82" w:rsidRDefault="00E92C82" w:rsidP="00CC7EC2">
      <w:r w:rsidRPr="002006E5">
        <w:t>Evidence Statement 8</w:t>
      </w:r>
    </w:p>
    <w:p w14:paraId="0600BE7C" w14:textId="77777777" w:rsidR="00E92C82" w:rsidRPr="002006E5" w:rsidRDefault="00E92C82" w:rsidP="00AD2788"/>
    <w:p w14:paraId="6E7372D0" w14:textId="61A5A3C4" w:rsidR="00E92C82" w:rsidRPr="002006E5" w:rsidRDefault="00E92C82">
      <w:r w:rsidRPr="002006E5">
        <w:t xml:space="preserve">The results of the economic modelling suggest that, to be cost effective, drug use prevention interventions would need to cost less than £100 per person, and would need to reduce drug use by at least five percentage points, maintained over two years (for example to reduce drug use from 20% to 15% of a population). Targeting interventions at individuals who are at high risk of drug use or harmful consequences of drug use, or at individuals who are already drug users, would most likely make interventions more efficient. If interventions can prevent more harmful forms of drug use like opiate use then they will be more likely to be cost effective. </w:t>
      </w:r>
    </w:p>
    <w:p w14:paraId="48904F88" w14:textId="77777777" w:rsidR="00E92C82" w:rsidRPr="002006E5" w:rsidRDefault="00E92C82"/>
    <w:p w14:paraId="6347EF98" w14:textId="59BF763B" w:rsidR="00E92C82" w:rsidRPr="002006E5" w:rsidRDefault="00E92C82">
      <w:r w:rsidRPr="002006E5">
        <w:t>Evidence Statement 9</w:t>
      </w:r>
    </w:p>
    <w:p w14:paraId="386635CE" w14:textId="77777777" w:rsidR="0006595A" w:rsidRPr="004925FE" w:rsidRDefault="0006595A"/>
    <w:p w14:paraId="442AF52E" w14:textId="3F0CBB48" w:rsidR="0006595A" w:rsidRPr="002006E5" w:rsidRDefault="0006595A">
      <w:r w:rsidRPr="002006E5">
        <w:t xml:space="preserve">If drug prevention interventions </w:t>
      </w:r>
      <w:r>
        <w:t xml:space="preserve">that are effective over a period of time </w:t>
      </w:r>
      <w:r w:rsidRPr="002006E5">
        <w:t xml:space="preserve">can be provided as part of multicomponent interventions at </w:t>
      </w:r>
      <w:r>
        <w:t>an additional</w:t>
      </w:r>
      <w:r w:rsidRPr="004925FE">
        <w:t xml:space="preserve"> cost </w:t>
      </w:r>
      <w:r w:rsidRPr="002006E5">
        <w:t xml:space="preserve">of less than </w:t>
      </w:r>
      <w:r>
        <w:t xml:space="preserve">around </w:t>
      </w:r>
      <w:r w:rsidRPr="002006E5">
        <w:t xml:space="preserve">£100, then they </w:t>
      </w:r>
      <w:r>
        <w:t>may</w:t>
      </w:r>
      <w:r w:rsidRPr="002006E5">
        <w:t xml:space="preserve"> represent a cost effective component of these programmes. </w:t>
      </w:r>
    </w:p>
    <w:p w14:paraId="4852266D" w14:textId="6ADF50E8" w:rsidR="000A1C97" w:rsidRPr="00AC2C72" w:rsidRDefault="00992CFC" w:rsidP="003D56F0">
      <w:r>
        <w:br w:type="page"/>
      </w:r>
    </w:p>
    <w:p w14:paraId="36A9846F" w14:textId="268B945F" w:rsidR="00BE6B23" w:rsidRDefault="00BE6B23" w:rsidP="00CC7EC2">
      <w:pPr>
        <w:pStyle w:val="Heading2"/>
        <w:numPr>
          <w:ilvl w:val="0"/>
          <w:numId w:val="3"/>
        </w:numPr>
      </w:pPr>
      <w:bookmarkStart w:id="11" w:name="_Toc452035622"/>
      <w:r w:rsidRPr="00D21C25">
        <w:lastRenderedPageBreak/>
        <w:t>Introduction</w:t>
      </w:r>
      <w:bookmarkEnd w:id="11"/>
    </w:p>
    <w:p w14:paraId="6ACA5177" w14:textId="77777777" w:rsidR="007F2A06" w:rsidRPr="003D56F0" w:rsidRDefault="007F2A06" w:rsidP="003D56F0"/>
    <w:p w14:paraId="5C47B8B1" w14:textId="1BD81B99" w:rsidR="00434293" w:rsidRDefault="00434293" w:rsidP="00AD2788">
      <w:r w:rsidRPr="00AC2C72">
        <w:t xml:space="preserve">The Department of Health </w:t>
      </w:r>
      <w:r w:rsidR="001210B5" w:rsidRPr="00AC2C72">
        <w:t xml:space="preserve">commissioned </w:t>
      </w:r>
      <w:r w:rsidRPr="00AC2C72">
        <w:t>the National Institute for Health and Care Excellence (NICE) to update</w:t>
      </w:r>
      <w:r w:rsidR="001210B5" w:rsidRPr="00AC2C72">
        <w:t xml:space="preserve"> and inform</w:t>
      </w:r>
      <w:r w:rsidRPr="00AC2C72">
        <w:t xml:space="preserve"> public health guidance </w:t>
      </w:r>
      <w:r w:rsidR="001210B5" w:rsidRPr="00AC2C72">
        <w:t>with respect to</w:t>
      </w:r>
      <w:r w:rsidRPr="00AC2C72">
        <w:t xml:space="preserve"> community-based interventions </w:t>
      </w:r>
      <w:r w:rsidR="001210B5" w:rsidRPr="00AC2C72">
        <w:t xml:space="preserve">aimed at </w:t>
      </w:r>
      <w:r w:rsidRPr="00AC2C72">
        <w:t>reduc</w:t>
      </w:r>
      <w:r w:rsidR="001210B5" w:rsidRPr="00AC2C72">
        <w:t>ing</w:t>
      </w:r>
      <w:r w:rsidRPr="00AC2C72">
        <w:t xml:space="preserve"> substance misuse among </w:t>
      </w:r>
      <w:r w:rsidR="001210B5" w:rsidRPr="00AC2C72">
        <w:t>ten distinct populations deemed to be at increased risk of drug misuse</w:t>
      </w:r>
      <w:r w:rsidRPr="00AC2C72">
        <w:t>.</w:t>
      </w:r>
      <w:r w:rsidR="00004613" w:rsidRPr="00AC2C72">
        <w:t xml:space="preserve"> </w:t>
      </w:r>
      <w:r w:rsidR="00884E8C">
        <w:t>The present</w:t>
      </w:r>
      <w:r w:rsidR="00884E8C" w:rsidRPr="00AC2C72">
        <w:t xml:space="preserve"> </w:t>
      </w:r>
      <w:r w:rsidR="00A30F56" w:rsidRPr="00AC2C72">
        <w:t>report was produced by people from Liverpool Health Economics and LJMU Centre for Public Health.</w:t>
      </w:r>
      <w:r w:rsidR="00884E8C">
        <w:t xml:space="preserve"> The ten vulnerable groups are as follows;</w:t>
      </w:r>
    </w:p>
    <w:p w14:paraId="1B5D1B5D" w14:textId="5DEF8810" w:rsidR="00884E8C" w:rsidRDefault="00884E8C"/>
    <w:p w14:paraId="3D777091" w14:textId="77777777" w:rsidR="00CC76A6" w:rsidRPr="00884E8C" w:rsidRDefault="00CC76A6">
      <w:pPr>
        <w:pStyle w:val="ListParagraph"/>
        <w:numPr>
          <w:ilvl w:val="0"/>
          <w:numId w:val="43"/>
        </w:numPr>
      </w:pPr>
      <w:r w:rsidRPr="00884E8C">
        <w:t>people who have mental health problems</w:t>
      </w:r>
    </w:p>
    <w:p w14:paraId="2A2631A2" w14:textId="77777777" w:rsidR="00CC76A6" w:rsidRPr="00884E8C" w:rsidRDefault="00CC76A6">
      <w:pPr>
        <w:pStyle w:val="ListParagraph"/>
        <w:numPr>
          <w:ilvl w:val="0"/>
          <w:numId w:val="43"/>
        </w:numPr>
      </w:pPr>
      <w:r w:rsidRPr="00884E8C">
        <w:t>people involved in commercial sex work or are being sexually exploited</w:t>
      </w:r>
    </w:p>
    <w:p w14:paraId="164AEE38" w14:textId="77777777" w:rsidR="00CC76A6" w:rsidRPr="00884E8C" w:rsidRDefault="00CC76A6">
      <w:pPr>
        <w:pStyle w:val="ListParagraph"/>
        <w:numPr>
          <w:ilvl w:val="0"/>
          <w:numId w:val="43"/>
        </w:numPr>
      </w:pPr>
      <w:r w:rsidRPr="00884E8C">
        <w:t>people who are lesbian, gay, bisexual or transgender</w:t>
      </w:r>
    </w:p>
    <w:p w14:paraId="53A19011" w14:textId="77777777" w:rsidR="00CC76A6" w:rsidRPr="00884E8C" w:rsidRDefault="00CC76A6">
      <w:pPr>
        <w:pStyle w:val="ListParagraph"/>
        <w:numPr>
          <w:ilvl w:val="0"/>
          <w:numId w:val="43"/>
        </w:numPr>
      </w:pPr>
      <w:r w:rsidRPr="00884E8C">
        <w:t>people not in employment, education or training (including children and young people who are excluded from school or are regular truants)</w:t>
      </w:r>
    </w:p>
    <w:p w14:paraId="7820BF14" w14:textId="77777777" w:rsidR="00CC76A6" w:rsidRPr="00884E8C" w:rsidRDefault="00CC76A6">
      <w:pPr>
        <w:pStyle w:val="ListParagraph"/>
        <w:numPr>
          <w:ilvl w:val="0"/>
          <w:numId w:val="43"/>
        </w:numPr>
      </w:pPr>
      <w:r w:rsidRPr="00884E8C">
        <w:t>children and young people whose parents use drugs</w:t>
      </w:r>
    </w:p>
    <w:p w14:paraId="1B4F597B" w14:textId="77777777" w:rsidR="00CC76A6" w:rsidRPr="00884E8C" w:rsidRDefault="00CC76A6">
      <w:pPr>
        <w:pStyle w:val="ListParagraph"/>
        <w:numPr>
          <w:ilvl w:val="0"/>
          <w:numId w:val="43"/>
        </w:numPr>
      </w:pPr>
      <w:r w:rsidRPr="00884E8C">
        <w:t>looked after children and young people</w:t>
      </w:r>
    </w:p>
    <w:p w14:paraId="4E2876DC" w14:textId="77777777" w:rsidR="00CC76A6" w:rsidRPr="00884E8C" w:rsidRDefault="00CC76A6">
      <w:pPr>
        <w:pStyle w:val="ListParagraph"/>
        <w:numPr>
          <w:ilvl w:val="0"/>
          <w:numId w:val="43"/>
        </w:numPr>
      </w:pPr>
      <w:r w:rsidRPr="00884E8C">
        <w:t>children and young people who are in contact with young offender team but not in secure environments (prisons and young offender institutions)</w:t>
      </w:r>
    </w:p>
    <w:p w14:paraId="0164B216" w14:textId="77777777" w:rsidR="00CC76A6" w:rsidRPr="00884E8C" w:rsidRDefault="00CC76A6">
      <w:pPr>
        <w:pStyle w:val="ListParagraph"/>
        <w:numPr>
          <w:ilvl w:val="0"/>
          <w:numId w:val="43"/>
        </w:numPr>
      </w:pPr>
      <w:r w:rsidRPr="00884E8C">
        <w:t xml:space="preserve">people who are considered homeless </w:t>
      </w:r>
    </w:p>
    <w:p w14:paraId="0F10B982" w14:textId="77777777" w:rsidR="00CC76A6" w:rsidRPr="00884E8C" w:rsidRDefault="00CC76A6">
      <w:pPr>
        <w:pStyle w:val="ListParagraph"/>
        <w:numPr>
          <w:ilvl w:val="0"/>
          <w:numId w:val="43"/>
        </w:numPr>
      </w:pPr>
      <w:r w:rsidRPr="00884E8C">
        <w:t>people who attend nightclubs and festivals</w:t>
      </w:r>
    </w:p>
    <w:p w14:paraId="0FA95698" w14:textId="77777777" w:rsidR="00CC76A6" w:rsidRPr="00884E8C" w:rsidRDefault="00CC76A6">
      <w:pPr>
        <w:pStyle w:val="ListParagraph"/>
        <w:numPr>
          <w:ilvl w:val="0"/>
          <w:numId w:val="43"/>
        </w:numPr>
      </w:pPr>
      <w:r w:rsidRPr="00884E8C">
        <w:t>people who are known to use drugs occasionally / recreationally</w:t>
      </w:r>
    </w:p>
    <w:p w14:paraId="4943C061" w14:textId="77777777" w:rsidR="00884E8C" w:rsidRPr="00AC2C72" w:rsidRDefault="00884E8C"/>
    <w:p w14:paraId="74319871" w14:textId="77777777" w:rsidR="00A30F56" w:rsidRPr="00AC2C72" w:rsidRDefault="00A30F56"/>
    <w:p w14:paraId="1937D007" w14:textId="5A0BD84E" w:rsidR="00A30F56" w:rsidRPr="00AC2C72" w:rsidRDefault="00A30F56">
      <w:r w:rsidRPr="00AC2C72">
        <w:t>NICE Guidance PH4 “Substance misuse interventions for vulnerable under 25s” was produced in 2007; this had a different scope than the present piece of work as it included universal interventions but focused on young people only. This guidance recommended that commissioners and practitioners should;</w:t>
      </w:r>
    </w:p>
    <w:p w14:paraId="1983A42B" w14:textId="2CC161D4" w:rsidR="00A30F56" w:rsidRPr="00D21C25" w:rsidRDefault="00A30F56">
      <w:pPr>
        <w:pStyle w:val="ListParagraph"/>
        <w:numPr>
          <w:ilvl w:val="0"/>
          <w:numId w:val="40"/>
        </w:numPr>
      </w:pPr>
      <w:r w:rsidRPr="00D21C25">
        <w:t>Develop a local strategy</w:t>
      </w:r>
    </w:p>
    <w:p w14:paraId="6A3DB9FE" w14:textId="11D2CD79" w:rsidR="00A30F56" w:rsidRPr="00D21C25" w:rsidRDefault="00A30F56">
      <w:pPr>
        <w:pStyle w:val="ListParagraph"/>
        <w:numPr>
          <w:ilvl w:val="0"/>
          <w:numId w:val="40"/>
        </w:numPr>
      </w:pPr>
      <w:r w:rsidRPr="00D21C25">
        <w:t>Use existing tools to identify children and young people who are misusing, or at risk of misusing, substances.</w:t>
      </w:r>
    </w:p>
    <w:p w14:paraId="5D154433" w14:textId="5F214B0F" w:rsidR="00A30F56" w:rsidRPr="00D21C25" w:rsidRDefault="00A30F56">
      <w:pPr>
        <w:pStyle w:val="ListParagraph"/>
        <w:numPr>
          <w:ilvl w:val="0"/>
          <w:numId w:val="40"/>
        </w:numPr>
      </w:pPr>
      <w:r w:rsidRPr="00D21C25">
        <w:t>Work with parents and carers and other organisations involved with children and young people to provide support and, where necessary, to refer them to other services.</w:t>
      </w:r>
    </w:p>
    <w:p w14:paraId="13E64D32" w14:textId="1B496FD1" w:rsidR="00A30F56" w:rsidRPr="00D21C25" w:rsidRDefault="00A30F56">
      <w:pPr>
        <w:pStyle w:val="ListParagraph"/>
        <w:numPr>
          <w:ilvl w:val="0"/>
          <w:numId w:val="40"/>
        </w:numPr>
      </w:pPr>
      <w:r w:rsidRPr="00D21C25">
        <w:t>Offer motivational interviews to those who are misusing substances.</w:t>
      </w:r>
    </w:p>
    <w:p w14:paraId="052C2387" w14:textId="63A44EB4" w:rsidR="00A30F56" w:rsidRPr="00D21C25" w:rsidRDefault="00A30F56">
      <w:pPr>
        <w:pStyle w:val="ListParagraph"/>
        <w:numPr>
          <w:ilvl w:val="0"/>
          <w:numId w:val="40"/>
        </w:numPr>
      </w:pPr>
      <w:r w:rsidRPr="00D21C25">
        <w:t xml:space="preserve">Offer group-based behavioural therapy to children aged 10–12 years who are persistently aggressive </w:t>
      </w:r>
      <w:r w:rsidR="00094567" w:rsidRPr="00AC2C72">
        <w:t>or disruptive</w:t>
      </w:r>
      <w:r w:rsidRPr="00D21C25">
        <w:t xml:space="preserve"> – and deemed at high risk of misusing substances. Offer their parents or carers group-based parent skills training.</w:t>
      </w:r>
    </w:p>
    <w:p w14:paraId="7A5704AA" w14:textId="7C2D62A4" w:rsidR="00A30F56" w:rsidRPr="00AC2C72" w:rsidRDefault="00A30F56">
      <w:pPr>
        <w:pStyle w:val="ListParagraph"/>
        <w:numPr>
          <w:ilvl w:val="0"/>
          <w:numId w:val="40"/>
        </w:numPr>
      </w:pPr>
      <w:r w:rsidRPr="00D21C25">
        <w:t>Offer a family-based programme of structured support to children aged 11–16 years who are disadvantaged and deemed at high risk of substance misuse.</w:t>
      </w:r>
    </w:p>
    <w:p w14:paraId="22FFAE5A" w14:textId="77777777" w:rsidR="00094567" w:rsidRPr="00AC2C72" w:rsidRDefault="00094567"/>
    <w:p w14:paraId="0B627F6B" w14:textId="1239D747" w:rsidR="00094567" w:rsidRPr="00AC2C72" w:rsidRDefault="00094567">
      <w:r w:rsidRPr="00AC2C72">
        <w:t xml:space="preserve">In 2015, the ACMD (Advisory Council on the Misuse of Drugs) published a briefing on the prevention of drug and alcohol dependence; this also had a wider scope than </w:t>
      </w:r>
      <w:r w:rsidRPr="00AC2C72">
        <w:lastRenderedPageBreak/>
        <w:t>the present report, and found that some interventions such as ‘The Good Behaviour Game’ showed promise in preventing drug use</w:t>
      </w:r>
      <w:r w:rsidR="00992CFC">
        <w:t xml:space="preserve"> </w:t>
      </w:r>
      <w:r w:rsidR="00992CFC">
        <w:fldChar w:fldCharType="begin" w:fldLock="1"/>
      </w:r>
      <w:r w:rsidR="000A3D41">
        <w:instrText>ADDIN CSL_CITATION { "citationItems" : [ { "id" : "ITEM-1", "itemData" : { "author" : [ { "dropping-particle" : "", "family" : "ACMD", "given" : "", "non-dropping-particle" : "", "parse-names" : false, "suffix" : "" } ], "id" : "ITEM-1", "issued" : { "date-parts" : [ [ "2016" ] ] }, "number-of-pages" : "1-26", "title" : "Prevention of drug and alcohol dependence", "type" : "report" }, "uris" : [ "http://www.mendeley.com/documents/?uuid=516c7577-01a1-4f2a-bc2b-14c1cd932caf", "http://www.mendeley.com/documents/?uuid=b1a37ef2-d260-44f9-b781-49f9b51399b9" ] } ], "mendeley" : { "formattedCitation" : "(ACMD 2016)", "plainTextFormattedCitation" : "(ACMD 2016)", "previouslyFormattedCitation" : "(ACMD 2016)" }, "properties" : { "noteIndex" : 0 }, "schema" : "https://github.com/citation-style-language/schema/raw/master/csl-citation.json" }</w:instrText>
      </w:r>
      <w:r w:rsidR="00992CFC">
        <w:fldChar w:fldCharType="separate"/>
      </w:r>
      <w:r w:rsidR="00992CFC" w:rsidRPr="00992CFC">
        <w:rPr>
          <w:noProof/>
        </w:rPr>
        <w:t>(ACMD 2016)</w:t>
      </w:r>
      <w:r w:rsidR="00992CFC">
        <w:fldChar w:fldCharType="end"/>
      </w:r>
      <w:r w:rsidRPr="00AC2C72">
        <w:t xml:space="preserve">. </w:t>
      </w:r>
    </w:p>
    <w:p w14:paraId="40130561" w14:textId="4B7987BE" w:rsidR="009A69B6" w:rsidRPr="00D21C25" w:rsidRDefault="009A69B6">
      <w:pPr>
        <w:pStyle w:val="Heading3"/>
      </w:pPr>
      <w:bookmarkStart w:id="12" w:name="_Toc452035623"/>
      <w:r w:rsidRPr="00D21C25">
        <w:t xml:space="preserve">2.1 </w:t>
      </w:r>
      <w:r w:rsidR="00BE6B23" w:rsidRPr="00D21C25">
        <w:t>Overall Aims and Objectives</w:t>
      </w:r>
      <w:bookmarkEnd w:id="12"/>
    </w:p>
    <w:p w14:paraId="61BD43FF" w14:textId="77777777" w:rsidR="00141EBF" w:rsidRDefault="00141EBF"/>
    <w:p w14:paraId="1B27ACFF" w14:textId="1A421E65" w:rsidR="00EC15FE" w:rsidRPr="00AC2C72" w:rsidRDefault="00596E2C">
      <w:r w:rsidRPr="00AC2C72">
        <w:t>The economic models were constructed to incorporate data from the</w:t>
      </w:r>
      <w:r w:rsidR="001210B5" w:rsidRPr="00AC2C72">
        <w:t xml:space="preserve"> prior systematic</w:t>
      </w:r>
      <w:r w:rsidRPr="00AC2C72">
        <w:t xml:space="preserve"> reviews of </w:t>
      </w:r>
      <w:r w:rsidR="001210B5" w:rsidRPr="00AC2C72">
        <w:t xml:space="preserve">clinical </w:t>
      </w:r>
      <w:r w:rsidRPr="00AC2C72">
        <w:t xml:space="preserve">and cost effectiveness. The aim was to estimate the cost effectiveness of all interventions which met </w:t>
      </w:r>
      <w:r w:rsidR="001210B5" w:rsidRPr="00AC2C72">
        <w:t>our pre-defined</w:t>
      </w:r>
      <w:r w:rsidRPr="00AC2C72">
        <w:t xml:space="preserve"> inclusion criteria.</w:t>
      </w:r>
      <w:r w:rsidR="00EC15FE" w:rsidRPr="00AC2C72">
        <w:t xml:space="preserve"> This paper describes the economic models and the </w:t>
      </w:r>
      <w:r w:rsidR="001210B5" w:rsidRPr="00AC2C72">
        <w:t xml:space="preserve">resulting </w:t>
      </w:r>
      <w:r w:rsidR="00EC15FE" w:rsidRPr="00AC2C72">
        <w:t xml:space="preserve">estimates of the cost effectiveness of interventions to reduce or prevent drug misuse in vulnerable populations. </w:t>
      </w:r>
    </w:p>
    <w:p w14:paraId="79C1CE10" w14:textId="137A00A7" w:rsidR="009A69B6" w:rsidRPr="00D21C25" w:rsidRDefault="009A69B6">
      <w:pPr>
        <w:pStyle w:val="Heading3"/>
      </w:pPr>
      <w:bookmarkStart w:id="13" w:name="_Toc452035624"/>
      <w:r w:rsidRPr="00D21C25">
        <w:t xml:space="preserve">2.2 </w:t>
      </w:r>
      <w:r w:rsidR="00BE6B23" w:rsidRPr="00D21C25">
        <w:t>Decision Question</w:t>
      </w:r>
      <w:bookmarkEnd w:id="13"/>
    </w:p>
    <w:p w14:paraId="34E67124" w14:textId="77777777" w:rsidR="00141EBF" w:rsidRDefault="00141EBF"/>
    <w:p w14:paraId="3E33067A" w14:textId="6784BDF6" w:rsidR="006B790B" w:rsidRPr="00AC2C72" w:rsidRDefault="006B790B">
      <w:r w:rsidRPr="00AC2C72">
        <w:t xml:space="preserve">The decision problem </w:t>
      </w:r>
      <w:r w:rsidR="003B4FD8" w:rsidRPr="00AC2C72">
        <w:t>under consideration is</w:t>
      </w:r>
      <w:r w:rsidRPr="00AC2C72">
        <w:t xml:space="preserve">; </w:t>
      </w:r>
    </w:p>
    <w:p w14:paraId="33924083" w14:textId="77777777" w:rsidR="003B4FD8" w:rsidRPr="00AC2C72" w:rsidRDefault="003B4FD8"/>
    <w:p w14:paraId="3D7BEAEB" w14:textId="0D56E451" w:rsidR="00317073" w:rsidRPr="00D21C25" w:rsidRDefault="006B790B">
      <w:r w:rsidRPr="00D21C25">
        <w:t>Which targeted interventions are most cost effective in preventing drug misuse among groups of people most at risk?</w:t>
      </w:r>
    </w:p>
    <w:p w14:paraId="38C0C77F" w14:textId="4CAFA419" w:rsidR="00BE6B23" w:rsidRPr="00D21C25" w:rsidRDefault="009A69B6">
      <w:pPr>
        <w:pStyle w:val="Heading3"/>
      </w:pPr>
      <w:bookmarkStart w:id="14" w:name="_Toc452035625"/>
      <w:r w:rsidRPr="00D21C25">
        <w:t xml:space="preserve">2.3 </w:t>
      </w:r>
      <w:r w:rsidR="00BE6B23" w:rsidRPr="00D21C25">
        <w:t>Objectives of this Report</w:t>
      </w:r>
      <w:bookmarkEnd w:id="14"/>
    </w:p>
    <w:p w14:paraId="078F5450" w14:textId="77777777" w:rsidR="00141EBF" w:rsidRDefault="00141EBF"/>
    <w:p w14:paraId="3C89FD6D" w14:textId="60B57396" w:rsidR="00EC15FE" w:rsidRPr="00AC2C72" w:rsidRDefault="00EC15FE">
      <w:r w:rsidRPr="00AC2C72">
        <w:t xml:space="preserve">The paper builds on a review of effectiveness studies undertaken by </w:t>
      </w:r>
      <w:r w:rsidR="00A30F56" w:rsidRPr="00AC2C72">
        <w:t>NICE and LJMU</w:t>
      </w:r>
      <w:r w:rsidRPr="00AC2C72">
        <w:t xml:space="preserve">. The </w:t>
      </w:r>
      <w:r w:rsidR="00A30F56" w:rsidRPr="00AC2C72">
        <w:t xml:space="preserve">NICE </w:t>
      </w:r>
      <w:r w:rsidRPr="00AC2C72">
        <w:t xml:space="preserve">effectiveness review team identified a number of studies </w:t>
      </w:r>
      <w:r w:rsidR="003B4FD8" w:rsidRPr="00AC2C72">
        <w:t xml:space="preserve">demonstrating </w:t>
      </w:r>
      <w:r w:rsidRPr="00AC2C72">
        <w:t xml:space="preserve">the effect of relevant interventions on the risk that </w:t>
      </w:r>
      <w:r w:rsidR="000C6A25" w:rsidRPr="00AC2C72">
        <w:t>vulnerable populations</w:t>
      </w:r>
      <w:r w:rsidRPr="00AC2C72">
        <w:t xml:space="preserve"> will use substances. The objective of this paper is twofold: </w:t>
      </w:r>
    </w:p>
    <w:p w14:paraId="746DB6E2" w14:textId="2C203854" w:rsidR="00EC15FE" w:rsidRPr="00AC2C72" w:rsidRDefault="000C6A25">
      <w:pPr>
        <w:pStyle w:val="ListParagraph"/>
        <w:numPr>
          <w:ilvl w:val="0"/>
          <w:numId w:val="18"/>
        </w:numPr>
      </w:pPr>
      <w:r w:rsidRPr="00AC2C72">
        <w:t>T</w:t>
      </w:r>
      <w:r w:rsidR="00EC15FE" w:rsidRPr="00AC2C72">
        <w:t>o identify which of the studies identified by the effectiveness team present evidence of sufficient quality to allow estimates of cost-effectiveness of the interventions to be derived; and</w:t>
      </w:r>
    </w:p>
    <w:p w14:paraId="4CDF0324" w14:textId="6B1DCB80" w:rsidR="00EC15FE" w:rsidRPr="00AC2C72" w:rsidRDefault="000C6A25">
      <w:pPr>
        <w:pStyle w:val="ListParagraph"/>
        <w:numPr>
          <w:ilvl w:val="0"/>
          <w:numId w:val="18"/>
        </w:numPr>
      </w:pPr>
      <w:r w:rsidRPr="00AC2C72">
        <w:t>E</w:t>
      </w:r>
      <w:r w:rsidR="00EC15FE" w:rsidRPr="00AC2C72">
        <w:t>stimate the cost-effectiveness of the interventions selected.</w:t>
      </w:r>
    </w:p>
    <w:p w14:paraId="56B21A51" w14:textId="43B24195" w:rsidR="00BE6B23" w:rsidRDefault="00BE6B23">
      <w:pPr>
        <w:pStyle w:val="Heading2"/>
        <w:numPr>
          <w:ilvl w:val="0"/>
          <w:numId w:val="3"/>
        </w:numPr>
      </w:pPr>
      <w:bookmarkStart w:id="15" w:name="_Toc452035626"/>
      <w:r w:rsidRPr="00D21C25">
        <w:t>Summary of Results of Economic Literature Review</w:t>
      </w:r>
      <w:bookmarkEnd w:id="15"/>
    </w:p>
    <w:p w14:paraId="62FF9868" w14:textId="77777777" w:rsidR="009D3873" w:rsidRPr="009D3873" w:rsidRDefault="009D3873"/>
    <w:p w14:paraId="6952CE26" w14:textId="7154931B" w:rsidR="00094567" w:rsidRPr="00AC2C72" w:rsidRDefault="009E57D8">
      <w:r w:rsidRPr="00AC2C72">
        <w:t xml:space="preserve">This economic literature review identified </w:t>
      </w:r>
      <w:r w:rsidR="00094567" w:rsidRPr="00AC2C72">
        <w:t>little</w:t>
      </w:r>
      <w:r w:rsidRPr="00AC2C72">
        <w:t xml:space="preserve"> evidence</w:t>
      </w:r>
      <w:r w:rsidR="000C6A25" w:rsidRPr="00AC2C72">
        <w:t xml:space="preserve"> </w:t>
      </w:r>
      <w:r w:rsidRPr="00AC2C72">
        <w:t xml:space="preserve">from English language </w:t>
      </w:r>
      <w:r w:rsidRPr="00D21C25">
        <w:t xml:space="preserve">studies published since </w:t>
      </w:r>
      <w:r w:rsidR="000C6A25" w:rsidRPr="00D21C25">
        <w:t>1</w:t>
      </w:r>
      <w:r w:rsidR="000C6A25" w:rsidRPr="00D21C25">
        <w:rPr>
          <w:vertAlign w:val="superscript"/>
        </w:rPr>
        <w:t>st</w:t>
      </w:r>
      <w:r w:rsidR="000C6A25" w:rsidRPr="00D21C25">
        <w:t xml:space="preserve"> January </w:t>
      </w:r>
      <w:r w:rsidRPr="00D21C25">
        <w:t xml:space="preserve">1995 </w:t>
      </w:r>
      <w:r w:rsidR="000C6A25" w:rsidRPr="00D21C25">
        <w:t>which estimate</w:t>
      </w:r>
      <w:r w:rsidRPr="00D21C25">
        <w:t xml:space="preserve"> the cost-effectiveness of targeted interventions to prevent</w:t>
      </w:r>
      <w:r w:rsidR="000C6A25" w:rsidRPr="00D21C25">
        <w:t xml:space="preserve">, </w:t>
      </w:r>
      <w:r w:rsidRPr="00D21C25">
        <w:t xml:space="preserve">delay </w:t>
      </w:r>
      <w:r w:rsidR="000C6A25" w:rsidRPr="00D21C25">
        <w:t>or minimise the</w:t>
      </w:r>
      <w:r w:rsidRPr="00D21C25">
        <w:t xml:space="preserve"> escalation of drug </w:t>
      </w:r>
      <w:r w:rsidR="00DC7FEC">
        <w:t>mis</w:t>
      </w:r>
      <w:r w:rsidRPr="00D21C25">
        <w:t xml:space="preserve">use. </w:t>
      </w:r>
      <w:r w:rsidR="00094567" w:rsidRPr="00D21C25">
        <w:t>The only evidence found was from the Washington Sta</w:t>
      </w:r>
      <w:r w:rsidR="0082061F">
        <w:t xml:space="preserve">te Institute for Public Policy </w:t>
      </w:r>
      <w:r w:rsidR="0082061F">
        <w:fldChar w:fldCharType="begin" w:fldLock="1"/>
      </w:r>
      <w:r w:rsidR="000A3D41">
        <w:instrText>ADDIN CSL_CITATION { "citationItems" : [ { "id" : "ITEM-1", "itemData" : { "ISSN" : "06011201", "author" : [ { "dropping-particle" : "", "family" : "WSIPP", "given" : "", "non-dropping-particle" : "", "parse-names" : false, "suffix" : "" } ], "id" : "ITEM-1", "issued" : { "date-parts" : [ [ "2004" ] ] }, "title" : "Benefits and costs of prevention and early intervention programs for youth", "type" : "report" }, "uris" : [ "http://www.mendeley.com/documents/?uuid=872276e4-9a3e-4301-a7ba-d33481f42eb4", "http://www.mendeley.com/documents/?uuid=6bc61534-e319-4ddd-ac0f-729972dc37ab" ] } ], "mendeley" : { "formattedCitation" : "(WSIPP 2004)", "plainTextFormattedCitation" : "(WSIPP 2004)", "previouslyFormattedCitation" : "(WSIPP 2004)" }, "properties" : { "noteIndex" : 0 }, "schema" : "https://github.com/citation-style-language/schema/raw/master/csl-citation.json" }</w:instrText>
      </w:r>
      <w:r w:rsidR="0082061F">
        <w:fldChar w:fldCharType="separate"/>
      </w:r>
      <w:r w:rsidR="0082061F" w:rsidRPr="0082061F">
        <w:rPr>
          <w:noProof/>
        </w:rPr>
        <w:t>(WSIPP 2004)</w:t>
      </w:r>
      <w:r w:rsidR="0082061F">
        <w:fldChar w:fldCharType="end"/>
      </w:r>
      <w:r w:rsidR="00094567" w:rsidRPr="00D21C25">
        <w:t xml:space="preserve">, an economic evaluation based on a criminal justice orientated cost-benefit model identified that peer mentoring interventions targeting at-risk students including regular truants (benefit cost ratio 16.42; total benefits $29,819, total costs $1,816) were estimated to be cost saving. Not all peer mentoring interventions included within the cost-benefit </w:t>
      </w:r>
      <w:r w:rsidR="00094567" w:rsidRPr="00AC2C72">
        <w:t>model were targeted to a specific population. The WSIPP model also found that an intervention targeting looked after children, Multidimensional Treatment Foster Care, (benefit cost ratio 2.11; total benefits $17,356, total costs $8,230) was estimated to be cost saving</w:t>
      </w:r>
      <w:r w:rsidR="00940B3D">
        <w:t xml:space="preserve">. </w:t>
      </w:r>
      <w:r w:rsidR="00094567" w:rsidRPr="00AC2C72">
        <w:t xml:space="preserve">There was noted to be </w:t>
      </w:r>
      <w:r w:rsidR="00094567" w:rsidRPr="00AC2C72">
        <w:lastRenderedPageBreak/>
        <w:t xml:space="preserve">potentially serious to minor limitations with the model’s applicability outside a criminal justice perspective and uncertainty regarding methodology. </w:t>
      </w:r>
      <w:r w:rsidR="00094567" w:rsidRPr="000C4800">
        <w:t xml:space="preserve">There is further uncertainty about its applicability to </w:t>
      </w:r>
      <w:r w:rsidR="00094567" w:rsidRPr="00AC2C72">
        <w:t xml:space="preserve">the UK, as the model is based upon policy options available in Washington State and </w:t>
      </w:r>
      <w:r w:rsidR="00094567" w:rsidRPr="00D21C25">
        <w:t xml:space="preserve">sources for costs and resources are from the United States and all evaluations of intervention effectiveness included in the model were from the United States. Some of the WSIPP models have been adapted for the UK by </w:t>
      </w:r>
      <w:r w:rsidR="00C70906" w:rsidRPr="00D21C25">
        <w:t>Dartington Social Research Unit</w:t>
      </w:r>
      <w:r w:rsidR="004B1941" w:rsidRPr="00D21C25">
        <w:t xml:space="preserve"> and estimated to have similar cost benefit ratios. </w:t>
      </w:r>
      <w:r w:rsidR="004B1941" w:rsidRPr="00D21C25">
        <w:rPr>
          <w:spacing w:val="-5"/>
          <w:lang w:val="en"/>
        </w:rPr>
        <w:t>Multidimensional Treatment Foster Care</w:t>
      </w:r>
      <w:r w:rsidR="004B1941" w:rsidRPr="00D21C25">
        <w:t xml:space="preserve"> was estimated to have a benefit-cost ratio of £2.64 for every £1 spent</w:t>
      </w:r>
      <w:r w:rsidR="003D4835" w:rsidRPr="00AC2C72">
        <w:t xml:space="preserve"> in the UK </w:t>
      </w:r>
      <w:r w:rsidR="000C4800">
        <w:fldChar w:fldCharType="begin" w:fldLock="1"/>
      </w:r>
      <w:r w:rsidR="000A3D41">
        <w:instrText>ADDIN CSL_CITATION { "citationItems" : [ { "id" : "ITEM-1", "itemData" : { "URL" : "http://investinginchildren.eu/interventions/multidimensional-treatment-foster-care", "author" : [ { "dropping-particle" : "", "family" : "Investing in Children", "given" : "", "non-dropping-particle" : "", "parse-names" : false, "suffix" : "" } ], "id" : "ITEM-1", "issued" : { "date-parts" : [ [ "2016" ] ] }, "title" : "Multidimensional Treatment Foster Care", "type" : "webpage" }, "uris" : [ "http://www.mendeley.com/documents/?uuid=47403d41-c320-48fd-8c19-42c922da3928", "http://www.mendeley.com/documents/?uuid=730b1cbe-833f-4949-9c1b-68e19ebbcbf9" ] } ], "mendeley" : { "formattedCitation" : "(Investing in Children 2016)", "plainTextFormattedCitation" : "(Investing in Children 2016)", "previouslyFormattedCitation" : "(Investing in Children 2016)" }, "properties" : { "noteIndex" : 0 }, "schema" : "https://github.com/citation-style-language/schema/raw/master/csl-citation.json" }</w:instrText>
      </w:r>
      <w:r w:rsidR="000C4800">
        <w:fldChar w:fldCharType="separate"/>
      </w:r>
      <w:r w:rsidR="000C4800" w:rsidRPr="000C4800">
        <w:rPr>
          <w:noProof/>
        </w:rPr>
        <w:t>(Investing in Children 2016)</w:t>
      </w:r>
      <w:r w:rsidR="000C4800">
        <w:fldChar w:fldCharType="end"/>
      </w:r>
      <w:r w:rsidR="004B1941" w:rsidRPr="00D21C25">
        <w:t xml:space="preserve">. This intervention </w:t>
      </w:r>
      <w:r w:rsidR="004B1941" w:rsidRPr="00AC2C72">
        <w:t>is being implemented in seve</w:t>
      </w:r>
      <w:r w:rsidR="003D4835" w:rsidRPr="00AC2C72">
        <w:t>ral local authority areas in the UK including Manchester and Salford</w:t>
      </w:r>
      <w:r w:rsidR="004B1941" w:rsidRPr="00AC2C72">
        <w:t xml:space="preserve">. </w:t>
      </w:r>
      <w:r w:rsidR="003D4835" w:rsidRPr="00AC2C72">
        <w:t>One of the peer mentoring interventions (CHANCE) is currently being evaluated in primary schools in London but the study does not include drug-related outcomes</w:t>
      </w:r>
      <w:r w:rsidR="0031435F">
        <w:t xml:space="preserve"> </w:t>
      </w:r>
      <w:r w:rsidR="0031435F">
        <w:fldChar w:fldCharType="begin" w:fldLock="1"/>
      </w:r>
      <w:r w:rsidR="002D129F">
        <w:instrText>ADDIN CSL_CITATION { "citationItems" : [ { "id" : "ITEM-1", "itemData" : { "URL" : "http://www.isrctn.com/ISRCTN47154925?q=ECHO chance uk&amp;filters=&amp;sort=&amp;offset=1&amp;totalResults=2&amp;page=1&amp;pageSize=10&amp;searchType=basic-search", "author" : [ { "dropping-particle" : "", "family" : "ISRCTN", "given" : "", "non-dropping-particle" : "", "parse-names" : false, "suffix" : "" } ], "id" : "ITEM-1", "issued" : { "date-parts" : [ [ "2016" ] ] }, "title" : "An evaluation of the Chance UK mentoring programme", "type" : "webpage" }, "uris" : [ "http://www.mendeley.com/documents/?uuid=d4be3241-d9d7-494c-9896-2e99f9358f02" ] } ], "mendeley" : { "formattedCitation" : "(ISRCTN 2016)", "plainTextFormattedCitation" : "(ISRCTN 2016)", "previouslyFormattedCitation" : "(ISRCTN 2016)" }, "properties" : { "noteIndex" : 0 }, "schema" : "https://github.com/citation-style-language/schema/raw/master/csl-citation.json" }</w:instrText>
      </w:r>
      <w:r w:rsidR="0031435F">
        <w:fldChar w:fldCharType="separate"/>
      </w:r>
      <w:r w:rsidR="0031435F" w:rsidRPr="0031435F">
        <w:rPr>
          <w:noProof/>
        </w:rPr>
        <w:t>(ISRCTN 2016)</w:t>
      </w:r>
      <w:r w:rsidR="0031435F">
        <w:fldChar w:fldCharType="end"/>
      </w:r>
      <w:r w:rsidR="0031435F">
        <w:t>.</w:t>
      </w:r>
    </w:p>
    <w:p w14:paraId="0C3B93D3" w14:textId="77777777" w:rsidR="000C6A25" w:rsidRPr="00AC2C72" w:rsidRDefault="000C6A25"/>
    <w:p w14:paraId="20F77064" w14:textId="7843B91E" w:rsidR="00BE6B23" w:rsidRPr="00AC2C72" w:rsidRDefault="00F465C1">
      <w:r w:rsidRPr="00AC2C72">
        <w:t xml:space="preserve">The NICE </w:t>
      </w:r>
      <w:r w:rsidR="003D4835" w:rsidRPr="00AC2C72">
        <w:t xml:space="preserve">effectiveness </w:t>
      </w:r>
      <w:r w:rsidRPr="00AC2C72">
        <w:t>evidence review did identify that there has</w:t>
      </w:r>
      <w:r w:rsidR="009E57D8" w:rsidRPr="00AC2C72">
        <w:t xml:space="preserve"> been advances in the drug </w:t>
      </w:r>
      <w:r w:rsidR="00DC7FEC">
        <w:t xml:space="preserve">misuse </w:t>
      </w:r>
      <w:r w:rsidR="009E57D8" w:rsidRPr="00AC2C72">
        <w:t xml:space="preserve">prevention evidence </w:t>
      </w:r>
      <w:r w:rsidRPr="00AC2C72">
        <w:t>base since PH4</w:t>
      </w:r>
      <w:r w:rsidR="003D4835" w:rsidRPr="00AC2C72">
        <w:t xml:space="preserve"> and found several effective interventions</w:t>
      </w:r>
      <w:r w:rsidR="002D129F">
        <w:t xml:space="preserve"> </w:t>
      </w:r>
      <w:r w:rsidR="002D129F">
        <w:fldChar w:fldCharType="begin" w:fldLock="1"/>
      </w:r>
      <w:r w:rsidR="002D129F">
        <w:instrText>ADDIN CSL_CITATION { "citationItems" : [ { "id" : "ITEM-1", "itemData" : { "author" : [ { "dropping-particle" : "", "family" : "NICE", "given" : "", "non-dropping-particle" : "", "parse-names" : false, "suffix" : "" } ], "id" : "ITEM-1", "issue" : "March", "issued" : { "date-parts" : [ [ "2007" ] ] }, "title" : "Substance misuse interventions for vulnerable under 25s", "type" : "report" }, "uris" : [ "http://www.mendeley.com/documents/?uuid=a8e43288-f524-41ed-be97-b6ffda6cf14c" ] } ], "mendeley" : { "formattedCitation" : "(NICE 2007)", "plainTextFormattedCitation" : "(NICE 2007)", "previouslyFormattedCitation" : "(NICE 2007)" }, "properties" : { "noteIndex" : 0 }, "schema" : "https://github.com/citation-style-language/schema/raw/master/csl-citation.json" }</w:instrText>
      </w:r>
      <w:r w:rsidR="002D129F">
        <w:fldChar w:fldCharType="separate"/>
      </w:r>
      <w:r w:rsidR="002D129F" w:rsidRPr="002D129F">
        <w:rPr>
          <w:noProof/>
        </w:rPr>
        <w:t>(NICE 2007)</w:t>
      </w:r>
      <w:r w:rsidR="002D129F">
        <w:fldChar w:fldCharType="end"/>
      </w:r>
      <w:r w:rsidR="003D4835" w:rsidRPr="00AC2C72">
        <w:t>.</w:t>
      </w:r>
    </w:p>
    <w:p w14:paraId="6DDAAE06" w14:textId="77777777" w:rsidR="00504D21" w:rsidRPr="00AC2C72" w:rsidRDefault="00504D21"/>
    <w:p w14:paraId="1AE13A5C" w14:textId="3FC595E3" w:rsidR="00504D21" w:rsidRPr="00D21C25" w:rsidRDefault="00504D21">
      <w:pPr>
        <w:pStyle w:val="Heading3"/>
      </w:pPr>
      <w:bookmarkStart w:id="16" w:name="_Toc452035627"/>
      <w:r w:rsidRPr="00D21C25">
        <w:t>3.1 Method for selection of effectiveness studies</w:t>
      </w:r>
      <w:bookmarkEnd w:id="16"/>
      <w:r w:rsidRPr="00D21C25">
        <w:t xml:space="preserve">  </w:t>
      </w:r>
    </w:p>
    <w:p w14:paraId="35D0D50E" w14:textId="77777777" w:rsidR="003D4835" w:rsidRPr="00AC2C72" w:rsidRDefault="003D4835"/>
    <w:p w14:paraId="26EA0557" w14:textId="549C7808" w:rsidR="00504D21" w:rsidRPr="00AC2C72" w:rsidRDefault="00504D21">
      <w:r w:rsidRPr="00AC2C72">
        <w:t xml:space="preserve">The cost-effectiveness analysis presented in this paper builds upon an effectiveness study review undertaken by </w:t>
      </w:r>
      <w:r w:rsidR="003D4835" w:rsidRPr="00AC2C72">
        <w:t>NICE.</w:t>
      </w:r>
      <w:r w:rsidRPr="00AC2C72">
        <w:t xml:space="preserve"> The results of the effectiveness study review were made available to the team undertaking the cost-effectiveness analysis presented in this paper. The task question facing the team was to determine which of the studies identified in the effectiveness study should be included </w:t>
      </w:r>
      <w:r w:rsidR="003D4835" w:rsidRPr="00AC2C72">
        <w:t>for economic modelling</w:t>
      </w:r>
      <w:r w:rsidRPr="00AC2C72">
        <w:t>. This section outlines the process undertaken to select the studies to include in the cost-effectiveness analysis, and summarises the results of that process</w:t>
      </w:r>
      <w:r w:rsidR="00940B3D">
        <w:t xml:space="preserve">. </w:t>
      </w:r>
    </w:p>
    <w:p w14:paraId="7ADBAD19" w14:textId="77777777" w:rsidR="00504D21" w:rsidRPr="00AC2C72" w:rsidRDefault="00504D21"/>
    <w:p w14:paraId="588C97C2" w14:textId="77777777" w:rsidR="00504D21" w:rsidRPr="00AC2C72" w:rsidRDefault="00504D21">
      <w:r w:rsidRPr="00AC2C72">
        <w:t>The following criteria were applied to the effectiveness studies to determine whether they should be included in the cost-effectiveness analysis:</w:t>
      </w:r>
    </w:p>
    <w:p w14:paraId="24A6DB19" w14:textId="77777777" w:rsidR="00504D21" w:rsidRPr="00AC2C72" w:rsidRDefault="00504D21"/>
    <w:p w14:paraId="40FA0B9B" w14:textId="7B2B97F8" w:rsidR="00504D21" w:rsidRPr="00AC2C72" w:rsidRDefault="000C6A25">
      <w:pPr>
        <w:pStyle w:val="ListParagraph"/>
        <w:numPr>
          <w:ilvl w:val="0"/>
          <w:numId w:val="19"/>
        </w:numPr>
      </w:pPr>
      <w:r w:rsidRPr="00AC2C72">
        <w:t>T</w:t>
      </w:r>
      <w:r w:rsidR="00504D21" w:rsidRPr="00AC2C72">
        <w:t xml:space="preserve">he study had to identify a positive impact of the intervention on </w:t>
      </w:r>
      <w:r w:rsidR="00D173C9" w:rsidRPr="00AC2C72">
        <w:t>drug</w:t>
      </w:r>
      <w:r w:rsidR="00504D21" w:rsidRPr="00AC2C72">
        <w:t xml:space="preserve"> misuse or their risk of </w:t>
      </w:r>
      <w:r w:rsidR="00D173C9" w:rsidRPr="00AC2C72">
        <w:t>drug</w:t>
      </w:r>
      <w:r w:rsidR="00504D21" w:rsidRPr="00AC2C72">
        <w:t xml:space="preserve"> misuse;</w:t>
      </w:r>
      <w:r w:rsidR="003D4835" w:rsidRPr="00AC2C72">
        <w:t xml:space="preserve"> (we assumed that, if interventions were not effective, they would not be cost effective)</w:t>
      </w:r>
      <w:r w:rsidR="00F57106">
        <w:t>;</w:t>
      </w:r>
    </w:p>
    <w:p w14:paraId="539C1DB6" w14:textId="6CCEFA17" w:rsidR="00504D21" w:rsidRPr="00AC2C72" w:rsidRDefault="000C6A25">
      <w:pPr>
        <w:pStyle w:val="ListParagraph"/>
        <w:numPr>
          <w:ilvl w:val="0"/>
          <w:numId w:val="19"/>
        </w:numPr>
      </w:pPr>
      <w:r w:rsidRPr="00AC2C72">
        <w:t>T</w:t>
      </w:r>
      <w:r w:rsidR="00504D21" w:rsidRPr="00AC2C72">
        <w:t xml:space="preserve">he study methodology had to involve the use of a comparator group; </w:t>
      </w:r>
    </w:p>
    <w:p w14:paraId="0C6CD581" w14:textId="20544A7E" w:rsidR="003D4835" w:rsidRPr="00AC2C72" w:rsidRDefault="000C6A25">
      <w:pPr>
        <w:pStyle w:val="ListParagraph"/>
        <w:numPr>
          <w:ilvl w:val="0"/>
          <w:numId w:val="19"/>
        </w:numPr>
      </w:pPr>
      <w:r w:rsidRPr="00AC2C72">
        <w:t>T</w:t>
      </w:r>
      <w:r w:rsidR="00504D21" w:rsidRPr="00AC2C72">
        <w:t xml:space="preserve">he study had to clearly define the </w:t>
      </w:r>
      <w:r w:rsidRPr="00AC2C72">
        <w:t xml:space="preserve">baseline characteristics of the </w:t>
      </w:r>
      <w:r w:rsidR="00504D21" w:rsidRPr="00AC2C72">
        <w:t>intervention and comparator group</w:t>
      </w:r>
      <w:r w:rsidRPr="00AC2C72">
        <w:t>s</w:t>
      </w:r>
      <w:r w:rsidR="003D4835" w:rsidRPr="00AC2C72">
        <w:t xml:space="preserve"> in quantitative terms that could be translated into an economic model.</w:t>
      </w:r>
    </w:p>
    <w:p w14:paraId="488977EF" w14:textId="77777777" w:rsidR="00504D21" w:rsidRPr="00AC2C72" w:rsidRDefault="00504D21"/>
    <w:p w14:paraId="5CCAD9D3" w14:textId="4990EF20" w:rsidR="00504D21" w:rsidRPr="00AC2C72" w:rsidRDefault="00504D21">
      <w:r w:rsidRPr="00AC2C72">
        <w:t xml:space="preserve">It is important to note that studies could be included in the economic analysis even though the effectiveness review concluded that the evidence for the effectiveness of the intervention was inconclusive. This </w:t>
      </w:r>
      <w:r w:rsidR="00C523E2" w:rsidRPr="00AC2C72">
        <w:t xml:space="preserve">may have </w:t>
      </w:r>
      <w:r w:rsidRPr="00AC2C72">
        <w:t>happen</w:t>
      </w:r>
      <w:r w:rsidR="00C523E2" w:rsidRPr="00AC2C72">
        <w:t>ed</w:t>
      </w:r>
      <w:r w:rsidRPr="00AC2C72">
        <w:t xml:space="preserve"> for</w:t>
      </w:r>
      <w:r w:rsidR="00784D2A" w:rsidRPr="00AC2C72">
        <w:t xml:space="preserve"> one of</w:t>
      </w:r>
      <w:r w:rsidRPr="00AC2C72">
        <w:t xml:space="preserve"> two reasons: </w:t>
      </w:r>
    </w:p>
    <w:p w14:paraId="6D1350DC" w14:textId="77777777" w:rsidR="00504D21" w:rsidRPr="00AC2C72" w:rsidRDefault="00504D21"/>
    <w:p w14:paraId="191206A1" w14:textId="521760B8" w:rsidR="00504D21" w:rsidRPr="00AC2C72" w:rsidRDefault="00784D2A">
      <w:pPr>
        <w:pStyle w:val="ListParagraph"/>
        <w:numPr>
          <w:ilvl w:val="0"/>
          <w:numId w:val="20"/>
        </w:numPr>
      </w:pPr>
      <w:r w:rsidRPr="00AC2C72">
        <w:lastRenderedPageBreak/>
        <w:t>A difference in inclusion criteria. T</w:t>
      </w:r>
      <w:r w:rsidR="00504D21" w:rsidRPr="00AC2C72">
        <w:t>he effectiveness study require</w:t>
      </w:r>
      <w:r w:rsidRPr="00AC2C72">
        <w:t>d</w:t>
      </w:r>
      <w:r w:rsidR="00504D21" w:rsidRPr="00AC2C72">
        <w:t xml:space="preserve"> that a positive effect is statistically significant, as measured by appropriate statistical techniques. The economic analysis d</w:t>
      </w:r>
      <w:r w:rsidRPr="00AC2C72">
        <w:t>id</w:t>
      </w:r>
      <w:r w:rsidR="00504D21" w:rsidRPr="00AC2C72">
        <w:t xml:space="preserve"> not apply such </w:t>
      </w:r>
      <w:r w:rsidRPr="00AC2C72">
        <w:t>restrictions</w:t>
      </w:r>
      <w:r w:rsidR="00504D21" w:rsidRPr="00AC2C72">
        <w:t xml:space="preserve"> and include</w:t>
      </w:r>
      <w:r w:rsidRPr="00AC2C72">
        <w:t>d</w:t>
      </w:r>
      <w:r w:rsidR="00504D21" w:rsidRPr="00AC2C72">
        <w:t xml:space="preserve"> studies in which there </w:t>
      </w:r>
      <w:r w:rsidRPr="00AC2C72">
        <w:t>was</w:t>
      </w:r>
      <w:r w:rsidR="00504D21" w:rsidRPr="00AC2C72">
        <w:t xml:space="preserve"> a positive effect of the intervention, regardless of whether that effect is statistically significant or not; and</w:t>
      </w:r>
    </w:p>
    <w:p w14:paraId="18B070AA" w14:textId="46854811" w:rsidR="00C523E2" w:rsidRDefault="00784D2A">
      <w:pPr>
        <w:pStyle w:val="ListParagraph"/>
        <w:numPr>
          <w:ilvl w:val="0"/>
          <w:numId w:val="20"/>
        </w:numPr>
      </w:pPr>
      <w:r w:rsidRPr="00AC2C72">
        <w:t>T</w:t>
      </w:r>
      <w:r w:rsidR="00504D21" w:rsidRPr="00AC2C72">
        <w:t>he effectiveness study may have concluded that the evidence for the effectiveness of a particular intervention type is not conclusive based on the results of a number of studies. However, the economic analysis only capture</w:t>
      </w:r>
      <w:r w:rsidR="00C523E2" w:rsidRPr="00AC2C72">
        <w:t>s</w:t>
      </w:r>
      <w:r w:rsidR="00504D21" w:rsidRPr="00AC2C72">
        <w:t xml:space="preserve"> the studies that have demonstrated a positive effect. </w:t>
      </w:r>
    </w:p>
    <w:p w14:paraId="022A9C2E" w14:textId="77777777" w:rsidR="00CC76A6" w:rsidRDefault="00CC76A6"/>
    <w:p w14:paraId="56A6ECC5" w14:textId="2F3605B2" w:rsidR="00CC76A6" w:rsidRPr="00AC2C72" w:rsidRDefault="00CC76A6">
      <w:r>
        <w:t>In practice all of the interventions included in the modelling were also found to be effective in the effectiveness review.</w:t>
      </w:r>
    </w:p>
    <w:p w14:paraId="5BB4436F" w14:textId="360F12A3" w:rsidR="00CC76A6" w:rsidRPr="00AC2C72" w:rsidRDefault="00CC76A6"/>
    <w:p w14:paraId="4F9F69FE" w14:textId="1D1BDC35" w:rsidR="00BE6B23" w:rsidRPr="00D21C25" w:rsidRDefault="00BE6B23">
      <w:pPr>
        <w:pStyle w:val="Heading2"/>
        <w:numPr>
          <w:ilvl w:val="0"/>
          <w:numId w:val="3"/>
        </w:numPr>
      </w:pPr>
      <w:bookmarkStart w:id="17" w:name="_Toc452035628"/>
      <w:r w:rsidRPr="00D21C25">
        <w:t>Modelling Methodology</w:t>
      </w:r>
      <w:bookmarkEnd w:id="17"/>
    </w:p>
    <w:p w14:paraId="596A735C" w14:textId="77777777" w:rsidR="003D4835" w:rsidRDefault="003D4835"/>
    <w:p w14:paraId="5B8F7E0F" w14:textId="1E94C0AB" w:rsidR="00F67429" w:rsidRPr="00D21C25" w:rsidRDefault="00F67429">
      <w:pPr>
        <w:pStyle w:val="Heading3"/>
      </w:pPr>
      <w:bookmarkStart w:id="18" w:name="_Toc452035629"/>
      <w:r w:rsidRPr="00D21C25">
        <w:t xml:space="preserve">4.1 </w:t>
      </w:r>
      <w:r>
        <w:t>Model Perspectives</w:t>
      </w:r>
      <w:bookmarkEnd w:id="18"/>
      <w:r w:rsidRPr="00D21C25">
        <w:t xml:space="preserve"> </w:t>
      </w:r>
    </w:p>
    <w:p w14:paraId="34E77637" w14:textId="77777777" w:rsidR="00F67429" w:rsidRDefault="00F67429"/>
    <w:p w14:paraId="441290D1" w14:textId="057F17D1" w:rsidR="00584FF5" w:rsidRPr="00D21C25" w:rsidRDefault="00F67429">
      <w:r>
        <w:t xml:space="preserve">The economic models consider a partial societal perspective, in line with the reference case for interventions with health and non-health outcomes in public sector and other settings in the NICE guidelines manual </w:t>
      </w:r>
      <w:r w:rsidRPr="002D129F">
        <w:rPr>
          <w:noProof/>
        </w:rPr>
        <w:t>(NICE 2014</w:t>
      </w:r>
      <w:r>
        <w:rPr>
          <w:noProof/>
        </w:rPr>
        <w:t>).</w:t>
      </w:r>
      <w:r w:rsidRPr="00AC2C72" w:rsidDel="00F67429">
        <w:t xml:space="preserve"> </w:t>
      </w:r>
      <w:r w:rsidR="00D323BA" w:rsidRPr="00D21C25">
        <w:t>In doing so w</w:t>
      </w:r>
      <w:r w:rsidR="00584FF5" w:rsidRPr="00D21C25">
        <w:t xml:space="preserve">e have </w:t>
      </w:r>
      <w:r w:rsidR="00D323BA" w:rsidRPr="00D21C25">
        <w:t>primarily relied on a</w:t>
      </w:r>
      <w:r w:rsidR="00584FF5" w:rsidRPr="00D21C25">
        <w:t xml:space="preserve"> 'bottom up' approach</w:t>
      </w:r>
      <w:r w:rsidR="00D323BA" w:rsidRPr="00D21C25">
        <w:t>, thereby summing</w:t>
      </w:r>
      <w:r w:rsidR="00584FF5" w:rsidRPr="00D21C25">
        <w:t xml:space="preserve"> specific social costs</w:t>
      </w:r>
      <w:r w:rsidR="00D323BA" w:rsidRPr="00D21C25">
        <w:t xml:space="preserve">, as opposed to a </w:t>
      </w:r>
      <w:r w:rsidR="00584FF5" w:rsidRPr="00D21C25">
        <w:t>'top down' approach</w:t>
      </w:r>
      <w:r w:rsidR="00D323BA" w:rsidRPr="00D21C25">
        <w:t>, identifying</w:t>
      </w:r>
      <w:r w:rsidR="00584FF5" w:rsidRPr="00D21C25">
        <w:t xml:space="preserve"> the total burden of disease/ social cost</w:t>
      </w:r>
      <w:r w:rsidR="00D323BA" w:rsidRPr="00D21C25">
        <w:t xml:space="preserve">s attributable to </w:t>
      </w:r>
      <w:r w:rsidR="00584FF5" w:rsidRPr="00D21C25">
        <w:t xml:space="preserve">drug use and </w:t>
      </w:r>
      <w:r w:rsidR="00D323BA" w:rsidRPr="00D21C25">
        <w:t>then reducing</w:t>
      </w:r>
      <w:r w:rsidR="00584FF5" w:rsidRPr="00D21C25">
        <w:t xml:space="preserve"> in line with the intervention effects. </w:t>
      </w:r>
    </w:p>
    <w:p w14:paraId="6FA04A30" w14:textId="77777777" w:rsidR="00584FF5" w:rsidRPr="00AC2C72" w:rsidRDefault="00584FF5"/>
    <w:p w14:paraId="31B221EC" w14:textId="77C17288" w:rsidR="00BE6B23" w:rsidRPr="00D21C25" w:rsidRDefault="009A69B6">
      <w:pPr>
        <w:pStyle w:val="Heading3"/>
      </w:pPr>
      <w:bookmarkStart w:id="19" w:name="_Toc452035630"/>
      <w:r w:rsidRPr="00D21C25">
        <w:t>4.</w:t>
      </w:r>
      <w:r w:rsidR="00E52DB0">
        <w:t>2</w:t>
      </w:r>
      <w:r w:rsidRPr="00D21C25">
        <w:t xml:space="preserve"> </w:t>
      </w:r>
      <w:r w:rsidR="00884E8C">
        <w:t>Model Framework</w:t>
      </w:r>
      <w:bookmarkEnd w:id="19"/>
      <w:r w:rsidR="00BE6B23" w:rsidRPr="00D21C25">
        <w:t xml:space="preserve"> </w:t>
      </w:r>
    </w:p>
    <w:p w14:paraId="72C04082" w14:textId="77777777" w:rsidR="003D4835" w:rsidRPr="00AC2C72" w:rsidRDefault="003D4835"/>
    <w:p w14:paraId="67B4017F" w14:textId="274D66AF" w:rsidR="009762FC" w:rsidRDefault="003D4835" w:rsidP="003D56F0">
      <w:pPr>
        <w:rPr>
          <w:rFonts w:asciiTheme="majorHAnsi" w:eastAsia="Times New Roman" w:hAnsiTheme="majorHAnsi" w:cstheme="majorBidi"/>
          <w:color w:val="4F81BD" w:themeColor="accent1"/>
          <w:sz w:val="28"/>
          <w:szCs w:val="28"/>
        </w:rPr>
      </w:pPr>
      <w:r w:rsidRPr="00AC2C72">
        <w:t>T</w:t>
      </w:r>
      <w:r w:rsidR="00144515" w:rsidRPr="00AC2C72">
        <w:t xml:space="preserve">he modelling team </w:t>
      </w:r>
      <w:r w:rsidR="005C45B2" w:rsidRPr="00AC2C72">
        <w:t xml:space="preserve">constructed </w:t>
      </w:r>
      <w:r w:rsidR="00144515" w:rsidRPr="00AC2C72">
        <w:t xml:space="preserve">economic models in MS Excel </w:t>
      </w:r>
      <w:r w:rsidRPr="00AC2C72">
        <w:t xml:space="preserve">with VBA (Visual Basic for Applications) </w:t>
      </w:r>
      <w:r w:rsidR="00F56C53">
        <w:t xml:space="preserve">software </w:t>
      </w:r>
      <w:r w:rsidR="00144515" w:rsidRPr="00AC2C72">
        <w:t>with one-way sensitivity an</w:t>
      </w:r>
      <w:r w:rsidR="005C45B2" w:rsidRPr="00AC2C72">
        <w:t xml:space="preserve">alyses. </w:t>
      </w:r>
      <w:r w:rsidR="00144515" w:rsidRPr="00AC2C72">
        <w:t xml:space="preserve">These models compare a range of </w:t>
      </w:r>
      <w:r w:rsidR="005C45B2" w:rsidRPr="00AC2C72">
        <w:t xml:space="preserve">published and peer-reviewed </w:t>
      </w:r>
      <w:r w:rsidR="00144515" w:rsidRPr="00AC2C72">
        <w:t xml:space="preserve">interventions for a range of ‘at risk’ or vulnerable groups. </w:t>
      </w:r>
      <w:r w:rsidR="005C45B2" w:rsidRPr="00AC2C72">
        <w:t xml:space="preserve">All a-priori </w:t>
      </w:r>
      <w:r w:rsidR="00144515" w:rsidRPr="00AC2C72">
        <w:t>assumptions</w:t>
      </w:r>
      <w:r w:rsidR="005C45B2" w:rsidRPr="00AC2C72">
        <w:t>, simplifications and abstractions are made explicit, and in most cases accounted for within sensitivity analyses to minimise parameter-based and structural bias within the model results.</w:t>
      </w:r>
    </w:p>
    <w:p w14:paraId="772FD20F" w14:textId="5F690B15" w:rsidR="00BE6B23" w:rsidRPr="00D21C25" w:rsidRDefault="00BE6B23" w:rsidP="00CC7EC2">
      <w:pPr>
        <w:pStyle w:val="Heading3"/>
      </w:pPr>
      <w:bookmarkStart w:id="20" w:name="_Toc452035631"/>
      <w:r w:rsidRPr="00D21C25">
        <w:t>4.</w:t>
      </w:r>
      <w:r w:rsidR="00E52DB0">
        <w:t>3</w:t>
      </w:r>
      <w:r w:rsidRPr="00D21C25">
        <w:t xml:space="preserve"> Conceptual framework of models</w:t>
      </w:r>
      <w:bookmarkEnd w:id="20"/>
      <w:r w:rsidRPr="00D21C25">
        <w:t xml:space="preserve"> </w:t>
      </w:r>
    </w:p>
    <w:p w14:paraId="11718662" w14:textId="77777777" w:rsidR="00F20764" w:rsidRPr="00AC2C72" w:rsidRDefault="00F20764"/>
    <w:p w14:paraId="55C20FB0" w14:textId="22CE069E" w:rsidR="00DA566B" w:rsidRPr="00AC2C72" w:rsidRDefault="00F20764">
      <w:r>
        <w:t>D</w:t>
      </w:r>
      <w:r w:rsidRPr="00AC2C72">
        <w:t>ecision models were used to combine data from different sources or to estimate long term outcomes from short term (surrogate) outcomes</w:t>
      </w:r>
      <w:r>
        <w:t xml:space="preserve"> - </w:t>
      </w:r>
      <w:r w:rsidRPr="00AC2C72">
        <w:t>to estimate the relationship between drug misuse and long term health, healthcare utilisation, crime and social outcomes. The decision models used decision tree methods</w:t>
      </w:r>
      <w:r>
        <w:t xml:space="preserve">. </w:t>
      </w:r>
      <w:r w:rsidR="002C19D8" w:rsidRPr="00AC2C72">
        <w:t xml:space="preserve">Within each </w:t>
      </w:r>
      <w:r w:rsidR="00F57106">
        <w:t>arm</w:t>
      </w:r>
      <w:r>
        <w:t>,</w:t>
      </w:r>
      <w:r w:rsidR="00F57106">
        <w:t xml:space="preserve"> </w:t>
      </w:r>
      <w:r w:rsidRPr="00AC2C72">
        <w:t xml:space="preserve">patients </w:t>
      </w:r>
      <w:r>
        <w:t>are</w:t>
      </w:r>
      <w:r w:rsidR="002C19D8" w:rsidRPr="00AC2C72">
        <w:t xml:space="preserve"> assigned a probability of events occurring based on observed likelihoods within the published literature, whether death, crime or health impairment, </w:t>
      </w:r>
      <w:r w:rsidR="002C19D8" w:rsidRPr="00AC2C72">
        <w:lastRenderedPageBreak/>
        <w:t>in addition to an expected cost of such events, should they occur. The comparative element of the model compares the total costs (and quality-adjusted life years</w:t>
      </w:r>
      <w:r>
        <w:t>)</w:t>
      </w:r>
      <w:r w:rsidR="002C19D8" w:rsidRPr="00AC2C72">
        <w:t xml:space="preserve"> both with and without intervention</w:t>
      </w:r>
      <w:r>
        <w:t>.</w:t>
      </w:r>
    </w:p>
    <w:p w14:paraId="7D3F7530" w14:textId="77777777" w:rsidR="00F54D8B" w:rsidRDefault="00F54D8B"/>
    <w:p w14:paraId="1B404431" w14:textId="75BDD3E4" w:rsidR="00F20764" w:rsidRDefault="00F20764">
      <w:r w:rsidRPr="00AC2C72">
        <w:t xml:space="preserve">The preferred methodology was to conduct cost utility analysis, which means that the primary outcome was cost per QALY (quality-adjusted life year) gained through the intervention, a summary measure of longevity and health-related quality of life. This method of analysis is traditionally used for a </w:t>
      </w:r>
      <w:r>
        <w:t>National Health Service (</w:t>
      </w:r>
      <w:r w:rsidRPr="00AC2C72">
        <w:t>NHS</w:t>
      </w:r>
      <w:r>
        <w:t>)</w:t>
      </w:r>
      <w:r w:rsidRPr="00AC2C72">
        <w:t xml:space="preserve"> and/or local authority perspective but may be insufficient when looking at drug </w:t>
      </w:r>
      <w:r>
        <w:t>mis</w:t>
      </w:r>
      <w:r w:rsidRPr="00AC2C72">
        <w:t>use that has an impact on many sectors of the economy</w:t>
      </w:r>
    </w:p>
    <w:p w14:paraId="65BFD53F" w14:textId="77777777" w:rsidR="00F20764" w:rsidRPr="00AC2C72" w:rsidRDefault="00F20764"/>
    <w:p w14:paraId="6A62A16E" w14:textId="5197415D" w:rsidR="00F54D8B" w:rsidRPr="00AC2C72" w:rsidRDefault="00F54D8B">
      <w:r w:rsidRPr="00AC2C72">
        <w:t xml:space="preserve">The outcomes considered </w:t>
      </w:r>
      <w:r w:rsidR="00F56C53">
        <w:t xml:space="preserve">for the modelling </w:t>
      </w:r>
      <w:r w:rsidR="0082160C" w:rsidRPr="00AC2C72">
        <w:t>were</w:t>
      </w:r>
      <w:r w:rsidRPr="00AC2C72">
        <w:t xml:space="preserve"> direct</w:t>
      </w:r>
      <w:r w:rsidR="007077AB">
        <w:t xml:space="preserve"> health outcomes such as QALYs, </w:t>
      </w:r>
      <w:r w:rsidRPr="00AC2C72">
        <w:t xml:space="preserve">disease incidence and prevalence, hospital admissions, as well as outcomes related to and predictive of harmful drug use, such as crime and social care activity, attitudes and knowledge about drugs, and measures of life skills and self-esteem. </w:t>
      </w:r>
    </w:p>
    <w:p w14:paraId="64D7DAD1" w14:textId="77777777" w:rsidR="00F54D8B" w:rsidRPr="00AC2C72" w:rsidRDefault="00F54D8B">
      <w:pPr>
        <w:pStyle w:val="ListParagraph"/>
      </w:pPr>
    </w:p>
    <w:p w14:paraId="26F1074D" w14:textId="53E38BCD" w:rsidR="00F54D8B" w:rsidRPr="00AC2C72" w:rsidRDefault="00382317">
      <w:r w:rsidRPr="00AC2C72">
        <w:t xml:space="preserve">The models were </w:t>
      </w:r>
      <w:r w:rsidR="00F54D8B" w:rsidRPr="00AC2C72">
        <w:t xml:space="preserve">calibrated by searching for information needed to populate the model which </w:t>
      </w:r>
      <w:r w:rsidRPr="00AC2C72">
        <w:t>came</w:t>
      </w:r>
      <w:r w:rsidR="00F54D8B" w:rsidRPr="00AC2C72">
        <w:t xml:space="preserve"> </w:t>
      </w:r>
      <w:r w:rsidRPr="00AC2C72">
        <w:t xml:space="preserve">partly </w:t>
      </w:r>
      <w:r w:rsidR="00F54D8B" w:rsidRPr="00AC2C72">
        <w:t xml:space="preserve">from the economic evidence review and the effectiveness review and </w:t>
      </w:r>
      <w:r w:rsidRPr="00AC2C72">
        <w:t xml:space="preserve">mainly from sources identified by the modelling team due to shortage of </w:t>
      </w:r>
      <w:r w:rsidR="00F54D8B" w:rsidRPr="00AC2C72">
        <w:t xml:space="preserve">information. Where information </w:t>
      </w:r>
      <w:r w:rsidR="000F555E" w:rsidRPr="00AC2C72">
        <w:t>could not</w:t>
      </w:r>
      <w:r w:rsidR="00F54D8B" w:rsidRPr="00AC2C72">
        <w:t xml:space="preserve"> be found in the evidence </w:t>
      </w:r>
      <w:r w:rsidR="000F555E" w:rsidRPr="00AC2C72">
        <w:t xml:space="preserve">we </w:t>
      </w:r>
      <w:r w:rsidR="00F54D8B" w:rsidRPr="00AC2C72">
        <w:t>ask</w:t>
      </w:r>
      <w:r w:rsidR="000F555E" w:rsidRPr="00AC2C72">
        <w:t>ed</w:t>
      </w:r>
      <w:r w:rsidR="00F54D8B" w:rsidRPr="00AC2C72">
        <w:t xml:space="preserve"> the PHAC members for any insight</w:t>
      </w:r>
      <w:r w:rsidR="000F555E" w:rsidRPr="00AC2C72">
        <w:t>s</w:t>
      </w:r>
      <w:r w:rsidR="00F54D8B" w:rsidRPr="00AC2C72">
        <w:t xml:space="preserve"> they c</w:t>
      </w:r>
      <w:r w:rsidR="000F555E" w:rsidRPr="00AC2C72">
        <w:t>ould</w:t>
      </w:r>
      <w:r w:rsidR="00F54D8B" w:rsidRPr="00AC2C72">
        <w:t xml:space="preserve"> share. The information </w:t>
      </w:r>
      <w:r w:rsidR="000F555E" w:rsidRPr="00AC2C72">
        <w:t xml:space="preserve">in the models </w:t>
      </w:r>
      <w:r w:rsidR="00F54D8B" w:rsidRPr="00AC2C72">
        <w:t>include</w:t>
      </w:r>
      <w:r w:rsidR="000D33EB" w:rsidRPr="00AC2C72">
        <w:t>s</w:t>
      </w:r>
      <w:r w:rsidR="00F54D8B" w:rsidRPr="00AC2C72">
        <w:t>;</w:t>
      </w:r>
    </w:p>
    <w:p w14:paraId="07B1E78C" w14:textId="77777777" w:rsidR="00F54D8B" w:rsidRPr="00AC2C72" w:rsidRDefault="00F54D8B">
      <w:pPr>
        <w:pStyle w:val="ListParagraph"/>
      </w:pPr>
    </w:p>
    <w:p w14:paraId="4F0C9FC7" w14:textId="63849047" w:rsidR="00F54D8B" w:rsidRPr="00AC2C72" w:rsidRDefault="00F54D8B" w:rsidP="003D56F0">
      <w:pPr>
        <w:pStyle w:val="ListParagraph"/>
        <w:numPr>
          <w:ilvl w:val="0"/>
          <w:numId w:val="51"/>
        </w:numPr>
      </w:pPr>
      <w:r w:rsidRPr="00AC2C72">
        <w:t>The burden of health problems that are caused by substance misuse (within the scope of the guidance). This include</w:t>
      </w:r>
      <w:r w:rsidR="000F555E" w:rsidRPr="00AC2C72">
        <w:t>d</w:t>
      </w:r>
      <w:r w:rsidRPr="00AC2C72">
        <w:t xml:space="preserve"> searching for evidence on the size of the population for each ‘at risk’ group, and the prevalence of drug </w:t>
      </w:r>
      <w:r w:rsidR="00DC7FEC">
        <w:t>mis</w:t>
      </w:r>
      <w:r w:rsidRPr="00AC2C72">
        <w:t>use (occasional and harmful) in each group. This evidence c</w:t>
      </w:r>
      <w:r w:rsidR="000F555E" w:rsidRPr="00AC2C72">
        <w:t>a</w:t>
      </w:r>
      <w:r w:rsidRPr="00AC2C72">
        <w:t>me from sources such as ONS, or from charities that work with specific vulnerable groups.</w:t>
      </w:r>
    </w:p>
    <w:p w14:paraId="325A7ECB" w14:textId="5A3358BD" w:rsidR="00F54D8B" w:rsidRPr="00AC2C72" w:rsidRDefault="00F54D8B" w:rsidP="003D56F0">
      <w:pPr>
        <w:pStyle w:val="ListParagraph"/>
        <w:numPr>
          <w:ilvl w:val="0"/>
          <w:numId w:val="51"/>
        </w:numPr>
      </w:pPr>
      <w:r w:rsidRPr="00AC2C72">
        <w:t xml:space="preserve">The cost of interventions to prevent, delay or reduce substance misuse in vulnerable groups. It </w:t>
      </w:r>
      <w:r w:rsidR="000F555E" w:rsidRPr="00AC2C72">
        <w:t>was</w:t>
      </w:r>
      <w:r w:rsidRPr="00AC2C72">
        <w:t xml:space="preserve"> difficult to find the cost of interventions that </w:t>
      </w:r>
      <w:r w:rsidR="00BA7D68" w:rsidRPr="00AC2C72">
        <w:t>were</w:t>
      </w:r>
      <w:r w:rsidRPr="00AC2C72">
        <w:t xml:space="preserve"> part of an integrated programme or </w:t>
      </w:r>
      <w:r w:rsidR="00BA7D68" w:rsidRPr="00AC2C72">
        <w:t xml:space="preserve">those which </w:t>
      </w:r>
      <w:r w:rsidR="00C11209" w:rsidRPr="00AC2C72">
        <w:t>w</w:t>
      </w:r>
      <w:r w:rsidR="00BA7D68" w:rsidRPr="00AC2C72">
        <w:t>ere</w:t>
      </w:r>
      <w:r w:rsidRPr="00AC2C72">
        <w:t xml:space="preserve"> short, opportunistic interventions</w:t>
      </w:r>
      <w:r w:rsidR="000F555E" w:rsidRPr="00AC2C72">
        <w:t xml:space="preserve"> and therefore uncertainty was characterised in one-way sensitivity analysis. Where cost data was</w:t>
      </w:r>
      <w:r w:rsidRPr="00AC2C72">
        <w:t xml:space="preserve"> absent but good quality e</w:t>
      </w:r>
      <w:r w:rsidR="000F555E" w:rsidRPr="00AC2C72">
        <w:t>vidence of effectiveness data was</w:t>
      </w:r>
      <w:r w:rsidRPr="00AC2C72">
        <w:t xml:space="preserve"> available, a ‘break even analysis’ </w:t>
      </w:r>
      <w:r w:rsidR="0082160C" w:rsidRPr="00AC2C72">
        <w:t xml:space="preserve">may be </w:t>
      </w:r>
      <w:r w:rsidRPr="00AC2C72">
        <w:t xml:space="preserve">carried out to determine the maximum price at which an intervention would be cost effective. </w:t>
      </w:r>
      <w:r w:rsidR="000F555E" w:rsidRPr="00AC2C72">
        <w:t>C</w:t>
      </w:r>
      <w:r w:rsidRPr="00AC2C72">
        <w:t xml:space="preserve">osts </w:t>
      </w:r>
      <w:r w:rsidR="000F555E" w:rsidRPr="00AC2C72">
        <w:t xml:space="preserve">were </w:t>
      </w:r>
      <w:r w:rsidRPr="00AC2C72">
        <w:t xml:space="preserve">based on estimates of practitioner time, matched up to reference costs such as those produced by the PSSRU (Personal Social Services Research Unit). </w:t>
      </w:r>
      <w:r w:rsidR="0082160C" w:rsidRPr="00AC2C72">
        <w:t xml:space="preserve">Where interventions are licensed programmes where licenses and training needs to be paid for, some </w:t>
      </w:r>
      <w:r w:rsidRPr="00AC2C72">
        <w:t xml:space="preserve">judgement </w:t>
      </w:r>
      <w:r w:rsidR="0082160C" w:rsidRPr="00AC2C72">
        <w:t>may be required</w:t>
      </w:r>
      <w:r w:rsidRPr="00AC2C72">
        <w:t xml:space="preserve"> on whether the crucial mechanisms of an intervention could be replicated without licensing or whether the programme would have to be delivered as a licensed product. </w:t>
      </w:r>
    </w:p>
    <w:p w14:paraId="54BF01FE" w14:textId="79E4BD26" w:rsidR="00F54D8B" w:rsidRPr="00AC2C72" w:rsidRDefault="00F54D8B" w:rsidP="003D56F0">
      <w:pPr>
        <w:pStyle w:val="ListParagraph"/>
        <w:numPr>
          <w:ilvl w:val="0"/>
          <w:numId w:val="51"/>
        </w:numPr>
      </w:pPr>
      <w:r w:rsidRPr="00AC2C72">
        <w:lastRenderedPageBreak/>
        <w:t xml:space="preserve">The effectiveness of interventions to prevent, delay or reduce substance misuse in vulnerable groups; measures of effect size such as relative risk reduction (RRR), absolute differences, odds ratios, etc. </w:t>
      </w:r>
    </w:p>
    <w:p w14:paraId="3EBC5BB8" w14:textId="6F9FD772" w:rsidR="00F54D8B" w:rsidRDefault="00F54D8B" w:rsidP="003D56F0">
      <w:pPr>
        <w:pStyle w:val="ListParagraph"/>
        <w:numPr>
          <w:ilvl w:val="0"/>
          <w:numId w:val="51"/>
        </w:numPr>
      </w:pPr>
      <w:r w:rsidRPr="00AC2C72">
        <w:t>Outcomes associate</w:t>
      </w:r>
      <w:r w:rsidR="000D33EB" w:rsidRPr="00AC2C72">
        <w:t xml:space="preserve">d with drug </w:t>
      </w:r>
      <w:r w:rsidR="00DC7FEC">
        <w:t>mis</w:t>
      </w:r>
      <w:r w:rsidR="000D33EB" w:rsidRPr="00AC2C72">
        <w:t>use in</w:t>
      </w:r>
      <w:r w:rsidRPr="00AC2C72">
        <w:t xml:space="preserve"> vulnerable groups. These outcomes include quality adjusted life expectancy (QALYs experienced); healthcare</w:t>
      </w:r>
      <w:r w:rsidR="000D33EB" w:rsidRPr="00AC2C72">
        <w:t xml:space="preserve"> costs, costs of drug treatment and</w:t>
      </w:r>
      <w:r w:rsidRPr="00AC2C72">
        <w:t xml:space="preserve"> criminal justice costs.</w:t>
      </w:r>
    </w:p>
    <w:p w14:paraId="52F2AEB7" w14:textId="77777777" w:rsidR="00624C2B" w:rsidRPr="00AC2C72" w:rsidRDefault="00624C2B" w:rsidP="003D56F0">
      <w:pPr>
        <w:pStyle w:val="ListParagraph"/>
      </w:pPr>
    </w:p>
    <w:p w14:paraId="19D3FAE7" w14:textId="7903CAD1" w:rsidR="00F54D8B" w:rsidRPr="00AC2C72" w:rsidRDefault="0079131F" w:rsidP="000975B3">
      <w:r>
        <w:t xml:space="preserve">The information was searched for from September-November 2015 so any information that has been published since then would most likely not have been used in the modelling. </w:t>
      </w:r>
      <w:r w:rsidR="00F54D8B" w:rsidRPr="00AC2C72">
        <w:t>Ideally the model parameters w</w:t>
      </w:r>
      <w:r w:rsidR="000D33EB" w:rsidRPr="00AC2C72">
        <w:t>ould have</w:t>
      </w:r>
      <w:r w:rsidR="00F54D8B" w:rsidRPr="00AC2C72">
        <w:t xml:space="preserve"> be</w:t>
      </w:r>
      <w:r w:rsidR="000D33EB" w:rsidRPr="00AC2C72">
        <w:t>en</w:t>
      </w:r>
      <w:r w:rsidR="00F54D8B" w:rsidRPr="00AC2C72">
        <w:t xml:space="preserve"> populated with data from the economic review and the effectiveness review. However previous reviews on similar topics </w:t>
      </w:r>
      <w:r w:rsidR="000D33EB" w:rsidRPr="00AC2C72">
        <w:t xml:space="preserve">also </w:t>
      </w:r>
      <w:r w:rsidR="00F54D8B" w:rsidRPr="00AC2C72">
        <w:t xml:space="preserve">highlighted a paucity of effectiveness data for targeted interventions to prevent drug </w:t>
      </w:r>
      <w:r w:rsidR="00DC7FEC">
        <w:t>mis</w:t>
      </w:r>
      <w:r w:rsidR="00F54D8B" w:rsidRPr="00AC2C72">
        <w:t xml:space="preserve">use. We </w:t>
      </w:r>
      <w:r w:rsidR="000D33EB" w:rsidRPr="00AC2C72">
        <w:t xml:space="preserve">have </w:t>
      </w:r>
      <w:r w:rsidR="00F54D8B" w:rsidRPr="00AC2C72">
        <w:t>endeavour</w:t>
      </w:r>
      <w:r w:rsidR="000D33EB" w:rsidRPr="00AC2C72">
        <w:t>ed</w:t>
      </w:r>
      <w:r w:rsidR="00F54D8B" w:rsidRPr="00AC2C72">
        <w:t xml:space="preserve"> to produce a model that can be used in future if and when better evidence and data becomes available. </w:t>
      </w:r>
      <w:r w:rsidR="000D33EB" w:rsidRPr="00AC2C72">
        <w:t xml:space="preserve">When </w:t>
      </w:r>
      <w:r w:rsidR="00F54D8B" w:rsidRPr="00AC2C72">
        <w:t xml:space="preserve">there </w:t>
      </w:r>
      <w:r w:rsidR="000D33EB" w:rsidRPr="00AC2C72">
        <w:t>was</w:t>
      </w:r>
      <w:r w:rsidR="00F54D8B" w:rsidRPr="00AC2C72">
        <w:t xml:space="preserve"> a lack of data on cost and effectiveness of targeted interv</w:t>
      </w:r>
      <w:r w:rsidR="000D33EB" w:rsidRPr="00AC2C72">
        <w:t xml:space="preserve">entions to prevent drug </w:t>
      </w:r>
      <w:r w:rsidR="00DC7FEC">
        <w:t>mis</w:t>
      </w:r>
      <w:r w:rsidR="000D33EB" w:rsidRPr="00AC2C72">
        <w:t xml:space="preserve">use, we </w:t>
      </w:r>
      <w:r w:rsidR="00F54D8B" w:rsidRPr="00AC2C72">
        <w:t>use</w:t>
      </w:r>
      <w:r w:rsidR="000D33EB" w:rsidRPr="00AC2C72">
        <w:t>d</w:t>
      </w:r>
      <w:r w:rsidR="00F54D8B" w:rsidRPr="00AC2C72">
        <w:t xml:space="preserve"> a combination of sources to populate the model.</w:t>
      </w:r>
    </w:p>
    <w:p w14:paraId="4146D885" w14:textId="7BDDB6CF" w:rsidR="00BE6B23" w:rsidRPr="00D21C25" w:rsidRDefault="00BE6B23" w:rsidP="00107D89">
      <w:pPr>
        <w:pStyle w:val="Heading3"/>
      </w:pPr>
      <w:bookmarkStart w:id="21" w:name="_Toc452035632"/>
      <w:r w:rsidRPr="00D21C25">
        <w:t>4.4 Population at risk</w:t>
      </w:r>
      <w:bookmarkEnd w:id="21"/>
      <w:r w:rsidRPr="00D21C25">
        <w:t xml:space="preserve"> </w:t>
      </w:r>
    </w:p>
    <w:p w14:paraId="6729D3BA" w14:textId="77777777" w:rsidR="0011339F" w:rsidRPr="00AC2C72" w:rsidRDefault="0011339F" w:rsidP="00107D89"/>
    <w:p w14:paraId="4AAC8520" w14:textId="03BB0AD4" w:rsidR="0011339F" w:rsidRPr="00AC2C72" w:rsidRDefault="0011339F" w:rsidP="00AC19CA">
      <w:r w:rsidRPr="00AC2C72">
        <w:t xml:space="preserve">Understanding how many people </w:t>
      </w:r>
      <w:r w:rsidR="00EE78A1">
        <w:t xml:space="preserve">there </w:t>
      </w:r>
      <w:r w:rsidRPr="00AC2C72">
        <w:t>are in each vulnerable group and what the pattern of drug use is useful for understanding the scale of the opportunity and the optimum size for preventative interventions. For each vulnerable group, data was sought for how many people in the UK were in each group in a year, what the prevalence of drug use was, and any data on the cross over with other groups. This was done in a non-systematic way, mainly with Google searches and searching grey literature, with national surveys or ONS being seen as the best source, and then data from charities and other policy organisations after that. We were aware that charities may be very close to their chosen area so may be subject to more unconscious biases in interpreting data and overstating the size of a problem. Estimates from outside of the UK were not used, although estimates from within the UK were used if whole UK estimates were not available, for instance the Crime Survey for England and Wales (CSEW) was used for several estimates.</w:t>
      </w:r>
    </w:p>
    <w:p w14:paraId="577BEE72" w14:textId="77777777" w:rsidR="0011339F" w:rsidRPr="00AC2C72" w:rsidRDefault="0011339F" w:rsidP="00AC19CA"/>
    <w:p w14:paraId="5FA01025" w14:textId="7CFF1883" w:rsidR="00F07FD9" w:rsidRPr="00F07FD9" w:rsidRDefault="0011339F" w:rsidP="005D184B">
      <w:pPr>
        <w:rPr>
          <w:rFonts w:asciiTheme="majorHAnsi" w:eastAsia="Times New Roman" w:hAnsiTheme="majorHAnsi"/>
        </w:rPr>
      </w:pPr>
      <w:r w:rsidRPr="00AC2C72">
        <w:t xml:space="preserve">A lot of the evidence for drug </w:t>
      </w:r>
      <w:r w:rsidR="00DC7FEC">
        <w:t>mis</w:t>
      </w:r>
      <w:r w:rsidRPr="00AC2C72">
        <w:t>use in particular groups was over ten years old so should be interpreted with caution. We were not able to obtain many estimates of the cross over between different groups, but it is likely that there is a lot of cross over between certain groups such as homeless people, people with mental health problems, and commercial sex workers.</w:t>
      </w:r>
      <w:r w:rsidR="00F07FD9">
        <w:t xml:space="preserve"> The “Hard Edges” Report (Bramley et al., 2015) aimed to estimate the overlap between severe and multiple disadvantage domains of substance use, homelessness and offending in England (</w:t>
      </w:r>
      <w:r w:rsidR="00F07FD9">
        <w:fldChar w:fldCharType="begin"/>
      </w:r>
      <w:r w:rsidR="00F07FD9">
        <w:instrText xml:space="preserve"> REF _Ref448268643 \h </w:instrText>
      </w:r>
      <w:r w:rsidR="00940B3D">
        <w:instrText xml:space="preserve"> \* MERGEFORMAT </w:instrText>
      </w:r>
      <w:r w:rsidR="00F07FD9">
        <w:fldChar w:fldCharType="separate"/>
      </w:r>
      <w:r w:rsidR="0087365D">
        <w:t xml:space="preserve">Figure </w:t>
      </w:r>
      <w:r w:rsidR="0087365D">
        <w:rPr>
          <w:noProof/>
        </w:rPr>
        <w:t>1</w:t>
      </w:r>
      <w:r w:rsidR="00F07FD9">
        <w:fldChar w:fldCharType="end"/>
      </w:r>
      <w:r w:rsidR="00F07FD9">
        <w:t>).</w:t>
      </w:r>
    </w:p>
    <w:p w14:paraId="1A983FD9" w14:textId="77777777" w:rsidR="00F07FD9" w:rsidRPr="00F07FD9" w:rsidRDefault="00F07FD9" w:rsidP="005D184B"/>
    <w:p w14:paraId="29F143BC" w14:textId="73529202" w:rsidR="00F07FD9" w:rsidRDefault="00F07FD9" w:rsidP="00023D29">
      <w:pPr>
        <w:pStyle w:val="Caption"/>
      </w:pPr>
      <w:bookmarkStart w:id="22" w:name="_Ref448268643"/>
      <w:r>
        <w:lastRenderedPageBreak/>
        <w:t xml:space="preserve">Figure </w:t>
      </w:r>
      <w:fldSimple w:instr=" SEQ Figure \* ARABIC ">
        <w:r w:rsidR="0087365D">
          <w:rPr>
            <w:noProof/>
          </w:rPr>
          <w:t>1</w:t>
        </w:r>
      </w:fldSimple>
      <w:bookmarkEnd w:id="22"/>
      <w:r>
        <w:t xml:space="preserve">. Overlap of severe and multiple </w:t>
      </w:r>
      <w:r w:rsidR="00EF691E">
        <w:t>disadvantage</w:t>
      </w:r>
      <w:r>
        <w:t xml:space="preserve"> domains in England 2010/11, from Bramley et al. (2015)</w:t>
      </w:r>
    </w:p>
    <w:p w14:paraId="6026B298" w14:textId="5AA0FAC5" w:rsidR="00F07FD9" w:rsidRPr="00F07FD9" w:rsidRDefault="00F07FD9" w:rsidP="00783AD3">
      <w:r w:rsidRPr="00F07FD9">
        <w:rPr>
          <w:noProof/>
        </w:rPr>
        <w:drawing>
          <wp:inline distT="0" distB="0" distL="0" distR="0" wp14:anchorId="7485A1BB" wp14:editId="448C6F92">
            <wp:extent cx="4533900" cy="2705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33900" cy="2705100"/>
                    </a:xfrm>
                    <a:prstGeom prst="rect">
                      <a:avLst/>
                    </a:prstGeom>
                    <a:noFill/>
                    <a:ln>
                      <a:noFill/>
                    </a:ln>
                  </pic:spPr>
                </pic:pic>
              </a:graphicData>
            </a:graphic>
          </wp:inline>
        </w:drawing>
      </w:r>
    </w:p>
    <w:p w14:paraId="106DFA8D" w14:textId="77777777" w:rsidR="0011339F" w:rsidRPr="00D21C25" w:rsidRDefault="0011339F" w:rsidP="00783AD3">
      <w:pPr>
        <w:pStyle w:val="Heading4"/>
      </w:pPr>
      <w:r w:rsidRPr="00D21C25">
        <w:t>Group 1. People with mental health problems</w:t>
      </w:r>
    </w:p>
    <w:p w14:paraId="6631AFB0" w14:textId="77777777" w:rsidR="0011339F" w:rsidRPr="00AC2C72" w:rsidRDefault="0011339F" w:rsidP="00783AD3"/>
    <w:p w14:paraId="1B2DE32F" w14:textId="4613F43C" w:rsidR="0011339F" w:rsidRDefault="0011339F" w:rsidP="00783AD3">
      <w:r w:rsidRPr="00AC2C72">
        <w:t>It is estimated that there are around 6 million people aged 16+ in England with a common mental health disorder</w:t>
      </w:r>
      <w:r w:rsidR="00274372" w:rsidRPr="00AC2C72">
        <w:t xml:space="preserve"> </w:t>
      </w:r>
      <w:r w:rsidR="00274372" w:rsidRPr="00AC2C72">
        <w:fldChar w:fldCharType="begin" w:fldLock="1"/>
      </w:r>
      <w:r w:rsidR="00274372" w:rsidRPr="00AC2C72">
        <w:instrText>ADDIN CSL_CITATION { "citationItems" : [ { "id" : "ITEM-1", "itemData" : { "author" : [ { "dropping-particle" : "", "family" : "IAPT", "given" : "", "non-dropping-particle" : "", "parse-names" : false, "suffix" : "" } ], "id" : "ITEM-1", "issue" : "February 2015", "issued" : { "date-parts" : [ [ "2015" ] ] }, "title" : "Estimate of prevalence of Common Mental Disorders at CCG level", "type" : "report" }, "uris" : [ "http://www.mendeley.com/documents/?uuid=3ba53475-0949-46bd-8f47-904a0259d98b" ] } ], "mendeley" : { "formattedCitation" : "(IAPT 2015)", "plainTextFormattedCitation" : "(IAPT 2015)", "previouslyFormattedCitation" : "(IAPT 2015)" }, "properties" : { "noteIndex" : 0 }, "schema" : "https://github.com/citation-style-language/schema/raw/master/csl-citation.json" }</w:instrText>
      </w:r>
      <w:r w:rsidR="00274372" w:rsidRPr="00AC2C72">
        <w:fldChar w:fldCharType="separate"/>
      </w:r>
      <w:r w:rsidR="00274372" w:rsidRPr="00AC2C72">
        <w:rPr>
          <w:noProof/>
        </w:rPr>
        <w:t>(IAPT 2015)</w:t>
      </w:r>
      <w:r w:rsidR="00274372" w:rsidRPr="00AC2C72">
        <w:fldChar w:fldCharType="end"/>
      </w:r>
      <w:r w:rsidRPr="00AC2C72">
        <w:t>. The England Adult Psy</w:t>
      </w:r>
      <w:r w:rsidR="00274372" w:rsidRPr="00AC2C72">
        <w:t xml:space="preserve">chiatric Morbidity Survey 2007 </w:t>
      </w:r>
      <w:r w:rsidR="00274372" w:rsidRPr="00AC2C72">
        <w:fldChar w:fldCharType="begin" w:fldLock="1"/>
      </w:r>
      <w:r w:rsidR="00410410" w:rsidRPr="00AC2C72">
        <w:instrText>ADDIN CSL_CITATION { "citationItems" : [ { "id" : "ITEM-1", "itemData" : { "ISBN" : "9781904599944", "abstract" : "The survey reported here is the third general population survey of adults and examines trends over the last 15 years. It is innovative in that it has added newquestions on eating disorder, attention deficient hyperactivity disorder, posttraumatic stress disorder and problemgambling: a proactive response to themental health issues of our time. Again, this proves the ability of The NHS Information Centre to provide appropriate information befitting of national concerns to improve care received and the targeting of resources effectively.", "author" : [ { "dropping-particle" : "", "family" : "McManus", "given" : "Sally", "non-dropping-particle" : "", "parse-names" : false, "suffix" : "" }, { "dropping-particle" : "", "family" : "Meltzer", "given" : "Howard", "non-dropping-particle" : "", "parse-names" : false, "suffix" : "" }, { "dropping-particle" : "", "family" : "Brugha", "given" : "Ts Traolach", "non-dropping-particle" : "", "parse-names" : false, "suffix" : "" }, { "dropping-particle" : "", "family" : "Bebbington", "given" : "Pe Paul", "non-dropping-particle" : "", "parse-names" : false, "suffix" : "" }, { "dropping-particle" : "", "family" : "Jenkins", "given" : "Rachel", "non-dropping-particle" : "", "parse-names" : false, "suffix" : "" } ], "container-title" : "The Health and Social Care Information Centre, Social Care Statistics.", "id" : "ITEM-1", "issued" : { "date-parts" : [ [ "2009" ] ] }, "number-of-pages" : "1-274", "title" : "Adult psychiatric morbidity in England, 2007: Results of a household survey", "type" : "report" }, "uris" : [ "http://www.mendeley.com/documents/?uuid=9a782850-e6f4-4972-9eb1-31c979a35259" ] } ], "mendeley" : { "formattedCitation" : "(McManus et al. 2009)", "plainTextFormattedCitation" : "(McManus et al. 2009)", "previouslyFormattedCitation" : "(McManus et al. 2009)" }, "properties" : { "noteIndex" : 0 }, "schema" : "https://github.com/citation-style-language/schema/raw/master/csl-citation.json" }</w:instrText>
      </w:r>
      <w:r w:rsidR="00274372" w:rsidRPr="00AC2C72">
        <w:fldChar w:fldCharType="separate"/>
      </w:r>
      <w:r w:rsidR="00274372" w:rsidRPr="00AC2C72">
        <w:rPr>
          <w:noProof/>
        </w:rPr>
        <w:t>(McManus et al. 2009)</w:t>
      </w:r>
      <w:r w:rsidR="00274372" w:rsidRPr="00AC2C72">
        <w:fldChar w:fldCharType="end"/>
      </w:r>
      <w:r w:rsidRPr="00AC2C72">
        <w:t xml:space="preserve"> estimates that around 36% of people with a mental health problem in the last year used drugs in the last year, which would be around 2.2million people, the majority of whom would be cannabis users. The relationship between drug </w:t>
      </w:r>
      <w:r w:rsidR="00DC7FEC">
        <w:t>mis</w:t>
      </w:r>
      <w:r w:rsidRPr="00AC2C72">
        <w:t>use and mental health problems is likely to be complex and it may be that those individuals with the most severe mental health problems are also likely to be most vulnerable to drug problems</w:t>
      </w:r>
      <w:r w:rsidR="00940B3D">
        <w:t xml:space="preserve">. </w:t>
      </w:r>
      <w:r w:rsidRPr="00AC2C72">
        <w:t>The Adult Psychiatric Morbidity Survey is being repeated from 2014-16 with results expected in 2017</w:t>
      </w:r>
      <w:r w:rsidR="00940B3D">
        <w:t xml:space="preserve">. </w:t>
      </w:r>
    </w:p>
    <w:p w14:paraId="3E7B36AA" w14:textId="77777777" w:rsidR="000975B3" w:rsidRPr="00AC2C72" w:rsidRDefault="000975B3" w:rsidP="00783AD3"/>
    <w:p w14:paraId="4A71394C" w14:textId="77777777" w:rsidR="0011339F" w:rsidRPr="00D21C25" w:rsidRDefault="0011339F" w:rsidP="00783AD3">
      <w:pPr>
        <w:pStyle w:val="Heading4"/>
      </w:pPr>
      <w:r w:rsidRPr="00D21C25">
        <w:t>Group 2. People involved in commercial sex work or are being sexually exploited</w:t>
      </w:r>
    </w:p>
    <w:p w14:paraId="74AFED6D" w14:textId="77777777" w:rsidR="0011339F" w:rsidRPr="00AC2C72" w:rsidRDefault="0011339F" w:rsidP="00783AD3"/>
    <w:p w14:paraId="1C34601E" w14:textId="573D3BFA" w:rsidR="0011339F" w:rsidRDefault="0011339F" w:rsidP="00783AD3">
      <w:r w:rsidRPr="00AC2C72">
        <w:t xml:space="preserve">There are several different definitions of commercial sex work. Drug </w:t>
      </w:r>
      <w:r w:rsidR="00DC7FEC">
        <w:t>mis</w:t>
      </w:r>
      <w:r w:rsidRPr="00AC2C72">
        <w:t xml:space="preserve">use is likely to be concentrated in those people who are most vulnerable, for instance on-street sex workers </w:t>
      </w:r>
      <w:r w:rsidR="00410410" w:rsidRPr="00AC2C72">
        <w:fldChar w:fldCharType="begin" w:fldLock="1"/>
      </w:r>
      <w:r w:rsidR="00950BD2" w:rsidRPr="00AC2C72">
        <w:instrText>ADDIN CSL_CITATION { "citationItems" : [ { "id" : "ITEM-1", "itemData" : { "DOI" : "10.1136/sti.2008.030841", "ISBN" : "1368-4973", "ISSN" : "1472-3263", "PMID" : "18596067", "abstract" : "OBJECTIVES: To obtain a detailed understanding of the lives of street-based commercial sex workers (SSWs) and how factors in their lives interrelate to affect their health. METHODS: In-depth interviews with 22 SSW working in Bristol, England. RESULTS: The SSWs described their working day as a continuous cycle of selling sex, buying and using drugs, then returning to work. They explained that they placed themselves at risk of sexually transmitted infections, rape, physical assault, verbal abuse and murder when selling sex and physical violence when buying drugs. Most of the women injected drugs and detailed how this behaviour had resulted in life-threatening illnesses, including deep vein thromboses, pulmonary emboli and abscesses. Some interviewees gave accounts of sleeping in crack houses, on friends' floors or car parks, and most participants mentioned that they did not eat, drink or sleep regularly. This self-neglect led to weight loss and physical and mental ill-health. Respondents described pressures that forced them back out to work, such as unstable accommodation, separation from children and other individuals taking their drugs or money. CONCLUSIONS: SSWs are trapped in a cycle of selling sex and buying and using drugs. Multiple pressures from within and outwith this cycle keep them in this situation. The multiplicity and interdependency of health problems and pressures suggest that this group are best supported with integrated multi-agency services that work flexibly across all areas of their lives. A rigid or punitive approach is likely to be counterproductive and may increase risks to the wellbeing of SSWs.", "author" : [ { "dropping-particle" : "", "family" : "Jeal", "given" : "N", "non-dropping-particle" : "", "parse-names" : false, "suffix" : "" }, { "dropping-particle" : "", "family" : "Salisbury", "given" : "C", "non-dropping-particle" : "", "parse-names" : false, "suffix" : "" }, { "dropping-particle" : "", "family" : "Turner", "given" : "K", "non-dropping-particle" : "", "parse-names" : false, "suffix" : "" } ], "container-title" : "Sexually transmitted infections", "id" : "ITEM-1", "issue" : "5", "issued" : { "date-parts" : [ [ "2008" ] ] }, "page" : "381-5", "title" : "The multiplicity and interdependency of factors influencing the health of street-based sex workers: a qualitative study.", "type" : "article-journal", "volume" : "84" }, "uris" : [ "http://www.mendeley.com/documents/?uuid=0a344c99-1016-4238-8f1a-3628168640e2" ] } ], "mendeley" : { "formattedCitation" : "(Jeal et al. 2008)", "plainTextFormattedCitation" : "(Jeal et al. 2008)", "previouslyFormattedCitation" : "(Jeal et al. 2008)" }, "properties" : { "noteIndex" : 0 }, "schema" : "https://github.com/citation-style-language/schema/raw/master/csl-citation.json" }</w:instrText>
      </w:r>
      <w:r w:rsidR="00410410" w:rsidRPr="00AC2C72">
        <w:fldChar w:fldCharType="separate"/>
      </w:r>
      <w:r w:rsidR="00410410" w:rsidRPr="00AC2C72">
        <w:rPr>
          <w:noProof/>
        </w:rPr>
        <w:t>(Jeal et al. 2008)</w:t>
      </w:r>
      <w:r w:rsidR="00410410" w:rsidRPr="00AC2C72">
        <w:fldChar w:fldCharType="end"/>
      </w:r>
      <w:r w:rsidRPr="00AC2C72">
        <w:t>. It is estimated that there are between 50,000 and 80,000 commercial sex workers in the UK, 85</w:t>
      </w:r>
      <w:r w:rsidR="00AE5F74" w:rsidRPr="00AC2C72">
        <w:t xml:space="preserve">-90 per cent of whom are women </w:t>
      </w:r>
      <w:r w:rsidR="00AE5F74" w:rsidRPr="00AC2C72">
        <w:fldChar w:fldCharType="begin" w:fldLock="1"/>
      </w:r>
      <w:r w:rsidR="00AE5F74" w:rsidRPr="00AC2C72">
        <w:instrText>ADDIN CSL_CITATION { "citationItems" : [ { "id" : "ITEM-1", "itemData" : { "author" : [ { "dropping-particle" : "", "family" : "Balfour", "given" : "Reuben", "non-dropping-particle" : "", "parse-names" : false, "suffix" : "" }, { "dropping-particle" : "", "family" : "Allen", "given" : "Jessica", "non-dropping-particle" : "", "parse-names" : false, "suffix" : "" } ], "id" : "ITEM-1", "issue" : "April", "issued" : { "date-parts" : [ [ "2014" ] ] }, "number-of-pages" : "1-23", "title" : "A Review of the Literature on Sex Workers and Social Exclusion.", "type" : "report" }, "uris" : [ "http://www.mendeley.com/documents/?uuid=1002140d-6d42-4ffa-82b7-acd203c44a51" ] } ], "mendeley" : { "formattedCitation" : "(Balfour &amp; Allen 2014)", "plainTextFormattedCitation" : "(Balfour &amp; Allen 2014)", "previouslyFormattedCitation" : "(Balfour &amp; Allen 2014)" }, "properties" : { "noteIndex" : 0 }, "schema" : "https://github.com/citation-style-language/schema/raw/master/csl-citation.json" }</w:instrText>
      </w:r>
      <w:r w:rsidR="00AE5F74" w:rsidRPr="00AC2C72">
        <w:fldChar w:fldCharType="separate"/>
      </w:r>
      <w:r w:rsidR="00AE5F74" w:rsidRPr="00AC2C72">
        <w:rPr>
          <w:noProof/>
        </w:rPr>
        <w:t>(Balfour &amp; Allen 2014)</w:t>
      </w:r>
      <w:r w:rsidR="00AE5F74" w:rsidRPr="00AC2C72">
        <w:fldChar w:fldCharType="end"/>
      </w:r>
      <w:r w:rsidRPr="00AC2C72">
        <w:t xml:space="preserve">. For female street sex workers it has been estimated that 95% are drug users. Drugs can be used as a means to control people in order to sexually exploit them, as well as a way of trying to cope with the stress of being a sex worker. </w:t>
      </w:r>
    </w:p>
    <w:p w14:paraId="073CB1BC" w14:textId="77777777" w:rsidR="000975B3" w:rsidRPr="00AC2C72" w:rsidRDefault="000975B3" w:rsidP="00783AD3"/>
    <w:p w14:paraId="20581992" w14:textId="77777777" w:rsidR="0011339F" w:rsidRPr="00D21C25" w:rsidRDefault="0011339F" w:rsidP="00783AD3">
      <w:pPr>
        <w:pStyle w:val="Heading4"/>
      </w:pPr>
      <w:r w:rsidRPr="00D21C25">
        <w:t>Group 3. People who are lesbian, gay, bisexual or transgender</w:t>
      </w:r>
    </w:p>
    <w:p w14:paraId="6ED9B221" w14:textId="77777777" w:rsidR="0011339F" w:rsidRPr="00AC2C72" w:rsidRDefault="0011339F" w:rsidP="00783AD3"/>
    <w:p w14:paraId="30938FC1" w14:textId="77777777" w:rsidR="0011339F" w:rsidRPr="00AC2C72" w:rsidRDefault="0011339F" w:rsidP="00055095">
      <w:r w:rsidRPr="00AC2C72">
        <w:t xml:space="preserve">It is estimated that there are between around 65,000 and 300,000 transgender people in the UK (ONS, 2009). The ONS Integrated Household Survey (IHS) </w:t>
      </w:r>
      <w:r w:rsidRPr="00AC2C72">
        <w:lastRenderedPageBreak/>
        <w:t xml:space="preserve">includes a question on sexual identity. This may be different to sexual orientation as it is based on how individuals identify themselves rather than their behaviour or who they are attracted to. Based on IHS data, 1.2% of adults in the UK identified as gay or lesbian, and 0.5% as bisexual. In total this would equate to around 860,000 adults in the UK being gay, lesbian or bisexual. This may be an underestimate. </w:t>
      </w:r>
    </w:p>
    <w:p w14:paraId="27FEAB04" w14:textId="77777777" w:rsidR="0011339F" w:rsidRPr="00AC2C72" w:rsidRDefault="0011339F" w:rsidP="00055095"/>
    <w:p w14:paraId="6FF3925D" w14:textId="7C14F629" w:rsidR="0011339F" w:rsidRPr="00AC2C72" w:rsidRDefault="0011339F" w:rsidP="00055095">
      <w:r w:rsidRPr="00AC2C72">
        <w:t xml:space="preserve">In a survey of lesbian, gay and bisexual people by </w:t>
      </w:r>
      <w:r w:rsidR="00EE7919" w:rsidRPr="00AC2C72">
        <w:fldChar w:fldCharType="begin" w:fldLock="1"/>
      </w:r>
      <w:r w:rsidR="003E6E42">
        <w:instrText>ADDIN CSL_CITATION { "citationItems" : [ { "id" : "ITEM-1", "itemData" : { "author" : [ { "dropping-particle" : "", "family" : "Buffin", "given" : "J", "non-dropping-particle" : "", "parse-names" : false, "suffix" : "" }, { "dropping-particle" : "", "family" : "Roy", "given" : "A", "non-dropping-particle" : "", "parse-names" : false, "suffix" : "" }, { "dropping-particle" : "", "family" : "Williams", "given" : "H", "non-dropping-particle" : "", "parse-names" : false, "suffix" : "" }, { "dropping-particle" : "", "family" : "Winter", "given" : "A", "non-dropping-particle" : "", "parse-names" : false, "suffix" : "" } ], "id" : "ITEM-1", "issued" : { "date-parts" : [ [ "2012" ] ] }, "title" : "Part of the Picture: Lesbian, gay, and bisexual people's alcohol and drug use in England (2009\u20132011).", "type" : "report" }, "uris" : [ "http://www.mendeley.com/documents/?uuid=f4239c9b-b84e-4c08-ae15-e12a4e681932" ] } ], "mendeley" : { "formattedCitation" : "(Buffin et al. 2012)", "manualFormatting" : "Buffin (2012)", "plainTextFormattedCitation" : "(Buffin et al. 2012)", "previouslyFormattedCitation" : "(Buffin et al. 2012)" }, "properties" : { "noteIndex" : 0 }, "schema" : "https://github.com/citation-style-language/schema/raw/master/csl-citation.json" }</w:instrText>
      </w:r>
      <w:r w:rsidR="00EE7919" w:rsidRPr="00AC2C72">
        <w:fldChar w:fldCharType="separate"/>
      </w:r>
      <w:r w:rsidR="00A94617" w:rsidRPr="00AC2C72">
        <w:rPr>
          <w:noProof/>
        </w:rPr>
        <w:t>Buffin (2012)</w:t>
      </w:r>
      <w:r w:rsidR="00EE7919" w:rsidRPr="00AC2C72">
        <w:fldChar w:fldCharType="end"/>
      </w:r>
      <w:r w:rsidRPr="00AC2C72">
        <w:t xml:space="preserve">, </w:t>
      </w:r>
      <w:r w:rsidRPr="00D21C25">
        <w:t xml:space="preserve">35% of respondents had used at least one drug in the last month. </w:t>
      </w:r>
      <w:r w:rsidRPr="00AC2C72">
        <w:t>In this sample, current (last month) use of all substances, apart from cannabis, was higher for males than for females. While females were equally as likely to have used cannabis in the last month (20% for each), males were four times more likely to have used amyl nitrate (“poppers”) (29% compared to 7%), three and a half times more likely to use ketamine (7% compared to 2%), nearly twice as likely to use cocaine powder (10% compared to 6%), ecstasy (9% compared to 5%) and amphetamines (5% compared to 3%) and one a half times more likely to have used non-prescribed benzodiazepines (3% compared to 2%). GHB was almost exclusively used by males. Signs of dependence were highest for users of alcohol (16%), ketamine (13%) and cannabis (8%) (</w:t>
      </w:r>
      <w:r w:rsidR="00A35AE1">
        <w:fldChar w:fldCharType="begin"/>
      </w:r>
      <w:r w:rsidR="00A35AE1">
        <w:instrText xml:space="preserve"> REF _Ref434997203 \h </w:instrText>
      </w:r>
      <w:r w:rsidR="00940B3D">
        <w:instrText xml:space="preserve"> \* MERGEFORMAT </w:instrText>
      </w:r>
      <w:r w:rsidR="00A35AE1">
        <w:fldChar w:fldCharType="separate"/>
      </w:r>
      <w:r w:rsidR="0087365D" w:rsidRPr="00AC2C72">
        <w:t xml:space="preserve">Table </w:t>
      </w:r>
      <w:r w:rsidR="0087365D">
        <w:rPr>
          <w:noProof/>
        </w:rPr>
        <w:t>1</w:t>
      </w:r>
      <w:r w:rsidR="00A35AE1">
        <w:fldChar w:fldCharType="end"/>
      </w:r>
      <w:r w:rsidRPr="00AC2C72">
        <w:t>).</w:t>
      </w:r>
    </w:p>
    <w:p w14:paraId="6E42F8C9" w14:textId="77777777" w:rsidR="0011339F" w:rsidRPr="00AC2C72" w:rsidRDefault="0011339F" w:rsidP="00055095"/>
    <w:p w14:paraId="1A4F32BB" w14:textId="1876133F" w:rsidR="0011339F" w:rsidRPr="00AC2C72" w:rsidRDefault="0011339F" w:rsidP="00055095">
      <w:pPr>
        <w:pStyle w:val="Caption"/>
      </w:pPr>
      <w:bookmarkStart w:id="23" w:name="_Ref434997203"/>
      <w:bookmarkStart w:id="24" w:name="_Ref448419263"/>
      <w:r w:rsidRPr="00AC2C72">
        <w:t xml:space="preserve">Table </w:t>
      </w:r>
      <w:fldSimple w:instr=" SEQ Table \* ARABIC ">
        <w:r w:rsidR="00D00623">
          <w:rPr>
            <w:noProof/>
          </w:rPr>
          <w:t>1</w:t>
        </w:r>
      </w:fldSimple>
      <w:bookmarkEnd w:id="23"/>
      <w:r w:rsidRPr="00AC2C72">
        <w:t>. Gay and lesbian survey respondents who use drugs, and number and proportion who showed signs of dependence. From Buffin et al (2012).</w:t>
      </w:r>
      <w:bookmarkEnd w:id="24"/>
      <w:r w:rsidRPr="00AC2C72">
        <w:t xml:space="preserve"> </w:t>
      </w:r>
    </w:p>
    <w:p w14:paraId="6B59DF36" w14:textId="1AB8C975" w:rsidR="0011339F" w:rsidRDefault="0011339F">
      <w:r w:rsidRPr="00AC2C72">
        <w:rPr>
          <w:noProof/>
        </w:rPr>
        <w:drawing>
          <wp:inline distT="0" distB="0" distL="0" distR="0" wp14:anchorId="5C306D60" wp14:editId="48E0D989">
            <wp:extent cx="3948545" cy="1682277"/>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9863" t="12226" r="8114"/>
                    <a:stretch/>
                  </pic:blipFill>
                  <pic:spPr bwMode="auto">
                    <a:xfrm>
                      <a:off x="0" y="0"/>
                      <a:ext cx="3960613" cy="1687419"/>
                    </a:xfrm>
                    <a:prstGeom prst="rect">
                      <a:avLst/>
                    </a:prstGeom>
                    <a:noFill/>
                    <a:ln>
                      <a:noFill/>
                    </a:ln>
                    <a:extLst>
                      <a:ext uri="{53640926-AAD7-44D8-BBD7-CCE9431645EC}">
                        <a14:shadowObscured xmlns:a14="http://schemas.microsoft.com/office/drawing/2010/main"/>
                      </a:ext>
                    </a:extLst>
                  </pic:spPr>
                </pic:pic>
              </a:graphicData>
            </a:graphic>
          </wp:inline>
        </w:drawing>
      </w:r>
    </w:p>
    <w:p w14:paraId="17ECE889" w14:textId="77777777" w:rsidR="000975B3" w:rsidRPr="00AC2C72" w:rsidRDefault="000975B3"/>
    <w:p w14:paraId="71D50C0E" w14:textId="77777777" w:rsidR="0011339F" w:rsidRPr="00D21C25" w:rsidRDefault="0011339F">
      <w:pPr>
        <w:pStyle w:val="Heading4"/>
      </w:pPr>
      <w:r w:rsidRPr="00D21C25">
        <w:t>Group 4. People not in employment, education or training (including children and young people who are excluded from school or are regular truants)</w:t>
      </w:r>
    </w:p>
    <w:p w14:paraId="153C7597" w14:textId="77777777" w:rsidR="0011339F" w:rsidRPr="00AC2C72" w:rsidRDefault="0011339F"/>
    <w:p w14:paraId="4B77E91D" w14:textId="1698AC17" w:rsidR="0011339F" w:rsidRPr="00AC2C72" w:rsidRDefault="0011339F">
      <w:r w:rsidRPr="00AC2C72">
        <w:t xml:space="preserve">It is estimated that 12.7% of young people aged 16-24 are NEET (not in education, employment or training) which equates to 922,000 people </w:t>
      </w:r>
      <w:r w:rsidR="00950BD2" w:rsidRPr="00AC2C72">
        <w:fldChar w:fldCharType="begin" w:fldLock="1"/>
      </w:r>
      <w:r w:rsidR="00950BD2" w:rsidRPr="00AC2C72">
        <w:instrText>ADDIN CSL_CITATION { "citationItems" : [ { "id" : "ITEM-1", "itemData" : { "author" : [ { "dropping-particle" : "", "family" : "Delebarre", "given" : "Jeanne", "non-dropping-particle" : "", "parse-names" : false, "suffix" : "" } ], "id" : "ITEM-1", "issue" : "06705", "issued" : { "date-parts" : [ [ "2015" ] ] }, "title" : "NEET: Young people not in Education, Employment or Training", "type" : "report" }, "uris" : [ "http://www.mendeley.com/documents/?uuid=45cc258c-a4fa-4b8d-9b5e-a6ac7f5f80d6" ] } ], "mendeley" : { "formattedCitation" : "(Delebarre 2015)", "plainTextFormattedCitation" : "(Delebarre 2015)", "previouslyFormattedCitation" : "(Delebarre 2015)" }, "properties" : { "noteIndex" : 0 }, "schema" : "https://github.com/citation-style-language/schema/raw/master/csl-citation.json" }</w:instrText>
      </w:r>
      <w:r w:rsidR="00950BD2" w:rsidRPr="00AC2C72">
        <w:fldChar w:fldCharType="separate"/>
      </w:r>
      <w:r w:rsidR="00950BD2" w:rsidRPr="00AC2C72">
        <w:rPr>
          <w:noProof/>
        </w:rPr>
        <w:t>(Delebarre 2015)</w:t>
      </w:r>
      <w:r w:rsidR="00950BD2" w:rsidRPr="00AC2C72">
        <w:fldChar w:fldCharType="end"/>
      </w:r>
      <w:r w:rsidRPr="00AC2C72">
        <w:t>. There is a gap in data for drug use in NEET i</w:t>
      </w:r>
      <w:r w:rsidR="006E1ED2" w:rsidRPr="00AC2C72">
        <w:t xml:space="preserve">ndividuals. There was a paper </w:t>
      </w:r>
      <w:r w:rsidR="006E1ED2" w:rsidRPr="00AC2C72">
        <w:fldChar w:fldCharType="begin" w:fldLock="1"/>
      </w:r>
      <w:r w:rsidR="006E1ED2" w:rsidRPr="00AC2C72">
        <w:instrText>ADDIN CSL_CITATION { "citationItems" : [ { "id" : "ITEM-1", "itemData" : { "abstract" : "This research will provide estimates of the life-time costs of young people not in any form of education, employment or training (NEET) between 16 and 18 years of age. It is based on estimates of the size of the NEET group at the end of 2008. It updates research published by the DfES in 2002 with significant modifications (Godfrey et al., 2002). The research undertaken had three main strands: * A review of statistical sources and academic and associated literature on NEET and its sub-groups (summarised in section 2) * Estimates of the overall lifetime cost of NEET and the assumptions and methodology on which these estimates are based (sections 3 and 4) * The case studies (section 6) and what is being claimed about the value of this strand of the research (section 5).", "author" : [ { "dropping-particle" : "", "family" : "Coles", "given" : "B", "non-dropping-particle" : "", "parse-names" : false, "suffix" : "" }, { "dropping-particle" : "", "family" : "Godfrey", "given" : "C", "non-dropping-particle" : "", "parse-names" : false, "suffix" : "" }, { "dropping-particle" : "", "family" : "Keung", "given" : "A", "non-dropping-particle" : "", "parse-names" : false, "suffix" : "" }, { "dropping-particle" : "", "family" : "Parrott", "given" : "S", "non-dropping-particle" : "", "parse-names" : false, "suffix" : "" }, { "dropping-particle" : "", "family" : "Bradshaw", "given" : "J", "non-dropping-particle" : "", "parse-names" : false, "suffix" : "" } ], "container-title" : "Research undertaken for the audit commission", "id" : "ITEM-1", "issue" : "Final Draft", "issued" : { "date-parts" : [ [ "2010" ] ] }, "number-of-pages" : "1-55", "title" : "Estimating the life-time cost of NEET: 16-18 year olds not in Education, Employment or Training", "type" : "report" }, "uris" : [ "http://www.mendeley.com/documents/?uuid=e2342462-ee42-4c9c-9839-bf13590d0067" ] } ], "mendeley" : { "formattedCitation" : "(Coles et al. 2010)", "plainTextFormattedCitation" : "(Coles et al. 2010)", "previouslyFormattedCitation" : "(Coles et al. 2010)" }, "properties" : { "noteIndex" : 0 }, "schema" : "https://github.com/citation-style-language/schema/raw/master/csl-citation.json" }</w:instrText>
      </w:r>
      <w:r w:rsidR="006E1ED2" w:rsidRPr="00AC2C72">
        <w:fldChar w:fldCharType="separate"/>
      </w:r>
      <w:r w:rsidR="006E1ED2" w:rsidRPr="00AC2C72">
        <w:rPr>
          <w:noProof/>
        </w:rPr>
        <w:t>(Coles et al. 2010)</w:t>
      </w:r>
      <w:r w:rsidR="006E1ED2" w:rsidRPr="00AC2C72">
        <w:fldChar w:fldCharType="end"/>
      </w:r>
      <w:r w:rsidR="006E1ED2" w:rsidRPr="00AC2C72">
        <w:t xml:space="preserve"> </w:t>
      </w:r>
      <w:r w:rsidRPr="00AC2C72">
        <w:t xml:space="preserve">that looked at case studies for young people who were NEET including their drug use, but did not have specific population level data on drug use in NEET young people. </w:t>
      </w:r>
    </w:p>
    <w:p w14:paraId="5236CD68" w14:textId="77777777" w:rsidR="0011339F" w:rsidRPr="00AC2C72" w:rsidRDefault="0011339F"/>
    <w:p w14:paraId="1B7300C0" w14:textId="0792C6C4" w:rsidR="0011339F" w:rsidRDefault="0011339F">
      <w:r w:rsidRPr="00AC2C72">
        <w:t xml:space="preserve">For pupils who had ever truanted or had been excluded from school, it was estimated that 10% had used one or more drug in the last month compared to 1% in pupils who had never truanted or been excluded. Class A drug use in the last year </w:t>
      </w:r>
      <w:r w:rsidRPr="00AC2C72">
        <w:lastRenderedPageBreak/>
        <w:t xml:space="preserve">was 9% for this group compared to 1% in those who had never truanted or been excluded </w:t>
      </w:r>
      <w:r w:rsidR="00323292" w:rsidRPr="00AC2C72">
        <w:fldChar w:fldCharType="begin" w:fldLock="1"/>
      </w:r>
      <w:r w:rsidR="00323292" w:rsidRPr="00AC2C72">
        <w:instrText>ADDIN CSL_CITATION { "citationItems" : [ { "id" : "ITEM-1", "itemData" : { "ISBN" : "9781846369155", "author" : [ { "dropping-particle" : "", "family" : "Fuller", "given" : "E", "non-dropping-particle" : "", "parse-names" : false, "suffix" : "" }, { "dropping-particle" : "", "family" : "Henderson", "given" : "H", "non-dropping-particle" : "", "parse-names" : false, "suffix" : "" }, { "dropping-particle" : "", "family" : "Nass", "given" : "L", "non-dropping-particle" : "", "parse-names" : false, "suffix" : "" }, { "dropping-particle" : "", "family" : "Payne", "given" : "C", "non-dropping-particle" : "", "parse-names" : false, "suffix" : "" }, { "dropping-particle" : "", "family" : "Phelps", "given" : "A", "non-dropping-particle" : "", "parse-names" : false, "suffix" : "" }, { "dropping-particle" : "", "family" : "Ryley", "given" : "A", "non-dropping-particle" : "", "parse-names" : false, "suffix" : "" } ], "id" : "ITEM-1", "issued" : { "date-parts" : [ [ "2013" ] ] }, "number-of-pages" : "1-250", "title" : "Smoking, Drinking and Drug use among young people in England in 2012", "type" : "report" }, "uris" : [ "http://www.mendeley.com/documents/?uuid=bf9be48a-fb98-4723-92a1-308dc1803c94" ] } ], "mendeley" : { "formattedCitation" : "(Fuller et al. 2013)", "manualFormatting" : "(Fuller et al. 2013, p.174)", "plainTextFormattedCitation" : "(Fuller et al. 2013)", "previouslyFormattedCitation" : "(Fuller et al. 2013)" }, "properties" : { "noteIndex" : 0 }, "schema" : "https://github.com/citation-style-language/schema/raw/master/csl-citation.json" }</w:instrText>
      </w:r>
      <w:r w:rsidR="00323292" w:rsidRPr="00AC2C72">
        <w:fldChar w:fldCharType="separate"/>
      </w:r>
      <w:r w:rsidR="00323292" w:rsidRPr="00AC2C72">
        <w:rPr>
          <w:noProof/>
        </w:rPr>
        <w:t>(Fuller et al. 2013, p.174)</w:t>
      </w:r>
      <w:r w:rsidR="00323292" w:rsidRPr="00AC2C72">
        <w:fldChar w:fldCharType="end"/>
      </w:r>
      <w:r w:rsidR="00323292" w:rsidRPr="00AC2C72">
        <w:t xml:space="preserve">. </w:t>
      </w:r>
    </w:p>
    <w:p w14:paraId="76A17BE6" w14:textId="77777777" w:rsidR="000975B3" w:rsidRPr="00AC2C72" w:rsidRDefault="000975B3">
      <w:pPr>
        <w:rPr>
          <w:b/>
          <w:bCs/>
        </w:rPr>
      </w:pPr>
    </w:p>
    <w:p w14:paraId="25F083CB" w14:textId="77777777" w:rsidR="0011339F" w:rsidRPr="00D21C25" w:rsidRDefault="0011339F">
      <w:pPr>
        <w:pStyle w:val="Heading4"/>
      </w:pPr>
      <w:r w:rsidRPr="00D21C25">
        <w:t>Group 5. Children and young people whose parents use drugs</w:t>
      </w:r>
    </w:p>
    <w:p w14:paraId="16FCC583" w14:textId="77777777" w:rsidR="0011339F" w:rsidRPr="00AC2C72" w:rsidRDefault="0011339F"/>
    <w:p w14:paraId="7A31DFFE" w14:textId="56FF6BDE" w:rsidR="0011339F" w:rsidRPr="00AC2C72" w:rsidRDefault="0083622E">
      <w:r w:rsidRPr="00AC2C72">
        <w:fldChar w:fldCharType="begin" w:fldLock="1"/>
      </w:r>
      <w:r w:rsidR="00180D69" w:rsidRPr="00AC2C72">
        <w:instrText>ADDIN CSL_CITATION { "citationItems" : [ { "id" : "ITEM-1", "itemData" : { "abstract" : "Chapter 3 The voices of children and their parents 45 Chapter 4 Surveys of specialist drug agencies, maternity units and social work services 51 Chapter 5 The legal framework and child protection arrangements 57 The Children Acts 58 Child protection arrangements 58 The current child protection system in practice 60 Chapter 6 Recent relevant developments in Government strategies, policies and programmes 63 England 64 Wales 67 Scotland 68 Chapter 7 The practicalities of protecting and supporting the children of problem drug users 71 How can services work together better? 72 Maternity services 73 Primary health care 74 Contraception and planned pregnancy 76 Early years education and schools 77 Social services: Children and family services 79 Fostering, residential care and adoption 81 Specialist drug and alcohol services 82 Specialist paediatric and child and adolescent mental health services 84 Specialist children's charities and other non-statutory organisations 85 Police 85 Courts and prisons 86 Contents", "author" : [ { "dropping-particle" : "", "family" : "ACMD (Advisory Council on the Misuse of Drugs).", "given" : "", "non-dropping-particle" : "", "parse-names" : false, "suffix" : "" } ], "id" : "ITEM-1", "issued" : { "date-parts" : [ [ "2003" ] ] }, "title" : "Hidden harm: Responding to the needs of children of problem drug users.", "type" : "report" }, "uris" : [ "http://www.mendeley.com/documents/?uuid=ca8bfdba-0c30-41e7-ba24-03e163f95cb4" ] } ], "mendeley" : { "formattedCitation" : "(ACMD (Advisory Council on the Misuse of Drugs). 2003)", "manualFormatting" : "ACMD (2003", "plainTextFormattedCitation" : "(ACMD (Advisory Council on the Misuse of Drugs). 2003)", "previouslyFormattedCitation" : "(ACMD (Advisory Council on the Misuse of Drugs). 2003)" }, "properties" : { "noteIndex" : 0 }, "schema" : "https://github.com/citation-style-language/schema/raw/master/csl-citation.json" }</w:instrText>
      </w:r>
      <w:r w:rsidRPr="00AC2C72">
        <w:fldChar w:fldCharType="separate"/>
      </w:r>
      <w:r w:rsidRPr="00AC2C72">
        <w:rPr>
          <w:noProof/>
        </w:rPr>
        <w:t>ACMD (2003</w:t>
      </w:r>
      <w:r w:rsidRPr="00AC2C72">
        <w:fldChar w:fldCharType="end"/>
      </w:r>
      <w:r w:rsidRPr="00AC2C72">
        <w:t>)</w:t>
      </w:r>
      <w:r w:rsidR="0011339F" w:rsidRPr="00AC2C72">
        <w:t xml:space="preserve"> estimated that drug users in treatment have on average one child each, and estimated 2-3% of children were children of drug users, which equated to 250,000-350,000 children. There was an update to the report in 2007 but no update to the estimated number of children of drug users </w:t>
      </w:r>
      <w:r w:rsidR="00180D69" w:rsidRPr="00AC2C72">
        <w:t>(</w:t>
      </w:r>
      <w:r w:rsidR="00180D69" w:rsidRPr="00AC2C72">
        <w:fldChar w:fldCharType="begin" w:fldLock="1"/>
      </w:r>
      <w:r w:rsidR="00180D69" w:rsidRPr="00AC2C72">
        <w:instrText>ADDIN CSL_CITATION { "citationItems" : [ { "id" : "ITEM-1", "itemData" : { "author" : [ { "dropping-particle" : "", "family" : "ACMD (Advisory Council on the Misuse of Drugs).", "given" : "", "non-dropping-particle" : "", "parse-names" : false, "suffix" : "" } ], "id" : "ITEM-1", "issue" : "February", "issued" : { "date-parts" : [ [ "2007" ] ] }, "title" : "Hidden Harm Three Years On: Realities, Challenges and Opportunities.", "type" : "report" }, "uris" : [ "http://www.mendeley.com/documents/?uuid=7f09b9c5-bc98-48f4-8501-a7740a070988" ] } ], "mendeley" : { "formattedCitation" : "(ACMD (Advisory Council on the Misuse of Drugs). 2007)", "manualFormatting" : "ACMD, 2007)", "plainTextFormattedCitation" : "(ACMD (Advisory Council on the Misuse of Drugs). 2007)", "previouslyFormattedCitation" : "(ACMD (Advisory Council on the Misuse of Drugs). 2007)" }, "properties" : { "noteIndex" : 0 }, "schema" : "https://github.com/citation-style-language/schema/raw/master/csl-citation.json" }</w:instrText>
      </w:r>
      <w:r w:rsidR="00180D69" w:rsidRPr="00AC2C72">
        <w:fldChar w:fldCharType="separate"/>
      </w:r>
      <w:r w:rsidR="00180D69" w:rsidRPr="00AC2C72">
        <w:rPr>
          <w:noProof/>
        </w:rPr>
        <w:t>ACMD, 2007)</w:t>
      </w:r>
      <w:r w:rsidR="00180D69" w:rsidRPr="00AC2C72">
        <w:fldChar w:fldCharType="end"/>
      </w:r>
      <w:r w:rsidR="0011339F" w:rsidRPr="00AC2C72">
        <w:t xml:space="preserve">. </w:t>
      </w:r>
    </w:p>
    <w:p w14:paraId="666B1652" w14:textId="77777777" w:rsidR="0011339F" w:rsidRPr="00AC2C72" w:rsidRDefault="0011339F"/>
    <w:p w14:paraId="35443C27" w14:textId="77777777" w:rsidR="0011339F" w:rsidRDefault="0011339F">
      <w:r w:rsidRPr="00AC2C72">
        <w:t>There is a gap around evidence for prevalence of drug use in children of drug users.</w:t>
      </w:r>
    </w:p>
    <w:p w14:paraId="2C1B263C" w14:textId="77777777" w:rsidR="000975B3" w:rsidRPr="00AC2C72" w:rsidRDefault="000975B3"/>
    <w:p w14:paraId="15C48162" w14:textId="77777777" w:rsidR="0011339F" w:rsidRPr="00D21C25" w:rsidRDefault="0011339F">
      <w:pPr>
        <w:pStyle w:val="Heading4"/>
      </w:pPr>
      <w:r w:rsidRPr="00D21C25">
        <w:t>Group 6. Looked after children and young people (including care leavers)</w:t>
      </w:r>
    </w:p>
    <w:p w14:paraId="2EA43E95" w14:textId="77777777" w:rsidR="0011339F" w:rsidRPr="00AC2C72" w:rsidRDefault="0011339F"/>
    <w:p w14:paraId="6E019386" w14:textId="0A02CEF5" w:rsidR="0011339F" w:rsidRPr="00AC2C72" w:rsidRDefault="0011339F">
      <w:r w:rsidRPr="00AC2C72">
        <w:t xml:space="preserve">There are an estimated 68,840 looked after young people in England, who are generally aged under 21, although in some instances local authorities have responsibilities up until the young person is 25 </w:t>
      </w:r>
      <w:r w:rsidR="00064491" w:rsidRPr="00AC2C72">
        <w:fldChar w:fldCharType="begin" w:fldLock="1"/>
      </w:r>
      <w:r w:rsidR="00CE07F6" w:rsidRPr="00AC2C72">
        <w:instrText>ADDIN CSL_CITATION { "citationItems" : [ { "id" : "ITEM-1", "itemData" : { "URL" : "https://www.gov.uk/government/statistics/children-looked-after-in-england-including-adoption--2", "author" : [ { "dropping-particle" : "", "family" : "DfE", "given" : "", "non-dropping-particle" : "", "parse-names" : false, "suffix" : "" } ], "container-title" : "Department for Education, National Statistics", "id" : "ITEM-1", "issued" : { "date-parts" : [ [ "2015" ] ] }, "title" : "Children looked after in England, including adoption", "type" : "webpage" }, "uris" : [ "http://www.mendeley.com/documents/?uuid=9ecd8e07-c75b-4cc8-8696-a9d55a1a5195" ] } ], "mendeley" : { "formattedCitation" : "(DfE 2015)", "plainTextFormattedCitation" : "(DfE 2015)", "previouslyFormattedCitation" : "(DfE 2015)" }, "properties" : { "noteIndex" : 0 }, "schema" : "https://github.com/citation-style-language/schema/raw/master/csl-citation.json" }</w:instrText>
      </w:r>
      <w:r w:rsidR="00064491" w:rsidRPr="00AC2C72">
        <w:fldChar w:fldCharType="separate"/>
      </w:r>
      <w:r w:rsidR="00064491" w:rsidRPr="00AC2C72">
        <w:rPr>
          <w:noProof/>
        </w:rPr>
        <w:t>(DfE 2015)</w:t>
      </w:r>
      <w:r w:rsidR="00064491" w:rsidRPr="00AC2C72">
        <w:fldChar w:fldCharType="end"/>
      </w:r>
      <w:r w:rsidRPr="00AC2C72">
        <w:t xml:space="preserve">. Around 10,000 children a year in England leave care (HM Government, 2013). A survey carried out in 2002 </w:t>
      </w:r>
      <w:r w:rsidR="00323292" w:rsidRPr="00AC2C72">
        <w:fldChar w:fldCharType="begin" w:fldLock="1"/>
      </w:r>
      <w:r w:rsidR="00323292" w:rsidRPr="00AC2C72">
        <w:instrText>ADDIN CSL_CITATION { "citationItems" : [ { "id" : "ITEM-1", "itemData" : { "author" : [ { "dropping-particle" : "", "family" : "Meltzer", "given" : "H", "non-dropping-particle" : "", "parse-names" : false, "suffix" : "" }, { "dropping-particle" : "", "family" : "Gatward", "given" : "R", "non-dropping-particle" : "", "parse-names" : false, "suffix" : "" }, { "dropping-particle" : "", "family" : "Corbin", "given" : "T", "non-dropping-particle" : "", "parse-names" : false, "suffix" : "" }, { "dropping-particle" : "", "family" : "Goodman", "given" : "R", "non-dropping-particle" : "", "parse-names" : false, "suffix" : "" }, { "dropping-particle" : "", "family" : "Ford", "given" : "T", "non-dropping-particle" : "", "parse-names" : false, "suffix" : "" } ], "id" : "ITEM-1", "issued" : { "date-parts" : [ [ "2003" ] ] }, "number-of-pages" : "264", "title" : "The mental health of young people looked after by local authorities in England", "type" : "report" }, "uris" : [ "http://www.mendeley.com/documents/?uuid=98368920-8e98-4ceb-aa34-8ec226f9a0b7" ] } ], "mendeley" : { "formattedCitation" : "(Meltzer et al. 2003)", "manualFormatting" : "(Meltzer et al. 2003, p.119)", "plainTextFormattedCitation" : "(Meltzer et al. 2003)", "previouslyFormattedCitation" : "(Meltzer et al. 2003)" }, "properties" : { "noteIndex" : 0 }, "schema" : "https://github.com/citation-style-language/schema/raw/master/csl-citation.json" }</w:instrText>
      </w:r>
      <w:r w:rsidR="00323292" w:rsidRPr="00AC2C72">
        <w:fldChar w:fldCharType="separate"/>
      </w:r>
      <w:r w:rsidR="00323292" w:rsidRPr="00AC2C72">
        <w:rPr>
          <w:noProof/>
        </w:rPr>
        <w:t>(Meltzer et al. 2003, p.119)</w:t>
      </w:r>
      <w:r w:rsidR="00323292" w:rsidRPr="00AC2C72">
        <w:fldChar w:fldCharType="end"/>
      </w:r>
      <w:r w:rsidRPr="00AC2C72">
        <w:t xml:space="preserve"> found that last month drug use for looked after children was 11% for cannabis, 3% for ecstasy, and 2% for amphetamine. For children in residential care, 29% had used cannabis in the last month. Children with a mental disorder were three times as likely as children with no disorder to have used cannabis in the past month (19% compared with 6%).</w:t>
      </w:r>
    </w:p>
    <w:p w14:paraId="4D855AC3" w14:textId="77777777" w:rsidR="0011339F" w:rsidRPr="00AC2C72" w:rsidRDefault="0011339F"/>
    <w:p w14:paraId="0FF7D803" w14:textId="37CCF0E2" w:rsidR="0011339F" w:rsidRPr="00AC2C72" w:rsidRDefault="0011339F">
      <w:r w:rsidRPr="00AC2C72">
        <w:t xml:space="preserve">A survey of care leavers </w:t>
      </w:r>
      <w:r w:rsidR="0018299D">
        <w:t xml:space="preserve">(see </w:t>
      </w:r>
      <w:r w:rsidR="0018299D">
        <w:fldChar w:fldCharType="begin"/>
      </w:r>
      <w:r w:rsidR="0018299D">
        <w:instrText xml:space="preserve"> REF _Ref448416023 \h </w:instrText>
      </w:r>
      <w:r w:rsidR="00940B3D">
        <w:instrText xml:space="preserve"> \* MERGEFORMAT </w:instrText>
      </w:r>
      <w:r w:rsidR="0018299D">
        <w:fldChar w:fldCharType="separate"/>
      </w:r>
      <w:r w:rsidR="0087365D" w:rsidRPr="00AC2C72">
        <w:t xml:space="preserve">Figure </w:t>
      </w:r>
      <w:r w:rsidR="0087365D">
        <w:rPr>
          <w:noProof/>
        </w:rPr>
        <w:t>2</w:t>
      </w:r>
      <w:r w:rsidR="0018299D">
        <w:fldChar w:fldCharType="end"/>
      </w:r>
      <w:r w:rsidR="0018299D">
        <w:t>)</w:t>
      </w:r>
      <w:r w:rsidRPr="00AC2C72">
        <w:t xml:space="preserve"> found that drug use was high in care leavers, with 73% having ever used cannabis, and 29% having ever used ecstasy, compared with 36% and 6% of 16-18 year olds in the British Crime Survey respectively</w:t>
      </w:r>
      <w:r w:rsidR="0018299D" w:rsidRPr="00AC2C72">
        <w:fldChar w:fldCharType="begin" w:fldLock="1"/>
      </w:r>
      <w:r w:rsidR="0018299D" w:rsidRPr="00AC2C72">
        <w:instrText>ADDIN CSL_CITATION { "citationItems" : [ { "id" : "ITEM-1", "itemData" : { "author" : [ { "dropping-particle" : "", "family" : "Ward, J., Henderson, Z., &amp; Pearson", "given" : "G.", "non-dropping-particle" : "", "parse-names" : false, "suffix" : "" } ], "id" : "ITEM-1", "issued" : { "date-parts" : [ [ "2003" ] ] }, "title" : "One problem among many: drug use among care leavers in transition to independent living.", "type" : "report" }, "uris" : [ "http://www.mendeley.com/documents/?uuid=85a697c3-320c-4fbf-98a2-ed26a745e3ad" ] } ], "mendeley" : { "formattedCitation" : "(Ward, J., Henderson, Z., &amp; Pearson 2003)", "manualFormatting" : "(Ward et al., 2003)", "plainTextFormattedCitation" : "(Ward, J., Henderson, Z., &amp; Pearson 2003)", "previouslyFormattedCitation" : "(Ward, J., Henderson, Z., &amp; Pearson 2003)" }, "properties" : { "noteIndex" : 0 }, "schema" : "https://github.com/citation-style-language/schema/raw/master/csl-citation.json" }</w:instrText>
      </w:r>
      <w:r w:rsidR="0018299D" w:rsidRPr="00AC2C72">
        <w:fldChar w:fldCharType="separate"/>
      </w:r>
      <w:r w:rsidR="0018299D" w:rsidRPr="00AC2C72">
        <w:rPr>
          <w:noProof/>
        </w:rPr>
        <w:t>(Ward et al., 2003)</w:t>
      </w:r>
      <w:r w:rsidR="0018299D" w:rsidRPr="00AC2C72">
        <w:fldChar w:fldCharType="end"/>
      </w:r>
      <w:r w:rsidRPr="00AC2C72">
        <w:t xml:space="preserve">. Care leavers were 15 times as likely to have tried heroin as 16-18 year olds respondents to the British Crime Survey. </w:t>
      </w:r>
    </w:p>
    <w:p w14:paraId="3226B785" w14:textId="77777777" w:rsidR="0011339F" w:rsidRPr="00AC2C72" w:rsidRDefault="0011339F"/>
    <w:p w14:paraId="125B2749" w14:textId="4C41DC07" w:rsidR="0011339F" w:rsidRPr="00AC2C72" w:rsidRDefault="0011339F">
      <w:r w:rsidRPr="00AC2C72">
        <w:t>These surveys are both from over twelve years ago so it may be that improvements in the care system mean that the difference in drug use between young people in care and other young people is now not the same</w:t>
      </w:r>
      <w:r w:rsidR="00940B3D">
        <w:t xml:space="preserve">. </w:t>
      </w:r>
    </w:p>
    <w:p w14:paraId="22AE9E46" w14:textId="77777777" w:rsidR="00F776A1" w:rsidRPr="00AC2C72" w:rsidRDefault="00F776A1">
      <w:pPr>
        <w:pStyle w:val="Caption"/>
      </w:pPr>
    </w:p>
    <w:p w14:paraId="4496EFF4" w14:textId="4C02BD0A" w:rsidR="0011339F" w:rsidRPr="00AC2C72" w:rsidRDefault="0011339F">
      <w:pPr>
        <w:pStyle w:val="Caption"/>
      </w:pPr>
      <w:bookmarkStart w:id="25" w:name="_Ref448416023"/>
      <w:r w:rsidRPr="00AC2C72">
        <w:t xml:space="preserve">Figure </w:t>
      </w:r>
      <w:fldSimple w:instr=" SEQ Figure \* ARABIC ">
        <w:r w:rsidR="0087365D">
          <w:rPr>
            <w:noProof/>
          </w:rPr>
          <w:t>2</w:t>
        </w:r>
      </w:fldSimple>
      <w:bookmarkEnd w:id="25"/>
      <w:r w:rsidRPr="00AC2C72">
        <w:t>. Frequency of Care Leaver Drug Use (from Ward et al., 2003).</w:t>
      </w:r>
    </w:p>
    <w:p w14:paraId="6D803FF3" w14:textId="78115058" w:rsidR="0011339F" w:rsidRPr="00AC2C72" w:rsidRDefault="0011339F">
      <w:r w:rsidRPr="00AC2C72">
        <w:rPr>
          <w:noProof/>
        </w:rPr>
        <w:drawing>
          <wp:inline distT="0" distB="0" distL="0" distR="0" wp14:anchorId="7506388E" wp14:editId="0AB48CFC">
            <wp:extent cx="5617028" cy="2458193"/>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54457" t="33040" r="9793" b="14808"/>
                    <a:stretch/>
                  </pic:blipFill>
                  <pic:spPr bwMode="auto">
                    <a:xfrm>
                      <a:off x="0" y="0"/>
                      <a:ext cx="5678796" cy="2485224"/>
                    </a:xfrm>
                    <a:prstGeom prst="rect">
                      <a:avLst/>
                    </a:prstGeom>
                    <a:ln>
                      <a:noFill/>
                    </a:ln>
                    <a:extLst>
                      <a:ext uri="{53640926-AAD7-44D8-BBD7-CCE9431645EC}">
                        <a14:shadowObscured xmlns:a14="http://schemas.microsoft.com/office/drawing/2010/main"/>
                      </a:ext>
                    </a:extLst>
                  </pic:spPr>
                </pic:pic>
              </a:graphicData>
            </a:graphic>
          </wp:inline>
        </w:drawing>
      </w:r>
    </w:p>
    <w:p w14:paraId="6C224516" w14:textId="77777777" w:rsidR="0011339F" w:rsidRPr="00AC2C72" w:rsidRDefault="0011339F"/>
    <w:p w14:paraId="79C147E9" w14:textId="77777777" w:rsidR="0011339F" w:rsidRPr="00D21C25" w:rsidRDefault="0011339F">
      <w:pPr>
        <w:pStyle w:val="Heading4"/>
      </w:pPr>
      <w:r w:rsidRPr="00D21C25">
        <w:t>Group 7. Children and young people who are in contact with young offender team but not in secure environments (prisons and young offender institutions)</w:t>
      </w:r>
    </w:p>
    <w:p w14:paraId="06F0BDA5" w14:textId="77777777" w:rsidR="0011339F" w:rsidRPr="00AC2C72" w:rsidRDefault="0011339F"/>
    <w:p w14:paraId="5CA80A21" w14:textId="21E3D17C" w:rsidR="0011339F" w:rsidRPr="00AC2C72" w:rsidRDefault="0011339F">
      <w:r w:rsidRPr="00AC2C72">
        <w:t xml:space="preserve">It is estimated that 70,000 young people in England &amp; Wales have been in contact with Youth Justice Services </w:t>
      </w:r>
      <w:r w:rsidR="00950BD2" w:rsidRPr="00AC2C72">
        <w:fldChar w:fldCharType="begin" w:fldLock="1"/>
      </w:r>
      <w:r w:rsidR="00723606">
        <w:instrText>ADDIN CSL_CITATION { "citationItems" : [ { "id" : "ITEM-1", "itemData" : { "author" : [ { "dropping-particle" : "", "family" : "Ministry of Justice", "given" : "", "non-dropping-particle" : "", "parse-names" : false, "suffix" : "" } ], "id" : "ITEM-1", "issue" : "January", "issued" : { "date-parts" : [ [ "2015" ] ] }, "title" : "Youth Justice Statistics 2013/14: England and Wales", "type" : "report" }, "uris" : [ "http://www.mendeley.com/documents/?uuid=8d032752-a1bf-4595-b418-8dcc06453dbb" ] } ], "mendeley" : { "formattedCitation" : "(Ministry of Justice 2015)", "plainTextFormattedCitation" : "(Ministry of Justice 2015)", "previouslyFormattedCitation" : "(Ministry of Justice 2015)" }, "properties" : { "noteIndex" : 0 }, "schema" : "https://github.com/citation-style-language/schema/raw/master/csl-citation.json" }</w:instrText>
      </w:r>
      <w:r w:rsidR="00950BD2" w:rsidRPr="00AC2C72">
        <w:fldChar w:fldCharType="separate"/>
      </w:r>
      <w:r w:rsidR="000A3D41" w:rsidRPr="000A3D41">
        <w:rPr>
          <w:noProof/>
        </w:rPr>
        <w:t>(Ministry of Justice 2015)</w:t>
      </w:r>
      <w:r w:rsidR="00950BD2" w:rsidRPr="00AC2C72">
        <w:fldChar w:fldCharType="end"/>
      </w:r>
      <w:r w:rsidRPr="00AC2C72">
        <w:t xml:space="preserve">. In the 2001 Youth Lifestyles Survey, based on a sample of nearly 5,000 young people aged 12-30, it was found that 77% of males and 66% of females considered serious or prolific offenders had tried drugs in their lifetime, compared with 26% of non-offenders </w:t>
      </w:r>
      <w:r w:rsidR="00064491" w:rsidRPr="00AC2C72">
        <w:fldChar w:fldCharType="begin" w:fldLock="1"/>
      </w:r>
      <w:r w:rsidR="00064491" w:rsidRPr="00AC2C72">
        <w:instrText>ADDIN CSL_CITATION { "citationItems" : [ { "id" : "ITEM-1", "itemData" : { "author" : [ { "dropping-particle" : "", "family" : "Devitt", "given" : "Kerry", "non-dropping-particle" : "", "parse-names" : false, "suffix" : "" } ], "id" : "ITEM-1", "issued" : { "date-parts" : [ [ "2011" ] ] }, "page" : "1-8", "title" : "Young adults today: substance misuse and young adults in the criminal justice system", "type" : "legislation" }, "uris" : [ "http://www.mendeley.com/documents/?uuid=24a74d8b-5b80-4ab5-8210-1cef24c97607" ] } ], "mendeley" : { "formattedCitation" : "(Devitt 2011)", "plainTextFormattedCitation" : "(Devitt 2011)", "previouslyFormattedCitation" : "(Devitt 2011)" }, "properties" : { "noteIndex" : 0 }, "schema" : "https://github.com/citation-style-language/schema/raw/master/csl-citation.json" }</w:instrText>
      </w:r>
      <w:r w:rsidR="00064491" w:rsidRPr="00AC2C72">
        <w:fldChar w:fldCharType="separate"/>
      </w:r>
      <w:r w:rsidR="00064491" w:rsidRPr="00AC2C72">
        <w:rPr>
          <w:noProof/>
        </w:rPr>
        <w:t>(Devitt 2011)</w:t>
      </w:r>
      <w:r w:rsidR="00064491" w:rsidRPr="00AC2C72">
        <w:fldChar w:fldCharType="end"/>
      </w:r>
      <w:r w:rsidRPr="00AC2C72">
        <w:t xml:space="preserve">. A study published by </w:t>
      </w:r>
      <w:r w:rsidR="00876F3B" w:rsidRPr="00AC2C72">
        <w:fldChar w:fldCharType="begin" w:fldLock="1"/>
      </w:r>
      <w:r w:rsidR="00876F3B" w:rsidRPr="00AC2C72">
        <w:instrText>ADDIN CSL_CITATION { "citationItems" : [ { "id" : "ITEM-1", "itemData" : { "author" : [ { "dropping-particle" : "", "family" : "Hammersley", "given" : "Richard", "non-dropping-particle" : "", "parse-names" : false, "suffix" : "" }, { "dropping-particle" : "", "family" : "Marsland", "given" : "Louise", "non-dropping-particle" : "", "parse-names" : false, "suffix" : "" }, { "dropping-particle" : "", "family" : "Reid", "given" : "Marie", "non-dropping-particle" : "", "parse-names" : false, "suffix" : "" } ], "id" : "ITEM-1", "issue" : "February", "issued" : { "date-parts" : [ [ "2003" ] ] }, "title" : "Substance use by young offenders: the impact of the normalisation of drug use in the early years of the 21st century.", "type" : "report" }, "uris" : [ "http://www.mendeley.com/documents/?uuid=fd531da3-85e6-4303-bc6c-cc8288f0dcb3" ] } ], "mendeley" : { "formattedCitation" : "(Hammersley et al. 2003)", "manualFormatting" : "Hammersley et al. (2003)", "plainTextFormattedCitation" : "(Hammersley et al. 2003)", "previouslyFormattedCitation" : "(Hammersley et al. 2003)" }, "properties" : { "noteIndex" : 0 }, "schema" : "https://github.com/citation-style-language/schema/raw/master/csl-citation.json" }</w:instrText>
      </w:r>
      <w:r w:rsidR="00876F3B" w:rsidRPr="00AC2C72">
        <w:fldChar w:fldCharType="separate"/>
      </w:r>
      <w:r w:rsidR="00876F3B" w:rsidRPr="00AC2C72">
        <w:rPr>
          <w:noProof/>
        </w:rPr>
        <w:t>Hammersley et al. (2003)</w:t>
      </w:r>
      <w:r w:rsidR="00876F3B" w:rsidRPr="00AC2C72">
        <w:fldChar w:fldCharType="end"/>
      </w:r>
      <w:r w:rsidRPr="00AC2C72">
        <w:t xml:space="preserve"> found that 15% of young offenders were at a high risk of drug use based on their score on the Assessment of Substance Misuse in Adolescents (ASMA) </w:t>
      </w:r>
      <w:r w:rsidR="002E45CE" w:rsidRPr="00AC2C72">
        <w:fldChar w:fldCharType="begin" w:fldLock="1"/>
      </w:r>
      <w:r w:rsidR="00575664" w:rsidRPr="00AC2C72">
        <w:instrText>ADDIN CSL_CITATION { "citationItems" : [ { "id" : "ITEM-1", "itemData" : { "author" : [ { "dropping-particle" : "", "family" : "Willner", "given" : "P.", "non-dropping-particle" : "", "parse-names" : false, "suffix" : "" } ], "container-title" : "Addiction (Abingdon, England)", "id" : "ITEM-1", "issued" : { "date-parts" : [ [ "2000" ] ] }, "page" : "1691-1698", "title" : "Further validation and development of a screening instrument for the assessment of substance misuse in adolescents.", "type" : "article-journal", "volume" : "95" }, "uris" : [ "http://www.mendeley.com/documents/?uuid=bdbe0c86-0f3e-4497-980d-6f32a38f317f" ] } ], "mendeley" : { "formattedCitation" : "(Willner 2000)", "plainTextFormattedCitation" : "(Willner 2000)", "previouslyFormattedCitation" : "(Willner 2000)" }, "properties" : { "noteIndex" : 0 }, "schema" : "https://github.com/citation-style-language/schema/raw/master/csl-citation.json" }</w:instrText>
      </w:r>
      <w:r w:rsidR="002E45CE" w:rsidRPr="00AC2C72">
        <w:fldChar w:fldCharType="separate"/>
      </w:r>
      <w:r w:rsidR="002E45CE" w:rsidRPr="00AC2C72">
        <w:rPr>
          <w:noProof/>
        </w:rPr>
        <w:t>(Willner 2000)</w:t>
      </w:r>
      <w:r w:rsidR="002E45CE" w:rsidRPr="00AC2C72">
        <w:fldChar w:fldCharType="end"/>
      </w:r>
      <w:r w:rsidRPr="00AC2C72">
        <w:t>. This study found that 86% of offenders had tried cannabis and 11% had tried heroin</w:t>
      </w:r>
      <w:r w:rsidR="0018299D">
        <w:t xml:space="preserve"> (see </w:t>
      </w:r>
      <w:r w:rsidR="0018299D">
        <w:fldChar w:fldCharType="begin"/>
      </w:r>
      <w:r w:rsidR="0018299D">
        <w:instrText xml:space="preserve"> REF _Ref448416070 \h </w:instrText>
      </w:r>
      <w:r w:rsidR="00940B3D">
        <w:instrText xml:space="preserve"> \* MERGEFORMAT </w:instrText>
      </w:r>
      <w:r w:rsidR="0018299D">
        <w:fldChar w:fldCharType="separate"/>
      </w:r>
      <w:r w:rsidR="0087365D" w:rsidRPr="00AC2C72">
        <w:t xml:space="preserve">Figure </w:t>
      </w:r>
      <w:r w:rsidR="0087365D">
        <w:rPr>
          <w:noProof/>
        </w:rPr>
        <w:t>3</w:t>
      </w:r>
      <w:r w:rsidR="0018299D">
        <w:fldChar w:fldCharType="end"/>
      </w:r>
      <w:r w:rsidR="0018299D">
        <w:t>)</w:t>
      </w:r>
      <w:r w:rsidRPr="00AC2C72">
        <w:t xml:space="preserve">. In general offenders were 2-4 times more likely to have used drugs in the past 12 months when compared to the 2001 Youth Lifestyles Survey (YLS). These data are over ten years old. </w:t>
      </w:r>
    </w:p>
    <w:p w14:paraId="35996DC1" w14:textId="77777777" w:rsidR="0011339F" w:rsidRPr="00AC2C72" w:rsidRDefault="0011339F"/>
    <w:p w14:paraId="5A144FD1" w14:textId="020CAEBF" w:rsidR="0011339F" w:rsidRPr="00AC2C72" w:rsidRDefault="0011339F"/>
    <w:p w14:paraId="5846E26F" w14:textId="30DCC81A" w:rsidR="0011339F" w:rsidRPr="00AC2C72" w:rsidRDefault="0011339F">
      <w:pPr>
        <w:pStyle w:val="Caption"/>
      </w:pPr>
      <w:bookmarkStart w:id="26" w:name="_Ref448416070"/>
      <w:r w:rsidRPr="00AC2C72">
        <w:lastRenderedPageBreak/>
        <w:t xml:space="preserve">Figure </w:t>
      </w:r>
      <w:fldSimple w:instr=" SEQ Figure \* ARABIC ">
        <w:r w:rsidR="0087365D">
          <w:rPr>
            <w:noProof/>
          </w:rPr>
          <w:t>3</w:t>
        </w:r>
      </w:fldSimple>
      <w:bookmarkEnd w:id="26"/>
      <w:r w:rsidRPr="00AC2C72">
        <w:t>. Comparison of drug use prevalence between serious youth offenders and the general youth lifestyle survey. From Hammersley et al (2003).</w:t>
      </w:r>
    </w:p>
    <w:p w14:paraId="3269B08A" w14:textId="212BE462" w:rsidR="0011339F" w:rsidRDefault="0011339F">
      <w:r w:rsidRPr="00AC2C72">
        <w:rPr>
          <w:noProof/>
        </w:rPr>
        <w:drawing>
          <wp:inline distT="0" distB="0" distL="0" distR="0" wp14:anchorId="4B915A84" wp14:editId="224A51EC">
            <wp:extent cx="5035138" cy="27059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58548" t="28967" r="4467" b="4778"/>
                    <a:stretch/>
                  </pic:blipFill>
                  <pic:spPr bwMode="auto">
                    <a:xfrm>
                      <a:off x="0" y="0"/>
                      <a:ext cx="5052153" cy="2715049"/>
                    </a:xfrm>
                    <a:prstGeom prst="rect">
                      <a:avLst/>
                    </a:prstGeom>
                    <a:ln>
                      <a:noFill/>
                    </a:ln>
                    <a:extLst>
                      <a:ext uri="{53640926-AAD7-44D8-BBD7-CCE9431645EC}">
                        <a14:shadowObscured xmlns:a14="http://schemas.microsoft.com/office/drawing/2010/main"/>
                      </a:ext>
                    </a:extLst>
                  </pic:spPr>
                </pic:pic>
              </a:graphicData>
            </a:graphic>
          </wp:inline>
        </w:drawing>
      </w:r>
    </w:p>
    <w:p w14:paraId="3A0E0B2A" w14:textId="77777777" w:rsidR="00877DE8" w:rsidRPr="00AC2C72" w:rsidRDefault="00877DE8"/>
    <w:p w14:paraId="1BA66D69" w14:textId="77777777" w:rsidR="0011339F" w:rsidRPr="00D21C25" w:rsidRDefault="0011339F">
      <w:pPr>
        <w:pStyle w:val="Heading4"/>
      </w:pPr>
      <w:r w:rsidRPr="00D21C25">
        <w:t>Group 8. People who are considered homeless</w:t>
      </w:r>
    </w:p>
    <w:p w14:paraId="5AC00F5D" w14:textId="77777777" w:rsidR="0011339F" w:rsidRPr="00AC2C72" w:rsidRDefault="0011339F"/>
    <w:p w14:paraId="0EB6AD8E" w14:textId="30260709" w:rsidR="00D475DD" w:rsidRPr="00D21C25" w:rsidRDefault="0011339F">
      <w:pPr>
        <w:rPr>
          <w:b/>
          <w:color w:val="FF0000"/>
          <w:sz w:val="28"/>
          <w:szCs w:val="28"/>
        </w:rPr>
      </w:pPr>
      <w:r w:rsidRPr="00AC2C72">
        <w:t xml:space="preserve">There are different definitions of homelessness, for instance people who are statutory homeless, rough sleepers etc. Evidence suggests that drug use is most prevalent in rough sleepers. In the UK in 2014/15, 161,490 people applied for homelessness assistance </w:t>
      </w:r>
      <w:r w:rsidR="006E1ED2" w:rsidRPr="00AC2C72">
        <w:fldChar w:fldCharType="begin" w:fldLock="1"/>
      </w:r>
      <w:r w:rsidR="00274372" w:rsidRPr="00AC2C72">
        <w:instrText>ADDIN CSL_CITATION { "citationItems" : [ { "id" : "ITEM-1", "itemData" : { "URL" : "http://www.crisis.org.uk/pages/homeless-def-numbers.html", "accessed" : { "date-parts" : [ [ "2015", "1", "1" ] ] }, "author" : [ { "dropping-particle" : "", "family" : "Crisis", "given" : "", "non-dropping-particle" : "", "parse-names" : false, "suffix" : "" } ], "id" : "ITEM-1", "issued" : { "date-parts" : [ [ "2015" ] ] }, "title" : "Definition and numbers: homeless across the UK", "type" : "webpage" }, "uris" : [ "http://www.mendeley.com/documents/?uuid=b4600578-b366-40e5-bbdb-af0235787bd9" ] } ], "mendeley" : { "formattedCitation" : "(Crisis 2015)", "plainTextFormattedCitation" : "(Crisis 2015)", "previouslyFormattedCitation" : "(Crisis 2015)" }, "properties" : { "noteIndex" : 0 }, "schema" : "https://github.com/citation-style-language/schema/raw/master/csl-citation.json" }</w:instrText>
      </w:r>
      <w:r w:rsidR="006E1ED2" w:rsidRPr="00AC2C72">
        <w:fldChar w:fldCharType="separate"/>
      </w:r>
      <w:r w:rsidR="006E1ED2" w:rsidRPr="00AC2C72">
        <w:rPr>
          <w:noProof/>
        </w:rPr>
        <w:t>(Crisis 2015)</w:t>
      </w:r>
      <w:r w:rsidR="006E1ED2" w:rsidRPr="00AC2C72">
        <w:fldChar w:fldCharType="end"/>
      </w:r>
      <w:r w:rsidRPr="00AC2C72">
        <w:t>. Governme</w:t>
      </w:r>
      <w:r w:rsidR="00064491" w:rsidRPr="00AC2C72">
        <w:t>nt statistics estimate that 2,74</w:t>
      </w:r>
      <w:r w:rsidRPr="00AC2C72">
        <w:t>4 people slept rough in England on any one night during 2014</w:t>
      </w:r>
      <w:r w:rsidR="00064491" w:rsidRPr="00AC2C72">
        <w:t xml:space="preserve"> </w:t>
      </w:r>
      <w:r w:rsidR="00064491" w:rsidRPr="00AC2C72">
        <w:fldChar w:fldCharType="begin" w:fldLock="1"/>
      </w:r>
      <w:r w:rsidR="00064491" w:rsidRPr="00AC2C72">
        <w:instrText>ADDIN CSL_CITATION { "citationItems" : [ { "id" : "ITEM-1", "itemData" : { "author" : [ { "dropping-particle" : "", "family" : "DCLG", "given" : "", "non-dropping-particle" : "", "parse-names" : false, "suffix" : "" } ], "container-title" : "Department for Communities and Local Government", "id" : "ITEM-1", "issue" : "March", "issued" : { "date-parts" : [ [ "2015" ] ] }, "title" : "Rough Sleeping Statistics England - Autumn 2014 Official Statistics", "type" : "report" }, "uris" : [ "http://www.mendeley.com/documents/?uuid=b757d098-5a6f-4e96-88b9-e169280bb94b" ] } ], "mendeley" : { "formattedCitation" : "(DCLG 2015)", "plainTextFormattedCitation" : "(DCLG 2015)", "previouslyFormattedCitation" : "(DCLG 2015)" }, "properties" : { "noteIndex" : 0 }, "schema" : "https://github.com/citation-style-language/schema/raw/master/csl-citation.json" }</w:instrText>
      </w:r>
      <w:r w:rsidR="00064491" w:rsidRPr="00AC2C72">
        <w:fldChar w:fldCharType="separate"/>
      </w:r>
      <w:r w:rsidR="00064491" w:rsidRPr="00AC2C72">
        <w:rPr>
          <w:noProof/>
        </w:rPr>
        <w:t>(DCLG 2015)</w:t>
      </w:r>
      <w:r w:rsidR="00064491" w:rsidRPr="00AC2C72">
        <w:fldChar w:fldCharType="end"/>
      </w:r>
      <w:r w:rsidRPr="00AC2C72">
        <w:t xml:space="preserve">. A report commissioned by Crisis </w:t>
      </w:r>
      <w:r w:rsidR="00CE07F6" w:rsidRPr="00AC2C72">
        <w:fldChar w:fldCharType="begin" w:fldLock="1"/>
      </w:r>
      <w:r w:rsidR="00CE07F6" w:rsidRPr="00AC2C72">
        <w:instrText>ADDIN CSL_CITATION { "citationItems" : [ { "id" : "ITEM-1", "itemData" : { "abstract" : "oorzaken, perspectieven druggebruik, combinatie, voorzieningen, legitimatie", "author" : [ { "dropping-particle" : "", "family" : "Fountain", "given" : "Jane", "non-dropping-particle" : "", "parse-names" : false, "suffix" : "" }, { "dropping-particle" : "", "family" : "Howes", "given" : "Samantha", "non-dropping-particle" : "", "parse-names" : false, "suffix" : "" } ], "container-title" : "National Addiction Centre", "id" : "ITEM-1", "issued" : { "date-parts" : [ [ "2002" ] ] }, "number-of-pages" : "1-39", "title" : "Home and dry? Homelessness and substance use", "type" : "report" }, "uris" : [ "http://www.mendeley.com/documents/?uuid=4351a074-1ea9-442c-bb82-93a9d9b86f85" ] } ], "mendeley" : { "formattedCitation" : "(Fountain &amp; Howes 2002)", "manualFormatting" : "(Fountain 2002)", "plainTextFormattedCitation" : "(Fountain &amp; Howes 2002)", "previouslyFormattedCitation" : "(Fountain &amp; Howes 2002)" }, "properties" : { "noteIndex" : 0 }, "schema" : "https://github.com/citation-style-language/schema/raw/master/csl-citation.json" }</w:instrText>
      </w:r>
      <w:r w:rsidR="00CE07F6" w:rsidRPr="00AC2C72">
        <w:fldChar w:fldCharType="separate"/>
      </w:r>
      <w:r w:rsidR="00CE07F6" w:rsidRPr="00AC2C72">
        <w:rPr>
          <w:noProof/>
        </w:rPr>
        <w:t>(Fountain 2002)</w:t>
      </w:r>
      <w:r w:rsidR="00CE07F6" w:rsidRPr="00AC2C72">
        <w:fldChar w:fldCharType="end"/>
      </w:r>
      <w:r w:rsidRPr="00AC2C72">
        <w:t xml:space="preserve"> looked at people with a history of rough sleeping in London and found that 50% of homeless people cited drug use as a reason for becoming homeless. In addition, 83% of people in the sample had used a drug in the last month, with 65% having used cannabis, 47% having used heroin and 47% having used crack cocaine. </w:t>
      </w:r>
      <w:r w:rsidR="00032DBB" w:rsidRPr="00AC2C72">
        <w:fldChar w:fldCharType="begin" w:fldLock="1"/>
      </w:r>
      <w:r w:rsidR="00032DBB" w:rsidRPr="00AC2C72">
        <w:instrText>ADDIN CSL_CITATION { "citationItems" : [ { "id" : "ITEM-1", "itemData" : { "author" : [ { "dropping-particle" : "", "family" : "Bramley", "given" : "Glen", "non-dropping-particle" : "", "parse-names" : false, "suffix" : "" }, { "dropping-particle" : "", "family" : "Fitzpatrick", "given" : "Suzanne", "non-dropping-particle" : "", "parse-names" : false, "suffix" : "" }, { "dropping-particle" : "", "family" : "Edwards", "given" : "Jenny", "non-dropping-particle" : "", "parse-names" : false, "suffix" : "" }, { "dropping-particle" : "", "family" : "Ford", "given" : "David", "non-dropping-particle" : "", "parse-names" : false, "suffix" : "" }, { "dropping-particle" : "", "family" : "Johnsen", "given" : "Sarah", "non-dropping-particle" : "", "parse-names" : false, "suffix" : "" }, { "dropping-particle" : "", "family" : "Sosenko", "given" : "Filip", "non-dropping-particle" : "", "parse-names" : false, "suffix" : "" }, { "dropping-particle" : "", "family" : "Watkins", "given" : "David", "non-dropping-particle" : "", "parse-names" : false, "suffix" : "" } ], "id" : "ITEM-1", "issued" : { "date-parts" : [ [ "2015" ] ] }, "title" : "Hard Edges: Mapping severe and multiple disadvantage", "type" : "report" }, "uris" : [ "http://www.mendeley.com/documents/?uuid=e97e1c3f-7e51-4f95-bd79-4fff1c2ed7e4" ] } ], "mendeley" : { "formattedCitation" : "(Bramley et al. 2015)", "manualFormatting" : "Bramley et al. (2015)", "plainTextFormattedCitation" : "(Bramley et al. 2015)", "previouslyFormattedCitation" : "(Bramley et al. 2015)" }, "properties" : { "noteIndex" : 0 }, "schema" : "https://github.com/citation-style-language/schema/raw/master/csl-citation.json" }</w:instrText>
      </w:r>
      <w:r w:rsidR="00032DBB" w:rsidRPr="00AC2C72">
        <w:fldChar w:fldCharType="separate"/>
      </w:r>
      <w:r w:rsidR="00032DBB" w:rsidRPr="00AC2C72">
        <w:rPr>
          <w:noProof/>
        </w:rPr>
        <w:t>Bramley et al. (2015)</w:t>
      </w:r>
      <w:r w:rsidR="00032DBB" w:rsidRPr="00AC2C72">
        <w:fldChar w:fldCharType="end"/>
      </w:r>
      <w:r w:rsidR="00B90496" w:rsidRPr="00AC2C72">
        <w:t xml:space="preserve"> estimated that a total of 92,000 homeless people in England have substance misuse issues. </w:t>
      </w:r>
      <w:r w:rsidRPr="00AC2C72">
        <w:t xml:space="preserve">There is significant overlap between prevalence of mental health problems, substance use, </w:t>
      </w:r>
      <w:r w:rsidR="00032DBB" w:rsidRPr="00AC2C72">
        <w:t xml:space="preserve">crime </w:t>
      </w:r>
      <w:r w:rsidRPr="00AC2C72">
        <w:t xml:space="preserve">and homelessness with up to three quarters of rough sleepers having mental health problems, and 10-20% having dual diagnosis; defined as certain serious mental illnesses co-existing with drug or alcohol dependence </w:t>
      </w:r>
      <w:r w:rsidR="000C3BA1" w:rsidRPr="00AC2C72">
        <w:fldChar w:fldCharType="begin" w:fldLock="1"/>
      </w:r>
      <w:r w:rsidR="00032DBB" w:rsidRPr="00AC2C72">
        <w:instrText>ADDIN CSL_CITATION { "citationItems" : [ { "id" : "ITEM-1", "itemData" : { "author" : [ { "dropping-particle" : "", "family" : "Rees", "given" : "S", "non-dropping-particle" : "", "parse-names" : false, "suffix" : "" } ], "id" : "ITEM-1", "issued" : { "date-parts" : [ [ "2009" ] ] }, "title" : "Mental ill health in the adult single homeless population: a review of the literature.", "type" : "report" }, "uris" : [ "http://www.mendeley.com/documents/?uuid=7f0f4d5c-009b-47f0-a345-a3d08ff49c3d" ] }, { "id" : "ITEM-2", "itemData" : { "author" : [ { "dropping-particle" : "", "family" : "Bramley", "given" : "Glen", "non-dropping-particle" : "", "parse-names" : false, "suffix" : "" }, { "dropping-particle" : "", "family" : "Fitzpatrick", "given" : "Suzanne", "non-dropping-particle" : "", "parse-names" : false, "suffix" : "" }, { "dropping-particle" : "", "family" : "Edwards", "given" : "Jenny", "non-dropping-particle" : "", "parse-names" : false, "suffix" : "" }, { "dropping-particle" : "", "family" : "Ford", "given" : "David", "non-dropping-particle" : "", "parse-names" : false, "suffix" : "" }, { "dropping-particle" : "", "family" : "Johnsen", "given" : "Sarah", "non-dropping-particle" : "", "parse-names" : false, "suffix" : "" }, { "dropping-particle" : "", "family" : "Sosenko", "given" : "Filip", "non-dropping-particle" : "", "parse-names" : false, "suffix" : "" }, { "dropping-particle" : "", "family" : "Watkins", "given" : "David", "non-dropping-particle" : "", "parse-names" : false, "suffix" : "" } ], "id" : "ITEM-2", "issued" : { "date-parts" : [ [ "2015" ] ] }, "title" : "Hard Edges: Mapping severe and multiple disadvantage", "type" : "report" }, "uris" : [ "http://www.mendeley.com/documents/?uuid=e97e1c3f-7e51-4f95-bd79-4fff1c2ed7e4" ] } ], "mendeley" : { "formattedCitation" : "(Rees 2009; Bramley et al. 2015)", "plainTextFormattedCitation" : "(Rees 2009; Bramley et al. 2015)", "previouslyFormattedCitation" : "(Rees 2009; Bramley et al. 2015)" }, "properties" : { "noteIndex" : 0 }, "schema" : "https://github.com/citation-style-language/schema/raw/master/csl-citation.json" }</w:instrText>
      </w:r>
      <w:r w:rsidR="000C3BA1" w:rsidRPr="00AC2C72">
        <w:fldChar w:fldCharType="separate"/>
      </w:r>
      <w:r w:rsidR="00032DBB" w:rsidRPr="00AC2C72">
        <w:rPr>
          <w:noProof/>
        </w:rPr>
        <w:t>(Rees 2009; Bramley et al. 2015)</w:t>
      </w:r>
      <w:r w:rsidR="000C3BA1" w:rsidRPr="00AC2C72">
        <w:fldChar w:fldCharType="end"/>
      </w:r>
      <w:r w:rsidRPr="00AC2C72">
        <w:t xml:space="preserve">. </w:t>
      </w:r>
    </w:p>
    <w:p w14:paraId="112CE1ED" w14:textId="77777777" w:rsidR="00D475DD" w:rsidRPr="00D21C25" w:rsidRDefault="00D475DD"/>
    <w:p w14:paraId="2B5AEEE0" w14:textId="77777777" w:rsidR="0011339F" w:rsidRPr="00D21C25" w:rsidRDefault="0011339F">
      <w:pPr>
        <w:pStyle w:val="Heading4"/>
      </w:pPr>
      <w:r w:rsidRPr="00D21C25">
        <w:t>Group 9. People who attend nightclubs and festivals</w:t>
      </w:r>
    </w:p>
    <w:p w14:paraId="5A8AD0F4" w14:textId="77777777" w:rsidR="0011339F" w:rsidRPr="00AC2C72" w:rsidRDefault="0011339F"/>
    <w:p w14:paraId="1A7F08B8" w14:textId="38B430DD" w:rsidR="0011339F" w:rsidRPr="00AC2C72" w:rsidRDefault="0011339F">
      <w:r w:rsidRPr="00AC2C72">
        <w:t xml:space="preserve">There is a gap in evidence around drug use and music festivals. There were around 2.5 million attendances at music festivals in 2012 but we could not find data on how many individuals had attended music festivals </w:t>
      </w:r>
      <w:r w:rsidR="000C3BA1" w:rsidRPr="00AC2C72">
        <w:fldChar w:fldCharType="begin" w:fldLock="1"/>
      </w:r>
      <w:r w:rsidR="00723606">
        <w:instrText>ADDIN CSL_CITATION { "citationItems" : [ { "id" : "ITEM-1", "itemData" : { "author" : [ { "dropping-particle" : "", "family" : "Visit Britain", "given" : "", "non-dropping-particle" : "", "parse-names" : false, "suffix" : "" } ], "id" : "ITEM-1", "issued" : { "date-parts" : [ [ "2013" ] ] }, "title" : "Wish you were here: Music tourism\u2019s contribution to the UK economy.", "type" : "report" }, "uris" : [ "http://www.mendeley.com/documents/?uuid=4897a9a6-ba7f-42e9-ab2e-a3fac60fb5e3" ] } ], "mendeley" : { "formattedCitation" : "(Visit Britain 2013)", "manualFormatting" : "(Visit Britain 2013)", "plainTextFormattedCitation" : "(Visit Britain 2013)", "previouslyFormattedCitation" : "(Visit Britain 2013)" }, "properties" : { "noteIndex" : 0 }, "schema" : "https://github.com/citation-style-language/schema/raw/master/csl-citation.json" }</w:instrText>
      </w:r>
      <w:r w:rsidR="000C3BA1" w:rsidRPr="00AC2C72">
        <w:fldChar w:fldCharType="separate"/>
      </w:r>
      <w:r w:rsidR="000C3BA1" w:rsidRPr="00AC2C72">
        <w:rPr>
          <w:noProof/>
        </w:rPr>
        <w:t>(Visit Britain 2013)</w:t>
      </w:r>
      <w:r w:rsidR="000C3BA1" w:rsidRPr="00AC2C72">
        <w:fldChar w:fldCharType="end"/>
      </w:r>
      <w:r w:rsidRPr="00AC2C72">
        <w:t>. There was a gap around data for drug use in individuals who attend music festivals, although there is some evidence around drug seizures from festivals.</w:t>
      </w:r>
    </w:p>
    <w:p w14:paraId="167E39C9" w14:textId="77777777" w:rsidR="0011339F" w:rsidRPr="00AC2C72" w:rsidRDefault="0011339F"/>
    <w:p w14:paraId="037B9DAE" w14:textId="3FAB65C3" w:rsidR="0011339F" w:rsidRDefault="0011339F">
      <w:r w:rsidRPr="00AC2C72">
        <w:t xml:space="preserve">In the Crime Survey for England and Wales 2013/14 </w:t>
      </w:r>
      <w:r w:rsidR="00876F3B" w:rsidRPr="00AC2C72">
        <w:fldChar w:fldCharType="begin" w:fldLock="1"/>
      </w:r>
      <w:r w:rsidR="00962964">
        <w:instrText>ADDIN CSL_CITATION { "citationItems" : [ { "id" : "ITEM-1", "itemData" : { "author" : [ { "dropping-particle" : "", "family" : "CSEW", "given" : "", "non-dropping-particle" : "", "parse-names" : false, "suffix" : "" } ], "id" : "ITEM-1", "issue" : "15 August 2014", "issued" : { "date-parts" : [ [ "2015" ] ] }, "number-of-pages" : "1-29", "title" : "Drug misuse: Findings from the 2014/15 Crime Survey for England and Wales", "type" : "report" }, "uris" : [ "http://www.mendeley.com/documents/?uuid=87318f2e-ab8c-4100-921e-cd7c64c366ea" ] } ], "mendeley" : { "formattedCitation" : "(CSEW 2015)", "plainTextFormattedCitation" : "(CSEW 2015)", "previouslyFormattedCitation" : "(CSEW 2015)" }, "properties" : { "noteIndex" : 0 }, "schema" : "https://github.com/citation-style-language/schema/raw/master/csl-citation.json" }</w:instrText>
      </w:r>
      <w:r w:rsidR="00876F3B" w:rsidRPr="00AC2C72">
        <w:fldChar w:fldCharType="separate"/>
      </w:r>
      <w:r w:rsidR="00962964" w:rsidRPr="00962964">
        <w:rPr>
          <w:noProof/>
        </w:rPr>
        <w:t>(CSEW 2015)</w:t>
      </w:r>
      <w:r w:rsidR="00876F3B" w:rsidRPr="00AC2C72">
        <w:fldChar w:fldCharType="end"/>
      </w:r>
      <w:r w:rsidRPr="00AC2C72">
        <w:t xml:space="preserve">, 13.5% of adults aged 16-59 had been to a nightclub in the last month. This has fallen from around 21% of adults in 2003/04. Use of any Class A drug in the last year was around 10 times higher among those who had visited a nightclub at least four times in the past month (19.2%) compared with those who had not visited a nightclub in the past month (1.8%). Higher levels of Class A drug use among those who were regular visitors to nightclubs was driven mainly by use of powder cocaine and ecstasy. Last year use of powder cocaine was around eight times higher among those who had visited a nightclub at least four times in the past month (12.2%) compared with those who had not visited a nightclub in the past month (1.4%). Last year use of ecstasy was around 25 times higher among those who had visited a nightclub at least four times in the past month (15.7%) compared with those who had not visited a nightclub in the past month (0.6%). People who had visited a nightclub in the last month were significantly more likely to have used an NPS (new psychoactive substance) in the last year than those who had not. Among young adults aged 16 to 24, 4.9 per cent of those who had visited a nightclub in the last month had used an NPS in the last year, compared with 1.6 per cent of those who had not. New psychoactive substance use was concentrated among 16 to 24 year olds, particularly young men. </w:t>
      </w:r>
    </w:p>
    <w:p w14:paraId="2896930E" w14:textId="77777777" w:rsidR="000975B3" w:rsidRPr="00AC2C72" w:rsidRDefault="000975B3"/>
    <w:p w14:paraId="385CBE87" w14:textId="77777777" w:rsidR="0011339F" w:rsidRPr="00D21C25" w:rsidRDefault="0011339F">
      <w:pPr>
        <w:pStyle w:val="Heading4"/>
      </w:pPr>
      <w:r w:rsidRPr="00D21C25">
        <w:t>Group 10. People who are known to use drugs occasionally / recreationally.</w:t>
      </w:r>
    </w:p>
    <w:p w14:paraId="59062239" w14:textId="77777777" w:rsidR="0011339F" w:rsidRPr="00AC2C72" w:rsidRDefault="0011339F"/>
    <w:p w14:paraId="5B5BD519" w14:textId="0675D0F2" w:rsidR="0011339F" w:rsidRPr="00AC2C72" w:rsidRDefault="0011339F">
      <w:r w:rsidRPr="00AC2C72">
        <w:t xml:space="preserve">In the Crime Survey for England and Wales 2013/14 </w:t>
      </w:r>
      <w:r w:rsidR="00876F3B" w:rsidRPr="00AC2C72">
        <w:fldChar w:fldCharType="begin" w:fldLock="1"/>
      </w:r>
      <w:r w:rsidR="00962964">
        <w:instrText>ADDIN CSL_CITATION { "citationItems" : [ { "id" : "ITEM-1", "itemData" : { "author" : [ { "dropping-particle" : "", "family" : "CSEW", "given" : "", "non-dropping-particle" : "", "parse-names" : false, "suffix" : "" } ], "id" : "ITEM-1", "issue" : "15 August 2014", "issued" : { "date-parts" : [ [ "2015" ] ] }, "number-of-pages" : "1-29", "title" : "Drug misuse: Findings from the 2014/15 Crime Survey for England and Wales", "type" : "report" }, "uris" : [ "http://www.mendeley.com/documents/?uuid=87318f2e-ab8c-4100-921e-cd7c64c366ea" ] } ], "mendeley" : { "formattedCitation" : "(CSEW 2015)", "plainTextFormattedCitation" : "(CSEW 2015)", "previouslyFormattedCitation" : "(CSEW 2015)" }, "properties" : { "noteIndex" : 0 }, "schema" : "https://github.com/citation-style-language/schema/raw/master/csl-citation.json" }</w:instrText>
      </w:r>
      <w:r w:rsidR="00876F3B" w:rsidRPr="00AC2C72">
        <w:fldChar w:fldCharType="separate"/>
      </w:r>
      <w:r w:rsidR="00962964" w:rsidRPr="00962964">
        <w:rPr>
          <w:noProof/>
        </w:rPr>
        <w:t>(CSEW 2015)</w:t>
      </w:r>
      <w:r w:rsidR="00876F3B" w:rsidRPr="00AC2C72">
        <w:fldChar w:fldCharType="end"/>
      </w:r>
      <w:r w:rsidRPr="00AC2C72">
        <w:t xml:space="preserve">, of people aged 15-59 who used drugs, 60% used drugs once a month or less frequently. When cannabis is excluded, 88% of people who used drugs used them once a month or less frequently. The survey does not measure dependence so the numbers would depend on the definition of occasional or recreational use. </w:t>
      </w:r>
    </w:p>
    <w:p w14:paraId="6D0B0B9A" w14:textId="77777777" w:rsidR="0011339F" w:rsidRPr="00AC2C72" w:rsidRDefault="0011339F"/>
    <w:p w14:paraId="5BC905E2" w14:textId="77777777" w:rsidR="0011339F" w:rsidRDefault="0011339F">
      <w:r w:rsidRPr="00AC2C72">
        <w:t xml:space="preserve">There is a gap in the evidence around how many occasional users go on to become frequent or dependent users. Most routine data sources like the CSEW are cross sectional rather than longitudinal in nature. </w:t>
      </w:r>
    </w:p>
    <w:p w14:paraId="47CF16E9" w14:textId="77777777" w:rsidR="00877DE8" w:rsidRPr="00AC2C72" w:rsidRDefault="00877DE8"/>
    <w:p w14:paraId="4E160BF1" w14:textId="62369553" w:rsidR="00BE6B23" w:rsidRPr="00B531CC" w:rsidRDefault="00BE6B23">
      <w:pPr>
        <w:pStyle w:val="Heading3"/>
      </w:pPr>
      <w:bookmarkStart w:id="27" w:name="_Toc452035633"/>
      <w:r w:rsidRPr="00B531CC">
        <w:t>4.</w:t>
      </w:r>
      <w:r w:rsidR="005770F4" w:rsidRPr="00B531CC">
        <w:t>5</w:t>
      </w:r>
      <w:r w:rsidRPr="00B531CC">
        <w:t xml:space="preserve"> Intervention costs</w:t>
      </w:r>
      <w:bookmarkEnd w:id="27"/>
    </w:p>
    <w:p w14:paraId="74A26EB5" w14:textId="77777777" w:rsidR="00F776A1" w:rsidRPr="00AC2C72" w:rsidRDefault="00F776A1"/>
    <w:p w14:paraId="76C79F14" w14:textId="10A88CCB" w:rsidR="006967AE" w:rsidRPr="00AC2C72" w:rsidRDefault="006967AE">
      <w:r w:rsidRPr="00AC2C72">
        <w:t>The incremental cost of the intervention to the public sector</w:t>
      </w:r>
      <w:r w:rsidRPr="0018299D">
        <w:rPr>
          <w:rStyle w:val="FootnoteReference"/>
        </w:rPr>
        <w:footnoteReference w:id="1"/>
      </w:r>
      <w:r w:rsidRPr="00AC2C72">
        <w:t xml:space="preserve"> was estimated as the cost per participant of the intervention minus the cost per participant for the alternative used in the studies. The extra resources used per participant in the intervention compared with the control (or no control) were derived from the effectiveness studies. </w:t>
      </w:r>
    </w:p>
    <w:p w14:paraId="464844C3" w14:textId="77777777" w:rsidR="006967AE" w:rsidRPr="00AC2C72" w:rsidRDefault="006967AE"/>
    <w:p w14:paraId="2B21E394" w14:textId="77777777" w:rsidR="00F80585" w:rsidRPr="00AC2C72" w:rsidRDefault="00F80585">
      <w:r w:rsidRPr="00AC2C72">
        <w:t xml:space="preserve">None of the studies selected for inclusion in the modelling reported intervention costs. The modelling team contacted the lead authors of each study to see if the authors could provide any intervention costs. The modelling team also carried out citation and Google searches to find any costs of programmes that were not reported in the studies. Some of the studies were for named programmes which could be searched for. </w:t>
      </w:r>
    </w:p>
    <w:p w14:paraId="4E24626E" w14:textId="77777777" w:rsidR="00F80585" w:rsidRPr="00AC2C72" w:rsidRDefault="00F80585"/>
    <w:p w14:paraId="64E1029B" w14:textId="399B2296" w:rsidR="00F80585" w:rsidRPr="00AC2C72" w:rsidRDefault="00F80585">
      <w:r w:rsidRPr="00AC2C72">
        <w:t xml:space="preserve">Costs of recruiting or maintaining participants in the studies or private costs incurred to individuals were not included in costing the interventions. Because the intervention studies were all US or Australia based, any intervention cost per person or family was converted to 2015 GBP (pound sterling). The conversion was done using a tool developed by </w:t>
      </w:r>
      <w:r w:rsidRPr="00AC2C72">
        <w:rPr>
          <w:color w:val="000000"/>
        </w:rPr>
        <w:t>The Campbell and Cochran</w:t>
      </w:r>
      <w:r w:rsidR="00574932" w:rsidRPr="00AC2C72">
        <w:rPr>
          <w:color w:val="000000"/>
        </w:rPr>
        <w:t xml:space="preserve">e Economics Methods Group </w:t>
      </w:r>
      <w:r w:rsidRPr="00AC2C72">
        <w:t>and the EPPI-Centre, converting the price-year adjusted cost estimate from the original currency to GBP, using conversion rates based on Purchasing Power Parities (PPP) for GDP</w:t>
      </w:r>
      <w:r w:rsidR="00574932" w:rsidRPr="00AC2C72">
        <w:t xml:space="preserve"> </w:t>
      </w:r>
      <w:r w:rsidR="00574932" w:rsidRPr="00AC2C72">
        <w:fldChar w:fldCharType="begin" w:fldLock="1"/>
      </w:r>
      <w:r w:rsidR="00574932" w:rsidRPr="00AC2C72">
        <w:instrText>ADDIN CSL_CITATION { "citationItems" : [ { "id" : "ITEM-1", "itemData" : { "URL" : "http://eppi.ioe.ac.uk/costconversion/Default.aspx", "author" : [ { "dropping-particle" : "", "family" : "CCEMG", "given" : "", "non-dropping-particle" : "", "parse-names" : false, "suffix" : "" } ], "id" : "ITEM-1", "issued" : { "date-parts" : [ [ "2016" ] ] }, "title" : "EPPI-Centre Cost Converter", "type" : "webpage" }, "uris" : [ "http://www.mendeley.com/documents/?uuid=69b0d574-d5df-4d8a-a367-7b5db797c86f" ] } ], "mendeley" : { "formattedCitation" : "(CCEMG 2016)", "plainTextFormattedCitation" : "(CCEMG 2016)", "previouslyFormattedCitation" : "(CCEMG 2016)" }, "properties" : { "noteIndex" : 0 }, "schema" : "https://github.com/citation-style-language/schema/raw/master/csl-citation.json" }</w:instrText>
      </w:r>
      <w:r w:rsidR="00574932" w:rsidRPr="00AC2C72">
        <w:fldChar w:fldCharType="separate"/>
      </w:r>
      <w:r w:rsidR="00574932" w:rsidRPr="00AC2C72">
        <w:rPr>
          <w:noProof/>
        </w:rPr>
        <w:t>(CCEMG 2016)</w:t>
      </w:r>
      <w:r w:rsidR="00574932" w:rsidRPr="00AC2C72">
        <w:fldChar w:fldCharType="end"/>
      </w:r>
      <w:r w:rsidRPr="00AC2C72">
        <w:t xml:space="preserve">. If intervention costs were not reported anywhere, then the practitioner time was matched using PSSRU reference costs and an assumption of 50% additional costs (e.g. travel time, overheads, management, </w:t>
      </w:r>
      <w:r w:rsidR="004174B4" w:rsidRPr="00AC2C72">
        <w:t>and training</w:t>
      </w:r>
      <w:r w:rsidRPr="00AC2C72">
        <w:t>) was assumed. PSSRU reference costs do include practitioner training and travel time but we are adding on additional costs for the specific interventions. Any available licensing costs were converted and included. Any costs per family were assumed to be costs per individual person in the model. Where programmes had several objectives, we did not attempt to disaggregate the costs of programmes that had a drug prevention element and other elements for instance, sexual health promotion, but in some cases varied the cost estimates in the sensitivity analysis by a greater amount to account for the fact that adopting the drug use prevention only element may incur a lower cost.</w:t>
      </w:r>
    </w:p>
    <w:p w14:paraId="272DDCAF" w14:textId="77777777" w:rsidR="00F80585" w:rsidRPr="00AC2C72" w:rsidRDefault="00F80585"/>
    <w:p w14:paraId="677A6A08" w14:textId="0229B111" w:rsidR="00F80585" w:rsidRPr="00AC2C72" w:rsidRDefault="00306F7B">
      <w:pPr>
        <w:pStyle w:val="Heading6"/>
      </w:pPr>
      <w:r w:rsidRPr="00AC2C72">
        <w:fldChar w:fldCharType="begin" w:fldLock="1"/>
      </w:r>
      <w:r w:rsidR="00213752">
        <w:instrText>ADDIN CSL_CITATION { "citationItems" : [ { "id" : "ITEM-1", "itemData" : { "DOI" : "10.1086/250095", "ISBN" : "3258059322", "ISSN" : "00157120", "PMID" : "17979356", "abstract" : "The first of two exploratory studies investigated the conflict management approaches of 310 South Korean leaders. Each recalled the most recent dispute they had encountered either between two subordinates or between a subordinate and a person outside the group (i.e., an outsider).Subsequently, they reported the techniques used to mange the dispute. As predicted, the leaders were more assertive in managing subordinate-subordinate conflicts. Unexpectedly, they also pressed their own subordinates quite forcefully in the subordinate-outsider disputes. The second study investigated subordinates' interventions in their leaders' disputes. In these conflicts, subordinates adopted a low-key shuttle diplomacy; meeting separately with the parties, listening to their opinions, transmitting these to the other side, and calling for each side's empathy and understanding.", "author" : [ { "dropping-particle" : "", "family" : "Catalano", "given" : "Richard F", "non-dropping-particle" : "", "parse-names" : false, "suffix" : "" }, { "dropping-particle" : "", "family" : "Gainey", "given" : "Randy R", "non-dropping-particle" : "", "parse-names" : false, "suffix" : "" }, { "dropping-particle" : "", "family" : "Fleming", "given" : "Charles B", "non-dropping-particle" : "", "parse-names" : false, "suffix" : "" }, { "dropping-particle" : "", "family" : "Haggerty", "given" : "Kevin P", "non-dropping-particle" : "", "parse-names" : false, "suffix" : "" }, { "dropping-particle" : "", "family" : "Johnson", "given" : "Norman O.", "non-dropping-particle" : "", "parse-names" : false, "suffix" : "" } ], "container-title" : "International Journal of Conflict Management", "id" : "ITEM-1", "issue" : "2", "issued" : { "date-parts" : [ [ "1999" ] ] }, "page" : "130-153", "title" : "An experimental intervention with families of substance abusers: one-year follow-up of the focus on families project", "type" : "article-journal", "volume" : "10" }, "uris" : [ "http://www.mendeley.com/documents/?uuid=8e223de9-51fa-4991-94d9-b3b4f73cc7f0" ] } ], "mendeley" : { "formattedCitation" : "(Catalano et al. 1999)", "manualFormatting" : "Catalano et al. (1999)", "plainTextFormattedCitation" : "(Catalano et al. 1999)", "previouslyFormattedCitation" : "(Catalano et al. 1999)" }, "properties" : { "noteIndex" : 0 }, "schema" : "https://github.com/citation-style-language/schema/raw/master/csl-citation.json" }</w:instrText>
      </w:r>
      <w:r w:rsidRPr="00AC2C72">
        <w:fldChar w:fldCharType="separate"/>
      </w:r>
      <w:r w:rsidRPr="00AC2C72">
        <w:rPr>
          <w:noProof/>
        </w:rPr>
        <w:t>Catalano et al. (1999)</w:t>
      </w:r>
      <w:r w:rsidRPr="00AC2C72">
        <w:fldChar w:fldCharType="end"/>
      </w:r>
      <w:r w:rsidR="00F80585" w:rsidRPr="00AC2C72">
        <w:t xml:space="preserve"> </w:t>
      </w:r>
      <w:r w:rsidRPr="00AC2C72">
        <w:t>An experimental intervention with families of substance abusers: one-year follow-up of the focus on families project</w:t>
      </w:r>
    </w:p>
    <w:p w14:paraId="5E42A7EB" w14:textId="77777777" w:rsidR="00F80585" w:rsidRPr="00AC2C72" w:rsidRDefault="00F80585"/>
    <w:p w14:paraId="3E30DB9B" w14:textId="6CAA20F3" w:rsidR="00F80585" w:rsidRPr="00AC2C72" w:rsidRDefault="00F80585">
      <w:r w:rsidRPr="00AC2C72">
        <w:t xml:space="preserve">p. 13 of a monograph </w:t>
      </w:r>
      <w:r w:rsidR="0059202D" w:rsidRPr="00AC2C72">
        <w:fldChar w:fldCharType="begin" w:fldLock="1"/>
      </w:r>
      <w:r w:rsidR="0059202D" w:rsidRPr="00AC2C72">
        <w:instrText>ADDIN CSL_CITATION { "citationItems" : [ { "id" : "ITEM-1", "itemData" : { "author" : [ { "dropping-particle" : "", "family" : "Plotnick", "given" : "Robert D", "non-dropping-particle" : "", "parse-names" : false, "suffix" : "" }, { "dropping-particle" : "", "family" : "Young", "given" : "Diane S", "non-dropping-particle" : "", "parse-names" : false, "suffix" : "" }, { "dropping-particle" : "", "family" : "Catalano", "given" : "Richard F", "non-dropping-particle" : "", "parse-names" : false, "suffix" : "" }, { "dropping-particle" : "", "family" : "Haggerty", "given" : "Kevin P", "non-dropping-particle" : "", "parse-names" : false, "suffix" : "" } ], "container-title" : "NIDA monograph", "id" : "ITEM-1", "issue" : "1989", "issued" : { "date-parts" : [ [ "1996" ] ] }, "number-of-pages" : "161-184", "title" : "Benefits and Costs of a Family- Focused Methadone Treatment and Drug Abuse Prevention Program : Preliminary Findings", "type" : "report" }, "uris" : [ "http://www.mendeley.com/documents/?uuid=a77c3d33-7194-4ce3-af72-623b99b7169e" ] } ], "mendeley" : { "formattedCitation" : "(Plotnick et al. 1996)", "manualFormatting" : "(Plotnick et al. 1999)", "plainTextFormattedCitation" : "(Plotnick et al. 1996)", "previouslyFormattedCitation" : "(Plotnick et al. 1996)" }, "properties" : { "noteIndex" : 0 }, "schema" : "https://github.com/citation-style-language/schema/raw/master/csl-citation.json" }</w:instrText>
      </w:r>
      <w:r w:rsidR="0059202D" w:rsidRPr="00AC2C72">
        <w:fldChar w:fldCharType="separate"/>
      </w:r>
      <w:r w:rsidR="0059202D" w:rsidRPr="00AC2C72">
        <w:rPr>
          <w:noProof/>
        </w:rPr>
        <w:t>(Plotnick et al. 1999)</w:t>
      </w:r>
      <w:r w:rsidR="0059202D" w:rsidRPr="00AC2C72">
        <w:fldChar w:fldCharType="end"/>
      </w:r>
      <w:r w:rsidR="0059202D" w:rsidRPr="00AC2C72">
        <w:t xml:space="preserve"> </w:t>
      </w:r>
      <w:r w:rsidRPr="00AC2C72">
        <w:t>on Focus on Families said “The average cost of delivering Focus on Families was $3,444 per client family.”</w:t>
      </w:r>
    </w:p>
    <w:p w14:paraId="1C958176" w14:textId="77777777" w:rsidR="00F80585" w:rsidRPr="00AC2C72" w:rsidRDefault="00F80585"/>
    <w:p w14:paraId="2E945D9E" w14:textId="572EDDC8" w:rsidR="00F80585" w:rsidRPr="00AC2C72" w:rsidRDefault="00F80585">
      <w:r w:rsidRPr="00AC2C72">
        <w:t>The average cost was $3,444 per family in 1996 US dollars which converts to £3,367 in 2015 GBP</w:t>
      </w:r>
      <w:r w:rsidR="00A35AE1">
        <w:t xml:space="preserve"> (see </w:t>
      </w:r>
      <w:r w:rsidR="00A35AE1">
        <w:fldChar w:fldCharType="begin"/>
      </w:r>
      <w:r w:rsidR="00A35AE1">
        <w:instrText xml:space="preserve"> REF _Ref448419315 \h </w:instrText>
      </w:r>
      <w:r w:rsidR="00940B3D">
        <w:instrText xml:space="preserve"> \* MERGEFORMAT </w:instrText>
      </w:r>
      <w:r w:rsidR="00A35AE1">
        <w:fldChar w:fldCharType="separate"/>
      </w:r>
      <w:r w:rsidR="0087365D" w:rsidRPr="00AC2C72">
        <w:t xml:space="preserve">Table </w:t>
      </w:r>
      <w:r w:rsidR="0087365D">
        <w:rPr>
          <w:noProof/>
        </w:rPr>
        <w:t>2</w:t>
      </w:r>
      <w:r w:rsidR="00A35AE1">
        <w:fldChar w:fldCharType="end"/>
      </w:r>
      <w:r w:rsidR="00A35AE1">
        <w:t>)</w:t>
      </w:r>
      <w:r w:rsidRPr="00AC2C72">
        <w:t xml:space="preserve">. </w:t>
      </w:r>
      <w:r w:rsidR="00604D4B" w:rsidRPr="00AC2C72">
        <w:t xml:space="preserve">This cost is in line with the intervention costs of family interventions reported in the PH4 costing report which reported costs of £490 to £4,398 for family based programmes </w:t>
      </w:r>
      <w:r w:rsidR="00EA6DDE">
        <w:fldChar w:fldCharType="begin" w:fldLock="1"/>
      </w:r>
      <w:r w:rsidR="00EA6DDE">
        <w:instrText>ADDIN CSL_CITATION { "citationItems" : [ { "id" : "ITEM-1", "itemData" : { "author" : [ { "dropping-particle" : "", "family" : "NICE", "given" : "", "non-dropping-particle" : "", "parse-names" : false, "suffix" : "" } ], "id" : "ITEM-1", "issue" : "March", "issued" : { "date-parts" : [ [ "2007" ] ] }, "title" : "Substance misuse interventions for vulnerable under 25s", "type" : "report" }, "uris" : [ "http://www.mendeley.com/documents/?uuid=a8e43288-f524-41ed-be97-b6ffda6cf14c" ] } ], "mendeley" : { "formattedCitation" : "(NICE 2007)", "plainTextFormattedCitation" : "(NICE 2007)", "previouslyFormattedCitation" : "(NICE 2007)" }, "properties" : { "noteIndex" : 0 }, "schema" : "https://github.com/citation-style-language/schema/raw/master/csl-citation.json" }</w:instrText>
      </w:r>
      <w:r w:rsidR="00EA6DDE">
        <w:fldChar w:fldCharType="separate"/>
      </w:r>
      <w:r w:rsidR="00EA6DDE" w:rsidRPr="00EA6DDE">
        <w:rPr>
          <w:noProof/>
        </w:rPr>
        <w:t>(NICE 2007)</w:t>
      </w:r>
      <w:r w:rsidR="00EA6DDE">
        <w:fldChar w:fldCharType="end"/>
      </w:r>
      <w:r w:rsidR="00604D4B" w:rsidRPr="00AC2C72">
        <w:t xml:space="preserve">. </w:t>
      </w:r>
      <w:r w:rsidRPr="00AC2C72">
        <w:t>The intervention was targeted at parents who were dependent drug users and their children but for the modelling we are only interested in the preventative outcomes in children. Because of this</w:t>
      </w:r>
      <w:r w:rsidR="00604D4B" w:rsidRPr="00AC2C72">
        <w:t xml:space="preserve"> uncertainty in whether components that focus on drug use could be isolated and delivered at a lower cost, we have</w:t>
      </w:r>
      <w:r w:rsidRPr="00AC2C72">
        <w:t xml:space="preserve"> varied the average cost down to £842 or 25% of the total intervention cost</w:t>
      </w:r>
      <w:r w:rsidR="00604D4B" w:rsidRPr="00AC2C72">
        <w:t xml:space="preserve"> in the sensitivity analysis</w:t>
      </w:r>
      <w:r w:rsidRPr="00AC2C72">
        <w:t>.</w:t>
      </w:r>
      <w:r w:rsidRPr="00D21C25">
        <w:rPr>
          <w:b/>
        </w:rPr>
        <w:t xml:space="preserve"> </w:t>
      </w:r>
    </w:p>
    <w:p w14:paraId="0CD83065" w14:textId="77777777" w:rsidR="00F80585" w:rsidRPr="00AC2C72" w:rsidRDefault="00F80585"/>
    <w:p w14:paraId="5CC55CCB" w14:textId="0B3D4413" w:rsidR="00F80585" w:rsidRPr="00D21C25" w:rsidRDefault="00F80585">
      <w:pPr>
        <w:pStyle w:val="Caption"/>
      </w:pPr>
      <w:bookmarkStart w:id="28" w:name="_Ref448419315"/>
      <w:r w:rsidRPr="00AC2C72">
        <w:lastRenderedPageBreak/>
        <w:t xml:space="preserve">Table </w:t>
      </w:r>
      <w:r w:rsidR="00473A6B" w:rsidRPr="00D21C25">
        <w:fldChar w:fldCharType="begin"/>
      </w:r>
      <w:r w:rsidR="00473A6B" w:rsidRPr="00AC2C72">
        <w:instrText xml:space="preserve"> SEQ Table \* ARABIC </w:instrText>
      </w:r>
      <w:r w:rsidR="00473A6B" w:rsidRPr="00D21C25">
        <w:fldChar w:fldCharType="separate"/>
      </w:r>
      <w:r w:rsidR="00D00623">
        <w:rPr>
          <w:noProof/>
        </w:rPr>
        <w:t>2</w:t>
      </w:r>
      <w:r w:rsidR="00473A6B" w:rsidRPr="00D21C25">
        <w:fldChar w:fldCharType="end"/>
      </w:r>
      <w:bookmarkEnd w:id="28"/>
      <w:r w:rsidRPr="00AC2C72">
        <w:t>. Focus on Familie</w:t>
      </w:r>
      <w:r w:rsidR="0059202D" w:rsidRPr="00AC2C72">
        <w:t xml:space="preserve">s cost per client family, </w:t>
      </w:r>
      <w:r w:rsidR="0059202D" w:rsidRPr="00AC2C72">
        <w:fldChar w:fldCharType="begin" w:fldLock="1"/>
      </w:r>
      <w:r w:rsidR="0059202D" w:rsidRPr="00AC2C72">
        <w:instrText>ADDIN CSL_CITATION { "citationItems" : [ { "id" : "ITEM-1", "itemData" : { "author" : [ { "dropping-particle" : "", "family" : "Plotnick", "given" : "Robert D", "non-dropping-particle" : "", "parse-names" : false, "suffix" : "" }, { "dropping-particle" : "", "family" : "Young", "given" : "Diane S", "non-dropping-particle" : "", "parse-names" : false, "suffix" : "" }, { "dropping-particle" : "", "family" : "Catalano", "given" : "Richard F", "non-dropping-particle" : "", "parse-names" : false, "suffix" : "" }, { "dropping-particle" : "", "family" : "Haggerty", "given" : "Kevin P", "non-dropping-particle" : "", "parse-names" : false, "suffix" : "" } ], "container-title" : "NIDA monograph", "id" : "ITEM-1", "issue" : "1989", "issued" : { "date-parts" : [ [ "1996" ] ] }, "number-of-pages" : "161-184", "title" : "Benefits and Costs of a Family- Focused Methadone Treatment and Drug Abuse Prevention Program : Preliminary Findings", "type" : "report" }, "uris" : [ "http://www.mendeley.com/documents/?uuid=a77c3d33-7194-4ce3-af72-623b99b7169e" ] } ], "mendeley" : { "formattedCitation" : "(Plotnick et al. 1996)", "plainTextFormattedCitation" : "(Plotnick et al. 1996)", "previouslyFormattedCitation" : "(Plotnick et al. 1996)" }, "properties" : { "noteIndex" : 0 }, "schema" : "https://github.com/citation-style-language/schema/raw/master/csl-citation.json" }</w:instrText>
      </w:r>
      <w:r w:rsidR="0059202D" w:rsidRPr="00AC2C72">
        <w:fldChar w:fldCharType="separate"/>
      </w:r>
      <w:r w:rsidR="0059202D" w:rsidRPr="00D21C25">
        <w:rPr>
          <w:noProof/>
        </w:rPr>
        <w:t>(Plotnick et al. 1996)</w:t>
      </w:r>
      <w:r w:rsidR="0059202D" w:rsidRPr="00AC2C72">
        <w:fldChar w:fldCharType="end"/>
      </w:r>
      <w:r w:rsidR="0059202D" w:rsidRPr="00AC2C72">
        <w:t>.</w:t>
      </w:r>
    </w:p>
    <w:p w14:paraId="1A85CA3D" w14:textId="1DF32375" w:rsidR="00F80585" w:rsidRPr="00AC2C72" w:rsidRDefault="00F80585">
      <w:r w:rsidRPr="00AC2C72">
        <w:rPr>
          <w:noProof/>
        </w:rPr>
        <w:drawing>
          <wp:inline distT="0" distB="0" distL="0" distR="0" wp14:anchorId="7BB74705" wp14:editId="412C962F">
            <wp:extent cx="4895794" cy="421957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61940" t="27209" r="19809" b="20359"/>
                    <a:stretch/>
                  </pic:blipFill>
                  <pic:spPr bwMode="auto">
                    <a:xfrm>
                      <a:off x="0" y="0"/>
                      <a:ext cx="4912090" cy="4233620"/>
                    </a:xfrm>
                    <a:prstGeom prst="rect">
                      <a:avLst/>
                    </a:prstGeom>
                    <a:ln>
                      <a:noFill/>
                    </a:ln>
                    <a:extLst>
                      <a:ext uri="{53640926-AAD7-44D8-BBD7-CCE9431645EC}">
                        <a14:shadowObscured xmlns:a14="http://schemas.microsoft.com/office/drawing/2010/main"/>
                      </a:ext>
                    </a:extLst>
                  </pic:spPr>
                </pic:pic>
              </a:graphicData>
            </a:graphic>
          </wp:inline>
        </w:drawing>
      </w:r>
    </w:p>
    <w:p w14:paraId="19AC4E9E" w14:textId="77777777" w:rsidR="00F80585" w:rsidRPr="00AC2C72" w:rsidRDefault="00F80585"/>
    <w:p w14:paraId="24626C90" w14:textId="77777777" w:rsidR="00F80585" w:rsidRPr="00AC2C72" w:rsidRDefault="00F80585">
      <w:pPr>
        <w:rPr>
          <w:lang w:val="en-US"/>
        </w:rPr>
      </w:pPr>
    </w:p>
    <w:p w14:paraId="6EEB982B" w14:textId="6F1DC702" w:rsidR="00F80585" w:rsidRPr="00AC2C72" w:rsidRDefault="0059202D">
      <w:pPr>
        <w:pStyle w:val="Heading6"/>
      </w:pPr>
      <w:r w:rsidRPr="00AC2C72">
        <w:rPr>
          <w:lang w:val="en-US"/>
        </w:rPr>
        <w:fldChar w:fldCharType="begin" w:fldLock="1"/>
      </w:r>
      <w:r w:rsidRPr="00AC2C72">
        <w:rPr>
          <w:lang w:val="en-US"/>
        </w:rPr>
        <w:instrText>ADDIN CSL_CITATION { "citationItems" : [ { "id" : "ITEM-1", "itemData" : { "DOI" : "10.1037/a0018859", "ISBN" : "0893-164X", "ISSN" : "1939-1501", "PMID" : "20565152", "abstract" : "Despite clear need, brief web-based interventions for marijuana-using college students have not been evaluated in the literature. The current study was designed to evaluate a brief, web-based personalized feedback intervention for at-risk marijuana users transitioning to college. All entering first-year students were invited to complete a brief questionnaire. Participants meeting criteria completed a baseline assessment (N = 341) and were randomly assigned to web-based personalized feedback or assessment-only control conditions. Participants completed 3-month (95.0%) and 6-month (94.4%) follow-up assessments. Results indicated that although there was no overall intervention effect, moderator analyses found promising effects for those with a family history of drug problems and, to a smaller extent, students who were higher in contemplation of changing marijuana use at baseline. Implications of these findings for selective intervention of college marijuana use and web-based interventions in general are discussed.", "author" : [ { "dropping-particle" : "", "family" : "Lee", "given" : "Christine M", "non-dropping-particle" : "", "parse-names" : false, "suffix" : "" }, { "dropping-particle" : "", "family" : "Neighbors", "given" : "Clayton", "non-dropping-particle" : "", "parse-names" : false, "suffix" : "" }, { "dropping-particle" : "", "family" : "Kilmer", "given" : "Jason R", "non-dropping-particle" : "", "parse-names" : false, "suffix" : "" }, { "dropping-particle" : "", "family" : "Larimer", "given" : "Mary E", "non-dropping-particle" : "", "parse-names" : false, "suffix" : "" } ], "container-title" : "Psychology of addictive behaviors : journal of the Society of Psychologists in Addictive Behaviors", "id" : "ITEM-1", "issue" : "2", "issued" : { "date-parts" : [ [ "2010" ] ] }, "page" : "265-73", "title" : "A brief, web-based personalized feedback selective intervention for college student marijuana use: a randomized clinical trial.", "type" : "article-journal", "volume" : "24" }, "uris" : [ "http://www.mendeley.com/documents/?uuid=51482699-f8ad-45c6-bb7c-17cae09e26f2" ] } ], "mendeley" : { "formattedCitation" : "(Lee et al. 2010)", "manualFormatting" : "Lee et al. (2010)", "plainTextFormattedCitation" : "(Lee et al. 2010)", "previouslyFormattedCitation" : "(Lee et al. 2010)" }, "properties" : { "noteIndex" : 0 }, "schema" : "https://github.com/citation-style-language/schema/raw/master/csl-citation.json" }</w:instrText>
      </w:r>
      <w:r w:rsidRPr="00AC2C72">
        <w:rPr>
          <w:lang w:val="en-US"/>
        </w:rPr>
        <w:fldChar w:fldCharType="separate"/>
      </w:r>
      <w:r w:rsidRPr="00AC2C72">
        <w:rPr>
          <w:noProof/>
          <w:lang w:val="en-US"/>
        </w:rPr>
        <w:t>Lee et al. (2010)</w:t>
      </w:r>
      <w:r w:rsidRPr="00AC2C72">
        <w:rPr>
          <w:lang w:val="en-US"/>
        </w:rPr>
        <w:fldChar w:fldCharType="end"/>
      </w:r>
      <w:r w:rsidR="00F80585" w:rsidRPr="00AC2C72">
        <w:rPr>
          <w:lang w:val="en-US"/>
        </w:rPr>
        <w:t xml:space="preserve"> A Brief, Web-Based Personalized Feedback Selective Intervention for College Student Marijuana Use: A Randomized Clinical Trial</w:t>
      </w:r>
    </w:p>
    <w:p w14:paraId="5F398AE0" w14:textId="77777777" w:rsidR="00F80585" w:rsidRPr="00AC2C72" w:rsidRDefault="00F80585"/>
    <w:p w14:paraId="3D91AAE3" w14:textId="77777777" w:rsidR="00F80585" w:rsidRPr="00AC2C72" w:rsidRDefault="00F80585">
      <w:r w:rsidRPr="00AC2C72">
        <w:t xml:space="preserve">This intervention is a web-based personalised feedback intervention based on brief motivational interviewing techniques. It is difficult to find any costing data but the marginal cost is likely to be low as the intervention is computer-based and not individually tailored. Because most costs are start-up and development costs rather than practitioner costs, unit costs for computer based interventions will reduce significantly as uptake increases. We have assumed a cost of £15 per participant based on information provided to us about a UK-based drug treatment intervention which was more intensive than this intervention, but varied this considerably in the sensitivity analysis between £1 and £30 per participant to account for the high amount of uncertainty in this cost estimate. </w:t>
      </w:r>
    </w:p>
    <w:p w14:paraId="18559571" w14:textId="77777777" w:rsidR="00F80585" w:rsidRPr="00AC2C72" w:rsidRDefault="00F80585"/>
    <w:p w14:paraId="01394C15" w14:textId="77777777" w:rsidR="0080344A" w:rsidRPr="00AC2C72" w:rsidRDefault="0080344A">
      <w:pPr>
        <w:pStyle w:val="Heading6"/>
        <w:rPr>
          <w:lang w:val="en-US"/>
        </w:rPr>
      </w:pPr>
      <w:r w:rsidRPr="00AC2C72">
        <w:rPr>
          <w:lang w:val="en-US"/>
        </w:rPr>
        <w:fldChar w:fldCharType="begin" w:fldLock="1"/>
      </w:r>
      <w:r w:rsidRPr="00AC2C72">
        <w:rPr>
          <w:lang w:val="en-US"/>
        </w:rPr>
        <w:instrText>ADDIN CSL_CITATION { "citationItems" : [ { "id" : "ITEM-1", "itemData" : { "DOI" : "10.1016/j.drugalcdep.2012.06.011", "ISBN" : "0376-8716", "ISSN" : "03768716", "PMID" : "22776441", "abstract" : "Introduction: Drug and alcohol use disproportionately affect Hispanic youth. Despite these disparities, few empirically supported preventive interventions are available to ameliorate this public health concern among Hispanic youth. This study examined the effects of Familias Unidas, relative to Community Practice, in reducing past 90-day substance use, alcohol and marijuana dependence, and having sex while under the influence of alcohol or drugs. Additionally, this study explored whether Familias Unidas' effects varied by environmental context, namely parental stress and social support for parents. Methods: A total of 242 delinquent Hispanic youth aged 12-17. years and their primary caregivers were randomized to either Familias Unidas or Community Practice and assessed at three time points. Results: Familias Unidas was efficacious in reducing past 90-day substance use, illicit drug use, and in reducing the proportion of youth with an alcohol dependence diagnosis, relative to Community Practice. Results also showed a reduction in the proportion of youth who reported having sex while under the influence of alcohol or drugs. No differences between conditions were observed in past 90-day alcohol use or marijuana dependence. Intervention effects on illicit drug use and alcohol dependence varied by environmental context. For example, Familias Unidas was most efficacious for adolescents with parents exhibiting high stress and lower levels of social support. Conclusions: Familias Unidas was efficacious in reducing some drug and alcohol related outcomes. The findings also support the concept of targeting family-based interventions, such as Familias Unidas, for adolescents with parents exhibiting high stress and low levels of social support. ?? 2012 Elsevier Ireland Ltd.", "author" : [ { "dropping-particle" : "", "family" : "Prado", "given" : "Guillermo", "non-dropping-particle" : "", "parse-names" : false, "suffix" : "" }, { "dropping-particle" : "", "family" : "Cordova", "given" : "David", "non-dropping-particle" : "", "parse-names" : false, "suffix" : "" }, { "dropping-particle" : "", "family" : "Huang", "given" : "Shi", "non-dropping-particle" : "", "parse-names" : false, "suffix" : "" }, { "dropping-particle" : "", "family" : "Estrada", "given" : "Yannine", "non-dropping-particle" : "", "parse-names" : false, "suffix" : "" }, { "dropping-particle" : "", "family" : "Rosen", "given" : "Alexa", "non-dropping-particle" : "", "parse-names" : false, "suffix" : "" }, { "dropping-particle" : "", "family" : "Bacio", "given" : "Guadalupe A.", "non-dropping-particle" : "", "parse-names" : false, "suffix" : "" }, { "dropping-particle" : "", "family" : "Leon Jimenez", "given" : "Giselle", "non-dropping-particle" : "", "parse-names" : false, "suffix" : "" }, { "dropping-particle" : "", "family" : "Pantin", "given" : "Hilda", "non-dropping-particle" : "", "parse-names" : false, "suffix" : "" }, { "dropping-particle" : "", "family" : "Brown", "given" : "C. Hendricks", "non-dropping-particle" : "", "parse-names" : false, "suffix" : "" }, { "dropping-particle" : "", "family" : "Velazquez", "given" : "Maria Rosa", "non-dropping-particle" : "", "parse-names" : false, "suffix" : "" }, { "dropping-particle" : "", "family" : "Villamar", "given" : "Juan", "non-dropping-particle" : "", "parse-names" : false, "suffix" : "" }, { "dropping-particle" : "", "family" : "Freitas", "given" : "Derek", "non-dropping-particle" : "", "parse-names" : false, "suffix" : "" }, { "dropping-particle" : "", "family" : "Tapia", "given" : "Maria I.", "non-dropping-particle" : "", "parse-names" : false, "suffix" : "" }, { "dropping-particle" : "", "family" : "McCollister", "given" : "Kathryn", "non-dropping-particle" : "", "parse-names" : false, "suffix" : "" } ], "container-title" : "Drug and Alcohol Dependence", "id" : "ITEM-1", "issue" : "SUPPL.1", "issued" : { "date-parts" : [ [ "2012" ] ] }, "page" : "S18-S25", "publisher" : "Elsevier Ireland Ltd", "title" : "The efficacy of Familias Unidas on drug and alcohol outcomes for Hispanic delinquent youth: Main effects and interaction effects by parental stress and social support", "type" : "article-journal", "volume" : "125" }, "uris" : [ "http://www.mendeley.com/documents/?uuid=8e4054e6-dfc7-46e2-b656-c42a16b0b117" ] } ], "mendeley" : { "formattedCitation" : "(Prado et al. 2012)", "manualFormatting" : "Prado et al. (2012)", "plainTextFormattedCitation" : "(Prado et al. 2012)", "previouslyFormattedCitation" : "(Prado et al. 2012)" }, "properties" : { "noteIndex" : 0 }, "schema" : "https://github.com/citation-style-language/schema/raw/master/csl-citation.json" }</w:instrText>
      </w:r>
      <w:r w:rsidRPr="00AC2C72">
        <w:rPr>
          <w:lang w:val="en-US"/>
        </w:rPr>
        <w:fldChar w:fldCharType="separate"/>
      </w:r>
      <w:r w:rsidRPr="00AC2C72">
        <w:rPr>
          <w:noProof/>
          <w:lang w:val="en-US"/>
        </w:rPr>
        <w:t>Prado et al. (2012)</w:t>
      </w:r>
      <w:r w:rsidRPr="00AC2C72">
        <w:rPr>
          <w:lang w:val="en-US"/>
        </w:rPr>
        <w:fldChar w:fldCharType="end"/>
      </w:r>
      <w:r w:rsidRPr="00AC2C72">
        <w:rPr>
          <w:lang w:val="en-US"/>
        </w:rPr>
        <w:t xml:space="preserve"> The efficacy of Familias Unidas on drug and alcohol outcomes for Hispanic delinquent youth: Main effects and interaction effects by parental stress and social support</w:t>
      </w:r>
    </w:p>
    <w:p w14:paraId="0E2874E2" w14:textId="77777777" w:rsidR="0080344A" w:rsidRPr="00AC2C72" w:rsidRDefault="0080344A">
      <w:pPr>
        <w:rPr>
          <w:lang w:val="en-US"/>
        </w:rPr>
      </w:pPr>
    </w:p>
    <w:p w14:paraId="4118BEDF" w14:textId="77777777" w:rsidR="0080344A" w:rsidRPr="00BA62D7" w:rsidRDefault="0080344A">
      <w:pPr>
        <w:rPr>
          <w:color w:val="FF0000"/>
          <w:lang w:val="en-US"/>
        </w:rPr>
      </w:pPr>
      <w:r w:rsidRPr="00AC2C72">
        <w:rPr>
          <w:lang w:val="en-US"/>
        </w:rPr>
        <w:lastRenderedPageBreak/>
        <w:t>This intervention consisted of eight two-hour multi-parent group sessions and four one-hour family visits and seems to be with qualified counselling staff. There is a book online that quotes the cost of Familias Unidas as being around $200 per family.</w:t>
      </w:r>
      <w:r w:rsidRPr="0018299D">
        <w:rPr>
          <w:rStyle w:val="FootnoteReference"/>
        </w:rPr>
        <w:footnoteReference w:id="2"/>
      </w:r>
      <w:r w:rsidRPr="00AC2C72">
        <w:rPr>
          <w:lang w:val="en-US"/>
        </w:rPr>
        <w:t xml:space="preserve"> If we assume this cost is for 2007 as quoted, then converted to GBP 2015 using the EPPI converter this would equate to £154.25 per family for programme costs in the UK. However this cost intuitively seems quite low given the amount of contact time. We have taken the cost per family to be per individual in the modelling. </w:t>
      </w:r>
      <w:r w:rsidRPr="00BA62D7">
        <w:rPr>
          <w:lang w:val="en-US"/>
        </w:rPr>
        <w:t xml:space="preserve">Due to the uncertainty and possible underestimation of this cost parameter we vary the value up to £300 in deterministic sensitivity analysis. </w:t>
      </w:r>
    </w:p>
    <w:p w14:paraId="6D5F3BE6" w14:textId="77777777" w:rsidR="0080344A" w:rsidRPr="00AC2C72" w:rsidRDefault="0080344A">
      <w:pPr>
        <w:rPr>
          <w:lang w:val="en-US"/>
        </w:rPr>
      </w:pPr>
    </w:p>
    <w:p w14:paraId="7989E8A1" w14:textId="77777777" w:rsidR="0080344A" w:rsidRPr="00F634F5" w:rsidRDefault="0080344A">
      <w:pPr>
        <w:rPr>
          <w:lang w:val="en-US"/>
        </w:rPr>
      </w:pPr>
      <w:r w:rsidRPr="00F634F5">
        <w:rPr>
          <w:lang w:val="en-US"/>
        </w:rPr>
        <w:t>Training costs</w:t>
      </w:r>
    </w:p>
    <w:p w14:paraId="3AAE4EEA" w14:textId="77777777" w:rsidR="0080344A" w:rsidRPr="00AC2C72" w:rsidRDefault="0080344A">
      <w:pPr>
        <w:rPr>
          <w:lang w:val="en-US"/>
        </w:rPr>
      </w:pPr>
    </w:p>
    <w:p w14:paraId="4C164C89" w14:textId="77777777" w:rsidR="0080344A" w:rsidRPr="00AC2C72" w:rsidRDefault="0080344A">
      <w:pPr>
        <w:rPr>
          <w:lang w:val="en-US"/>
        </w:rPr>
      </w:pPr>
      <w:r w:rsidRPr="00AC2C72">
        <w:rPr>
          <w:lang w:val="en-US"/>
        </w:rPr>
        <w:t>The Familias Unidas website quotes $50,000 to train 10 staff and says that “Implementation of the intervention requires Spanish-speaking, bicultural facilitators with a minimum of a bachelor’s degree in psychology and three years of clinical experience or a master’s degree and one year of clinical experience.” It also quotes $3,500 for training one facilitator</w:t>
      </w:r>
      <w:r>
        <w:rPr>
          <w:lang w:val="en-US"/>
        </w:rPr>
        <w:t xml:space="preserve"> </w:t>
      </w:r>
      <w:r>
        <w:rPr>
          <w:lang w:val="en-US"/>
        </w:rPr>
        <w:fldChar w:fldCharType="begin" w:fldLock="1"/>
      </w:r>
      <w:r>
        <w:rPr>
          <w:lang w:val="en-US"/>
        </w:rPr>
        <w:instrText>ADDIN CSL_CITATION { "citationItems" : [ { "id" : "ITEM-1", "itemData" : { "URL" : "http://www.blueprintsprograms.com/program-costs/familias-unidas", "author" : [ { "dropping-particle" : "", "family" : "Blueprints", "given" : "", "non-dropping-particle" : "", "parse-names" : false, "suffix" : "" } ], "id" : "ITEM-1", "issued" : { "date-parts" : [ [ "2016" ] ] }, "title" : "Familias Unidas", "type" : "webpage" }, "uris" : [ "http://www.mendeley.com/documents/?uuid=65a245b4-b654-425c-a9a8-066d23c96e1e" ] } ], "mendeley" : { "formattedCitation" : "(Blueprints 2016)", "plainTextFormattedCitation" : "(Blueprints 2016)", "previouslyFormattedCitation" : "(Blueprints 2016)" }, "properties" : { "noteIndex" : 0 }, "schema" : "https://github.com/citation-style-language/schema/raw/master/csl-citation.json" }</w:instrText>
      </w:r>
      <w:r>
        <w:rPr>
          <w:lang w:val="en-US"/>
        </w:rPr>
        <w:fldChar w:fldCharType="separate"/>
      </w:r>
      <w:r w:rsidRPr="00EA6DDE">
        <w:rPr>
          <w:noProof/>
          <w:lang w:val="en-US"/>
        </w:rPr>
        <w:t>(Blueprints 2016)</w:t>
      </w:r>
      <w:r>
        <w:rPr>
          <w:lang w:val="en-US"/>
        </w:rPr>
        <w:fldChar w:fldCharType="end"/>
      </w:r>
      <w:r w:rsidRPr="00AC2C72">
        <w:rPr>
          <w:lang w:val="en-US"/>
        </w:rPr>
        <w:t xml:space="preserve">. This suggests that the upfront costs of commissioning a like for like service may be quite significant. The UK does not have a significant “Hispanic” population so the intervention would most likely need to be adapted in any case. Referring to </w:t>
      </w:r>
      <w:r>
        <w:rPr>
          <w:lang w:val="en-US"/>
        </w:rPr>
        <w:fldChar w:fldCharType="begin" w:fldLock="1"/>
      </w:r>
      <w:r>
        <w:rPr>
          <w:lang w:val="en-US"/>
        </w:rPr>
        <w:instrText>ADDIN CSL_CITATION { "citationItems" : [ { "id" : "ITEM-1", "itemData" : { "URL" : "http://www.blueprintsprograms.com/program-costs/familias-unidas", "author" : [ { "dropping-particle" : "", "family" : "Blueprints", "given" : "", "non-dropping-particle" : "", "parse-names" : false, "suffix" : "" } ], "id" : "ITEM-1", "issued" : { "date-parts" : [ [ "2016" ] ] }, "title" : "Familias Unidas", "type" : "webpage" }, "uris" : [ "http://www.mendeley.com/documents/?uuid=65a245b4-b654-425c-a9a8-066d23c96e1e" ] } ], "mendeley" : { "formattedCitation" : "(Blueprints 2016)", "manualFormatting" : "Blueprints (2016)", "plainTextFormattedCitation" : "(Blueprints 2016)", "previouslyFormattedCitation" : "(Blueprints 2016)" }, "properties" : { "noteIndex" : 0 }, "schema" : "https://github.com/citation-style-language/schema/raw/master/csl-citation.json" }</w:instrText>
      </w:r>
      <w:r>
        <w:rPr>
          <w:lang w:val="en-US"/>
        </w:rPr>
        <w:fldChar w:fldCharType="separate"/>
      </w:r>
      <w:r w:rsidRPr="00EA6DDE">
        <w:rPr>
          <w:noProof/>
          <w:lang w:val="en-US"/>
        </w:rPr>
        <w:t xml:space="preserve">Blueprints </w:t>
      </w:r>
      <w:r>
        <w:rPr>
          <w:noProof/>
          <w:lang w:val="en-US"/>
        </w:rPr>
        <w:t>(</w:t>
      </w:r>
      <w:r w:rsidRPr="00EA6DDE">
        <w:rPr>
          <w:noProof/>
          <w:lang w:val="en-US"/>
        </w:rPr>
        <w:t>2016)</w:t>
      </w:r>
      <w:r>
        <w:rPr>
          <w:lang w:val="en-US"/>
        </w:rPr>
        <w:fldChar w:fldCharType="end"/>
      </w:r>
      <w:r>
        <w:rPr>
          <w:lang w:val="en-US"/>
        </w:rPr>
        <w:t xml:space="preserve"> </w:t>
      </w:r>
      <w:r w:rsidRPr="00AC2C72">
        <w:rPr>
          <w:lang w:val="en-US"/>
        </w:rPr>
        <w:t>the costs for a small school (~300 students) for one year is $100,000 which will be $333 per family. Assuming that this is for 2012 in the US, th</w:t>
      </w:r>
      <w:r>
        <w:rPr>
          <w:lang w:val="en-US"/>
        </w:rPr>
        <w:t>e equivalent for UK</w:t>
      </w:r>
      <w:r w:rsidRPr="00AC2C72">
        <w:rPr>
          <w:lang w:val="en-US"/>
        </w:rPr>
        <w:t xml:space="preserve"> 2015 will be £238. However, this includes the costs of training guidance counsellors and so the cost is probably less in the following years as the training costs will be reduced if using the same counsellors.</w:t>
      </w:r>
    </w:p>
    <w:p w14:paraId="0E830255" w14:textId="77777777" w:rsidR="0080344A" w:rsidRPr="00AC2C72" w:rsidRDefault="0080344A">
      <w:pPr>
        <w:rPr>
          <w:lang w:val="en-US"/>
        </w:rPr>
      </w:pPr>
      <w:r w:rsidRPr="00AC2C72">
        <w:rPr>
          <w:lang w:val="en-US"/>
        </w:rPr>
        <w:t xml:space="preserve"> </w:t>
      </w:r>
    </w:p>
    <w:p w14:paraId="52FD3332" w14:textId="77777777" w:rsidR="0080344A" w:rsidRPr="00F634F5" w:rsidRDefault="0080344A">
      <w:pPr>
        <w:rPr>
          <w:lang w:val="en-US"/>
        </w:rPr>
      </w:pPr>
      <w:r w:rsidRPr="00F634F5">
        <w:rPr>
          <w:lang w:val="en-US"/>
        </w:rPr>
        <w:t xml:space="preserve">Private costs </w:t>
      </w:r>
    </w:p>
    <w:p w14:paraId="56A1E778" w14:textId="77777777" w:rsidR="0080344A" w:rsidRPr="00AC2C72" w:rsidRDefault="0080344A">
      <w:pPr>
        <w:rPr>
          <w:lang w:val="en-US"/>
        </w:rPr>
      </w:pPr>
    </w:p>
    <w:p w14:paraId="1C39CC6C" w14:textId="7CEC831B" w:rsidR="0080344A" w:rsidRPr="00AC2C72" w:rsidRDefault="0080344A">
      <w:pPr>
        <w:rPr>
          <w:lang w:val="en-US"/>
        </w:rPr>
      </w:pPr>
      <w:r w:rsidRPr="00AC2C72">
        <w:rPr>
          <w:lang w:val="en-US"/>
        </w:rPr>
        <w:t>There i</w:t>
      </w:r>
      <w:r>
        <w:rPr>
          <w:lang w:val="en-US"/>
        </w:rPr>
        <w:t>s a study</w:t>
      </w:r>
      <w:r w:rsidR="003C25E4">
        <w:rPr>
          <w:lang w:val="en-US"/>
        </w:rPr>
        <w:t xml:space="preserve"> by</w:t>
      </w:r>
      <w:r>
        <w:rPr>
          <w:lang w:val="en-US"/>
        </w:rPr>
        <w:t xml:space="preserve"> </w:t>
      </w:r>
      <w:r>
        <w:rPr>
          <w:lang w:val="en-US"/>
        </w:rPr>
        <w:fldChar w:fldCharType="begin" w:fldLock="1"/>
      </w:r>
      <w:r>
        <w:rPr>
          <w:lang w:val="en-US"/>
        </w:rPr>
        <w:instrText>ADDIN CSL_CITATION { "citationItems" : [ { "id" : "ITEM-1", "itemData" : { "DOI" : "10.1007/s10935-013-0330-3", "ISBN" : "1573-6547; 0278-095X", "ISSN" : "0278095X", "PMID" : "24162106", "abstract" : "This paper presents results from a pilot study of the synergies between the opportunity costs incurred by research participants, participant compensation, and program attendance in a family-based substance use and HIV preventive intervention for Hispanic adolescents in Miami-Dade County, Florida. To estimate parent/caretaker cost per session and cost for the duration of the intervention, we administered the Caretaker Drug Abuse Treatment Cost Analysis Program to a random sample of 34 families who participated in a recent clinical trial of Familias Unidas. The total opportunity cost per parent/caretaker was under $40 per group session, under $30 per family session, and just over $570 for the duration of the intervention. Participants were compensated between $40 and $50 per session and attended more than 79% of family and group sessions. Parents and caretakers incurred a cost of approximately $30-40 per intervention session for which they were adequately compensated. Attendance was very good overall for this group (&gt;79%) and significantly higher than attendance in a comparable uncompensated study group from another recent Familias Unidas trial that targeted similar youth. Findings suggest that incentives should be considered important for future implementations of Familias Unidas and similar family-based interventions that target minority and low-SES populations.", "author" : [ { "dropping-particle" : "", "family" : "McCollister", "given" : "Kathryn E.", "non-dropping-particle" : "", "parse-names" : false, "suffix" : "" }, { "dropping-particle" : "", "family" : "Freitas", "given" : "Derek M.", "non-dropping-particle" : "", "parse-names" : false, "suffix" : "" }, { "dropping-particle" : "", "family" : "Prado", "given" : "Guillermo", "non-dropping-particle" : "", "parse-names" : false, "suffix" : "" }, { "dropping-particle" : "", "family" : "Pantin", "given" : "Hilda", "non-dropping-particle" : "", "parse-names" : false, "suffix" : "" } ], "container-title" : "Journal of Primary Prevention", "id" : "ITEM-1", "issue" : "1", "issued" : { "date-parts" : [ [ "2014" ] ] }, "page" : "13-20", "title" : "Opportunity costs and financial incentives for Hispanic youth participating in a family-based HIV and substance use preventive intervention", "type" : "article-journal", "volume" : "35" }, "uris" : [ "http://www.mendeley.com/documents/?uuid=f4c13082-f898-445d-89a2-c93e389be5c2" ] } ], "mendeley" : { "formattedCitation" : "(McCollister et al. 2014)", "manualFormatting" : "McCollister et al. (2014)", "plainTextFormattedCitation" : "(McCollister et al. 2014)", "previouslyFormattedCitation" : "(McCollister et al. 2014)" }, "properties" : { "noteIndex" : 0 }, "schema" : "https://github.com/citation-style-language/schema/raw/master/csl-citation.json" }</w:instrText>
      </w:r>
      <w:r>
        <w:rPr>
          <w:lang w:val="en-US"/>
        </w:rPr>
        <w:fldChar w:fldCharType="separate"/>
      </w:r>
      <w:r w:rsidRPr="00085181">
        <w:rPr>
          <w:noProof/>
          <w:lang w:val="en-US"/>
        </w:rPr>
        <w:t xml:space="preserve">McCollister et al. </w:t>
      </w:r>
      <w:r>
        <w:rPr>
          <w:noProof/>
          <w:lang w:val="en-US"/>
        </w:rPr>
        <w:t>(</w:t>
      </w:r>
      <w:r w:rsidRPr="00085181">
        <w:rPr>
          <w:noProof/>
          <w:lang w:val="en-US"/>
        </w:rPr>
        <w:t>2014)</w:t>
      </w:r>
      <w:r>
        <w:rPr>
          <w:lang w:val="en-US"/>
        </w:rPr>
        <w:fldChar w:fldCharType="end"/>
      </w:r>
      <w:r w:rsidRPr="00AC2C72">
        <w:rPr>
          <w:lang w:val="en-US"/>
        </w:rPr>
        <w:t xml:space="preserve"> which looked at the opportunity costs for individuals who were enrolled in the Familias Unidas programme but this was concerned with whether the private costs incurred were in line with the payments that were made to families to be involved. This study found that the total opportunity cost per parent/caretaker was under $40 per group session, under $30 per family session, and just over $570 for the duration of the intervention. Participants were compensated between $40 and $50 per session which meant that the amount they were compensated was commensurate with the opportunity costs they had incurred.</w:t>
      </w:r>
    </w:p>
    <w:p w14:paraId="70641F4D" w14:textId="77777777" w:rsidR="0080344A" w:rsidRPr="00AC2C72" w:rsidRDefault="0080344A">
      <w:pPr>
        <w:rPr>
          <w:lang w:val="en-US"/>
        </w:rPr>
      </w:pPr>
    </w:p>
    <w:p w14:paraId="740CBF18" w14:textId="77777777" w:rsidR="0080344A" w:rsidRPr="00AC2C72" w:rsidRDefault="0080344A">
      <w:pPr>
        <w:rPr>
          <w:lang w:val="en-US"/>
        </w:rPr>
      </w:pPr>
    </w:p>
    <w:p w14:paraId="2652D4C3" w14:textId="44C263D6" w:rsidR="00F80585" w:rsidRPr="00AC2C72" w:rsidRDefault="00040633">
      <w:pPr>
        <w:pStyle w:val="Heading6"/>
        <w:rPr>
          <w:lang w:val="en-US"/>
        </w:rPr>
      </w:pPr>
      <w:r w:rsidRPr="00AC2C72">
        <w:rPr>
          <w:lang w:val="en-US"/>
        </w:rPr>
        <w:fldChar w:fldCharType="begin" w:fldLock="1"/>
      </w:r>
      <w:r w:rsidR="00023D29">
        <w:rPr>
          <w:lang w:val="en-US"/>
        </w:rPr>
        <w:instrText>ADDIN CSL_CITATION { "citationItems" : [ { "id" : "ITEM-1", "itemData" : { "DOI" : "10.3109/14659890903075074", "ISBN" : "14659891 (ISSN)", "ISSN" : "1465-9891", "abstract" : "The prevalence of ecstasy (MDMA) use has increased significantly in recent years, particularly amongst young people. Despite the existence of a sizable population of regular ecstasy users and emergent evidence of a range of associated harms, including dependence, to date no effective targeted intervention responses have been reported specifically for this group. The aim of this study was to evaluate the efficacy of a single session brief intervention in reducing ecstasy use and related problems among regular ecstasy users. In a randomized controlled trial conducted in Sydney, Australia, 50 adult ecstasy users were assigned to either a single session brief intervention or an assessment-only 3-month delayed treatment control condition. Primary outcome measures were days of ecstasy use and number of DSM-IV dependence symptoms reported. At 3-month follow-up significant differences were found in favour of the intervention group on measures of DSM-IV dependence symptoms reported and Severity of Dependence Scale score. No statistically significant differences were detected on measures of quantity and frequency of use. While abstinence rates differed between groups by a factor of 4 (16 vs. 4), this difference did not achieve statistical significance. Between group effect sizes at follow-up, all in favour of the intervention group, were moderate on the main outcome measures. The approach is acceptable to participants and merits further evaluation. \u00a9 2010 Informa UK, Ltd.", "author" : [ { "dropping-particle" : "", "family" : "Martin", "given" : "G", "non-dropping-particle" : "", "parse-names" : false, "suffix" : "" }, { "dropping-particle" : "", "family" : "Copeland", "given" : "J", "non-dropping-particle" : "", "parse-names" : false, "suffix" : "" } ], "container-title" : "Journal of Substance Use", "id" : "ITEM-1", "issue" : "2", "issued" : { "date-parts" : [ [ "2010" ] ] }, "page" : "131-142", "title" : "Brief intervention for regular ecstasy (MDMA) users: Pilot randomized trial of a check-up model", "type" : "article-journal", "volume" : "15" }, "uris" : [ "http://www.mendeley.com/documents/?uuid=e32af904-8fa6-410c-bec2-637806755a0e" ] } ], "mendeley" : { "formattedCitation" : "(Martin &amp; Copeland 2010)", "manualFormatting" : "Martin et al. (2010)", "plainTextFormattedCitation" : "(Martin &amp; Copeland 2010)", "previouslyFormattedCitation" : "(Martin &amp; Copeland 2010)" }, "properties" : { "noteIndex" : 0 }, "schema" : "https://github.com/citation-style-language/schema/raw/master/csl-citation.json" }</w:instrText>
      </w:r>
      <w:r w:rsidRPr="00AC2C72">
        <w:rPr>
          <w:lang w:val="en-US"/>
        </w:rPr>
        <w:fldChar w:fldCharType="separate"/>
      </w:r>
      <w:r w:rsidR="00BD29B0">
        <w:rPr>
          <w:noProof/>
          <w:lang w:val="en-US"/>
        </w:rPr>
        <w:t xml:space="preserve">Martin et al. </w:t>
      </w:r>
      <w:r w:rsidRPr="00AC2C72">
        <w:rPr>
          <w:noProof/>
          <w:lang w:val="en-US"/>
        </w:rPr>
        <w:t>(2010)</w:t>
      </w:r>
      <w:r w:rsidRPr="00AC2C72">
        <w:rPr>
          <w:lang w:val="en-US"/>
        </w:rPr>
        <w:fldChar w:fldCharType="end"/>
      </w:r>
      <w:r w:rsidR="00F80585" w:rsidRPr="00AC2C72">
        <w:rPr>
          <w:lang w:val="en-US"/>
        </w:rPr>
        <w:t xml:space="preserve"> Brief intervention for regular ecstasy (MDMA) users:</w:t>
      </w:r>
      <w:r w:rsidR="00F80585" w:rsidRPr="00AC2C72">
        <w:rPr>
          <w:lang w:val="en-US"/>
        </w:rPr>
        <w:br/>
        <w:t>Pilot randomized trial of a Check-up model</w:t>
      </w:r>
    </w:p>
    <w:p w14:paraId="52B905F8" w14:textId="77777777" w:rsidR="00F80585" w:rsidRPr="00AC2C72" w:rsidRDefault="00F80585"/>
    <w:p w14:paraId="1F26DFBA" w14:textId="77179885" w:rsidR="00F80585" w:rsidRPr="00AC2C72" w:rsidRDefault="00F80585">
      <w:r w:rsidRPr="00AC2C72">
        <w:t xml:space="preserve">This was a single motivational interviewing session delivered by a doctoral level clinician. Cost per hour of contact time for a clinical psychologist from PSSRU reference costs is £138. </w:t>
      </w:r>
      <w:r w:rsidR="00604D4B" w:rsidRPr="00AC2C72">
        <w:t>There is some uncertainty around the costs and the competencies required for this type of intervention, so we have varied the costs significantly in the sensitivity analysis. We have assumed that the costs would be similar to the salary costs of a mental health nurse on around £25,000 p.a. from PSSRU, which would be £67 an hour.</w:t>
      </w:r>
    </w:p>
    <w:p w14:paraId="316193E0" w14:textId="77777777" w:rsidR="00F80585" w:rsidRPr="00AC2C72" w:rsidRDefault="00F80585"/>
    <w:p w14:paraId="5BA63CCB" w14:textId="77777777" w:rsidR="00F80585" w:rsidRPr="00AC2C72" w:rsidRDefault="00F80585"/>
    <w:p w14:paraId="3069D0F4" w14:textId="40689E5C" w:rsidR="00F80585" w:rsidRPr="00AC2C72" w:rsidRDefault="00934BE4">
      <w:pPr>
        <w:pStyle w:val="Heading6"/>
        <w:rPr>
          <w:lang w:val="en-US"/>
        </w:rPr>
      </w:pPr>
      <w:r w:rsidRPr="00AC2C72">
        <w:rPr>
          <w:lang w:val="en-US"/>
        </w:rPr>
        <w:fldChar w:fldCharType="begin" w:fldLock="1"/>
      </w:r>
      <w:r w:rsidR="00962964">
        <w:rPr>
          <w:lang w:val="en-US"/>
        </w:rPr>
        <w:instrText>ADDIN CSL_CITATION { "citationItems" : [ { "id" : "ITEM-1", "itemData" : { "DOI" : "10.1037/a0035311", "ISBN" : "1939-2117(Electronic);0022-006X(Print)", "ISSN" : "1939-2117", "PMID" : "24364800", "abstract" : "OBJECTIVE: Young gay and bisexual men (YGBM) are disproportionally at risk of HIV infection due to sexual risk behaviors, which are often exacerbated by recreational drug use. However, there have been no evidence-based interventions targeting substance-using YGBM. This study was designed to test a brief motivational interviewing (MI) intervention to reduce both risky sex and drug use among HIV-negative YGBM.\\n\\nMETHOD: A total of 143 non-treatment-seeking YGBM (ages 18-29 years) who reported recent unprotected anal intercourse (UAI) and recreational drug use were randomized to 4 sessions of MI or 4 sessions of content-matched education. Participants were followed every 3 months for 1 year, and behavior change was examined across conditions and time for aggregated and day-level drug use and UAI.\\n\\nRESULTS: Regardless of condition, participants reported significant reductions in UAI and substance use over time. However, YGBM in the MI condition were 18% less likely to use drugs and 24% less likely to engage in UAI than YGBM in the education condition.\\n\\nCONCLUSIONS: The results support the utility of MI, compared with a content-matched education condition, to significantly reduce both UAI and drug use among YGBM. Interventions may benefit from an emphasis on substance use reductions, which might indirectly lead to less frequent UAI. Future research efforts should examine whether this type of brief MI intervention is effective when delivered by clinic or community settings utilized by YGBM.", "author" : [ { "dropping-particle" : "", "family" : "Parsons", "given" : "Jeffrey T", "non-dropping-particle" : "", "parse-names" : false, "suffix" : "" }, { "dropping-particle" : "", "family" : "Lelutiu-Weinberger", "given" : "Corina", "non-dropping-particle" : "", "parse-names" : false, "suffix" : "" }, { "dropping-particle" : "", "family" : "Botsko", "given" : "Michael", "non-dropping-particle" : "", "parse-names" : false, "suffix" : "" }, { "dropping-particle" : "", "family" : "Golub", "given" : "Sarit A", "non-dropping-particle" : "", "parse-names" : false, "suffix" : "" } ], "container-title" : "Journal of consulting and clinical psychology", "id" : "ITEM-1", "issue" : "1", "issued" : { "date-parts" : [ [ "2014" ] ] }, "page" : "9-18", "title" : "A randomized controlled trial utilizing motivational interviewing to reduce HIV risk and drug use in young gay and bisexual men.", "type" : "article-journal", "volume" : "82" }, "uris" : [ "http://www.mendeley.com/documents/?uuid=38da2dbe-08e6-4e6f-b2ec-9393fd1ace2e" ] } ], "mendeley" : { "formattedCitation" : "(J. T. Parsons et al. 2014)", "manualFormatting" : "Parsons et al. (2014)", "plainTextFormattedCitation" : "(J. T. Parsons et al. 2014)", "previouslyFormattedCitation" : "(J. T. Parsons et al. 2014)" }, "properties" : { "noteIndex" : 0 }, "schema" : "https://github.com/citation-style-language/schema/raw/master/csl-citation.json" }</w:instrText>
      </w:r>
      <w:r w:rsidRPr="00AC2C72">
        <w:rPr>
          <w:lang w:val="en-US"/>
        </w:rPr>
        <w:fldChar w:fldCharType="separate"/>
      </w:r>
      <w:r w:rsidRPr="00AC2C72">
        <w:rPr>
          <w:noProof/>
          <w:lang w:val="en-US"/>
        </w:rPr>
        <w:t>Parsons et al. (2014)</w:t>
      </w:r>
      <w:r w:rsidRPr="00AC2C72">
        <w:rPr>
          <w:lang w:val="en-US"/>
        </w:rPr>
        <w:fldChar w:fldCharType="end"/>
      </w:r>
      <w:r w:rsidR="00F80585" w:rsidRPr="00AC2C72">
        <w:rPr>
          <w:lang w:val="en-US"/>
        </w:rPr>
        <w:t xml:space="preserve"> A randomized controlled trial utilizing motivational interviewing to reduce HIV risk and drug use in young gay and bisexual men</w:t>
      </w:r>
    </w:p>
    <w:p w14:paraId="6681FAED" w14:textId="77777777" w:rsidR="00F80585" w:rsidRPr="00AC2C72" w:rsidRDefault="00F80585">
      <w:pPr>
        <w:rPr>
          <w:lang w:val="en-US"/>
        </w:rPr>
      </w:pPr>
    </w:p>
    <w:p w14:paraId="23845195" w14:textId="1A0BF6E6" w:rsidR="00F80585" w:rsidRDefault="00F80585">
      <w:r w:rsidRPr="00AC2C72">
        <w:t xml:space="preserve">The costs for this programme are likely to be similar to those for Morgenstern et al. (2009) and it may actually be a very similar programme as both authors are on the same study group. The study states that </w:t>
      </w:r>
      <w:r w:rsidRPr="00AC2C72">
        <w:rPr>
          <w:lang w:val="en-US"/>
        </w:rPr>
        <w:t>MI sessions were delivered by master’s- and PhD- level therapists who had participated in a 3-day MI training and received weekly individual and group supervision throughout the project. But the study also says that</w:t>
      </w:r>
      <w:r w:rsidRPr="00AC2C72">
        <w:t xml:space="preserve"> “</w:t>
      </w:r>
      <w:r w:rsidRPr="00AC2C72">
        <w:rPr>
          <w:lang w:val="en-US"/>
        </w:rPr>
        <w:t xml:space="preserve">this type of MI intervention can be delivered with fidelity by individuals in community settings, with or without graduate-level training”. </w:t>
      </w:r>
      <w:r w:rsidRPr="00AC2C72">
        <w:t>Cost per hour of contact time for a clinical psychologist is £138, from p. 183 of Curtis L. (2014) Unit Costs of Health and Social Care 2014, PSSRU</w:t>
      </w:r>
      <w:r w:rsidR="00213752">
        <w:t xml:space="preserve"> </w:t>
      </w:r>
      <w:r w:rsidR="00213752">
        <w:fldChar w:fldCharType="begin" w:fldLock="1"/>
      </w:r>
      <w:r w:rsidR="00213752">
        <w:instrText>ADDIN CSL_CITATION { "citationItems" : [ { "id" : "ITEM-1", "itemData" : { "URL" : "http://www.pssru.ac.uk/project-pages/unit-costs/2015/", "author" : [ { "dropping-particle" : "", "family" : "Curtis", "given" : "Lesley", "non-dropping-particle" : "", "parse-names" : false, "suffix" : "" }, { "dropping-particle" : "", "family" : "Burns", "given" : "Amanda", "non-dropping-particle" : "", "parse-names" : false, "suffix" : "" } ], "id" : "ITEM-1", "issued" : { "date-parts" : [ [ "2014" ] ] }, "title" : "PSSRU | Unit Costs of Health and Social Care 2015", "type" : "webpage" }, "uris" : [ "http://www.mendeley.com/documents/?uuid=7ba05230-56df-4fff-be8d-f287bafcb424" ] } ], "mendeley" : { "formattedCitation" : "(Curtis &amp; Burns 2014)", "plainTextFormattedCitation" : "(Curtis &amp; Burns 2014)", "previouslyFormattedCitation" : "(Curtis &amp; Burns 2014)" }, "properties" : { "noteIndex" : 0 }, "schema" : "https://github.com/citation-style-language/schema/raw/master/csl-citation.json" }</w:instrText>
      </w:r>
      <w:r w:rsidR="00213752">
        <w:fldChar w:fldCharType="separate"/>
      </w:r>
      <w:r w:rsidR="00213752" w:rsidRPr="00213752">
        <w:rPr>
          <w:noProof/>
        </w:rPr>
        <w:t>(Curtis &amp; Burns 2014)</w:t>
      </w:r>
      <w:r w:rsidR="00213752">
        <w:fldChar w:fldCharType="end"/>
      </w:r>
      <w:r w:rsidRPr="00AC2C72">
        <w:t xml:space="preserve">. There is a 2015 edition of this resource but this does not include specific costs for clinical psychologists. </w:t>
      </w:r>
      <w:r w:rsidR="00604D4B" w:rsidRPr="00AC2C72">
        <w:t>There is some uncertainty around the costs and the competencies required for this type of intervention, so we have varied the costs significantly in the sensitivity analysis. We have assumed that the costs would be similar to the salary costs of a mental health nurse on around £25,000 p.a. from PSSRU, which would be £67 an hour.</w:t>
      </w:r>
    </w:p>
    <w:p w14:paraId="1A63A90C" w14:textId="77777777" w:rsidR="0027020C" w:rsidRDefault="0027020C"/>
    <w:p w14:paraId="7AB14781" w14:textId="77777777" w:rsidR="0027020C" w:rsidRPr="00AC2C72" w:rsidRDefault="0027020C">
      <w:pPr>
        <w:pStyle w:val="Heading6"/>
      </w:pPr>
      <w:r w:rsidRPr="00AC2C72">
        <w:rPr>
          <w:lang w:val="en-US"/>
        </w:rPr>
        <w:fldChar w:fldCharType="begin" w:fldLock="1"/>
      </w:r>
      <w:r w:rsidRPr="00AC2C72">
        <w:rPr>
          <w:lang w:val="en-US"/>
        </w:rPr>
        <w:instrText>ADDIN CSL_CITATION { "citationItems" : [ { "id" : "ITEM-1", "itemData" : { "DOI" : "10.1037/a0015588", "ISSN" : "1939-2117", "PMID" : "19634958", "abstract" : "The authors examined the effectiveness of motivational interviewing (MI) on club drug use and risky sex in non-treatment-seeking men who have sex with men (MSM). MSM (N = 150) were assessed and randomly assigned to 4 sessions of MI or an educational control intervention. Follow-up occurred at quarterly intervals for 1 year. Primary outcomes were days of any club drug use and number of unsafe sex acts. On average, club drug use declined during follow-up. A significant interaction effect showed that MI was associated with less club drug use during follow-up compared with education but only among participants with lower severity of drug dependence (p &lt; .02; small to medium effect size). MI did not result in a significant reduction in risky sex relative to education. The results support the use of MI targeting club drug use in at-risk or mildly dependent users not seeking treatment but not in more severely dependent users. MI does not appear effective in reducing risky sexual behavior in this population.", "author" : [ { "dropping-particle" : "", "family" : "Morgenstern", "given" : "Jon", "non-dropping-particle" : "", "parse-names" : false, "suffix" : "" }, { "dropping-particle" : "", "family" : "Bux", "given" : "Donald A", "non-dropping-particle" : "", "parse-names" : false, "suffix" : "" }, { "dropping-particle" : "", "family" : "Parsons", "given" : "Jeffrey", "non-dropping-particle" : "", "parse-names" : false, "suffix" : "" }, { "dropping-particle" : "", "family" : "Hagman", "given" : "Brett T", "non-dropping-particle" : "", "parse-names" : false, "suffix" : "" }, { "dropping-particle" : "", "family" : "Wainberg", "given" : "Milton", "non-dropping-particle" : "", "parse-names" : false, "suffix" : "" }, { "dropping-particle" : "", "family" : "Irwin", "given" : "Thomas", "non-dropping-particle" : "", "parse-names" : false, "suffix" : "" } ], "container-title" : "Journal of consulting and clinical psychology", "id" : "ITEM-1", "issue" : "4", "issued" : { "date-parts" : [ [ "2009" ] ] }, "page" : "645-56", "title" : "Randomized trial to reduce club drug use and HIV risk behaviors among men who have sex with men.", "type" : "article-journal", "volume" : "77" }, "uris" : [ "http://www.mendeley.com/documents/?uuid=b62caac1-d14a-4303-a7d7-5acc4c1cdea4" ] } ], "mendeley" : { "formattedCitation" : "(Morgenstern et al. 2009)", "manualFormatting" : "Morgenstern et al. (2009", "plainTextFormattedCitation" : "(Morgenstern et al. 2009)", "previouslyFormattedCitation" : "(Morgenstern et al. 2009)" }, "properties" : { "noteIndex" : 0 }, "schema" : "https://github.com/citation-style-language/schema/raw/master/csl-citation.json" }</w:instrText>
      </w:r>
      <w:r w:rsidRPr="00AC2C72">
        <w:rPr>
          <w:lang w:val="en-US"/>
        </w:rPr>
        <w:fldChar w:fldCharType="separate"/>
      </w:r>
      <w:r w:rsidRPr="00AC2C72">
        <w:rPr>
          <w:noProof/>
          <w:lang w:val="en-US"/>
        </w:rPr>
        <w:t>Morgenstern et al. (2009</w:t>
      </w:r>
      <w:r w:rsidRPr="00AC2C72">
        <w:rPr>
          <w:lang w:val="en-US"/>
        </w:rPr>
        <w:fldChar w:fldCharType="end"/>
      </w:r>
      <w:r w:rsidRPr="00AC2C72">
        <w:rPr>
          <w:lang w:val="en-US"/>
        </w:rPr>
        <w:t>) Randomized Trial to Reduce Club Drug Use and HIV Risk Behaviors Among Men Who Have Sex With Men</w:t>
      </w:r>
    </w:p>
    <w:p w14:paraId="7E111785" w14:textId="77777777" w:rsidR="0027020C" w:rsidRPr="00AC2C72" w:rsidRDefault="0027020C"/>
    <w:p w14:paraId="70C04CAA" w14:textId="77777777" w:rsidR="0027020C" w:rsidRDefault="0027020C">
      <w:r w:rsidRPr="00AC2C72">
        <w:t xml:space="preserve">The study states that the four motivational interviewing interventions were carried out one to one by a PhD level psychologist. Cost per hour of contact time for a clinical psychologist is £138, from p. 183 of </w:t>
      </w:r>
      <w:r w:rsidRPr="00AC2C72">
        <w:rPr>
          <w:noProof/>
        </w:rPr>
        <w:t xml:space="preserve">Curtis &amp; Burns (2014) </w:t>
      </w:r>
      <w:r w:rsidRPr="00AC2C72">
        <w:t xml:space="preserve">Unit Costs of Health and Social Care 2014, PSSRU. There is a more recent 2015 edition of this resource but this does not include specific costs for clinical psychologists. Based on this, the estimated cost for the four one hour sessions of MI would be £552. It was felt by some of the experts we consulted that this type of intervention should be deliverable by a non-clinical drugs worker with the right kind of ‘cultural competencies’. We have assumed that the costs would be similar to the salary costs of a mental health nurse on around £25,000 p.a. from PSSRU, which would be £67 an hour, or £268 for four hours. There is some uncertainty around the costs and the competencies required </w:t>
      </w:r>
      <w:r w:rsidRPr="00AC2C72">
        <w:lastRenderedPageBreak/>
        <w:t xml:space="preserve">for this type of intervention, so we have varied the costs significantly in the sensitivity analysis. </w:t>
      </w:r>
    </w:p>
    <w:p w14:paraId="0D0D32C9" w14:textId="77777777" w:rsidR="0027020C" w:rsidRDefault="0027020C"/>
    <w:p w14:paraId="300574D8" w14:textId="77777777" w:rsidR="0027020C" w:rsidRPr="00AC2C72" w:rsidRDefault="0027020C">
      <w:pPr>
        <w:pStyle w:val="Heading6"/>
        <w:rPr>
          <w:lang w:val="en-US"/>
        </w:rPr>
      </w:pPr>
      <w:r w:rsidRPr="00AC2C72">
        <w:rPr>
          <w:lang w:val="en-US"/>
        </w:rPr>
        <w:fldChar w:fldCharType="begin" w:fldLock="1"/>
      </w:r>
      <w:r w:rsidRPr="00AC2C72">
        <w:rPr>
          <w:lang w:val="en-US"/>
        </w:rPr>
        <w:instrText>ADDIN CSL_CITATION { "citationItems" : [ { "id" : "ITEM-1", "itemData" : { "DOI" : "10.1016/j.jadohealth.2011.08.009", "ISBN" : "1054-139X, 1054-139X", "ISSN" : "1054139X", "PMID" : "22443839", "abstract" : "Purpose: We evaluate the efficacy of a short family intervention in reducing sexual risk behavior, drug use, and delinquent behaviors among homeless youth. Methods: A randomized controlled trial of 151 families with a homeless adolescent aged 12 to 17 years. Between March 2006 and June 2009, adolescents were recruited from diverse sites in Southern California and were assessed at recruitment (baseline), and at 3, 6, and 12 months later. Families were randomly assigned to an intervention condition with five weekly home-based intervention sessions or a control condition (standard care). Main outcome measures reflect self-reported sexual risk behavior, substance use, and delinquent behaviors over the past 90 days. Results: Sexual risk behavior (e.g., mean number of partners; p &lt;.001), alcohol use (p =.003), hard drug use (p &lt;.001), and delinquent behaviors (p =.001) decreased significantly more during 12 months in the intervention condition compared with the control condition. Marijuana use, however, significantly increased in the intervention condition compared with the control condition (p &lt;.001). Conclusions: An intervention to reengage families of homeless youth has significant benefits in reducing risk over 12 months. ?? 2012 Society for Adolescent Health and Medicine. All rights reserved.", "author" : [ { "dropping-particle" : "", "family" : "Milburn", "given" : "Norweeta G.", "non-dropping-particle" : "", "parse-names" : false, "suffix" : "" }, { "dropping-particle" : "", "family" : "Iribarren", "given" : "Francisco Javier", "non-dropping-particle" : "", "parse-names" : false, "suffix" : "" }, { "dropping-particle" : "", "family" : "Rice", "given" : "Eric", "non-dropping-particle" : "", "parse-names" : false, "suffix" : "" }, { "dropping-particle" : "", "family" : "Lightfoot", "given" : "Marguerita", "non-dropping-particle" : "", "parse-names" : false, "suffix" : "" }, { "dropping-particle" : "", "family" : "Solorio", "given" : "Rosa", "non-dropping-particle" : "", "parse-names" : false, "suffix" : "" }, { "dropping-particle" : "", "family" : "Rotheram-Borus", "given" : "Mary Jane", "non-dropping-particle" : "", "parse-names" : false, "suffix" : "" }, { "dropping-particle" : "", "family" : "Desmond", "given" : "Katherine", "non-dropping-particle" : "", "parse-names" : false, "suffix" : "" }, { "dropping-particle" : "", "family" : "Lee", "given" : "Alex", "non-dropping-particle" : "", "parse-names" : false, "suffix" : "" }, { "dropping-particle" : "", "family" : "Alexander", "given" : "Kwame", "non-dropping-particle" : "", "parse-names" : false, "suffix" : "" }, { "dropping-particle" : "", "family" : "Maresca", "given" : "Katherine", "non-dropping-particle" : "", "parse-names" : false, "suffix" : "" }, { "dropping-particle" : "", "family" : "Eastmen", "given" : "Karen", "non-dropping-particle" : "", "parse-names" : false, "suffix" : "" }, { "dropping-particle" : "", "family" : "Arnold", "given" : "Elizabeth Mayfield", "non-dropping-particle" : "", "parse-names" : false, "suffix" : "" }, { "dropping-particle" : "", "family" : "Duan", "given" : "Naihua", "non-dropping-particle" : "", "parse-names" : false, "suffix" : "" } ], "container-title" : "Journal of Adolescent Health", "id" : "ITEM-1", "issue" : "4", "issued" : { "date-parts" : [ [ "2012" ] ] }, "page" : "358-364", "publisher" : "Elsevier Inc.", "title" : "A family intervention to reduce sexual risk behavior, substance use, and delinquency among newly homeless youth", "type" : "article-journal", "volume" : "50" }, "uris" : [ "http://www.mendeley.com/documents/?uuid=dd0d869a-4fcb-4a93-8221-9751763361e4" ] } ], "mendeley" : { "formattedCitation" : "(Milburn et al. 2012)", "manualFormatting" : "Milburn et al. (2012)", "plainTextFormattedCitation" : "(Milburn et al. 2012)", "previouslyFormattedCitation" : "(Milburn et al. 2012)" }, "properties" : { "noteIndex" : 0 }, "schema" : "https://github.com/citation-style-language/schema/raw/master/csl-citation.json" }</w:instrText>
      </w:r>
      <w:r w:rsidRPr="00AC2C72">
        <w:rPr>
          <w:lang w:val="en-US"/>
        </w:rPr>
        <w:fldChar w:fldCharType="separate"/>
      </w:r>
      <w:r w:rsidRPr="00AC2C72">
        <w:rPr>
          <w:noProof/>
          <w:lang w:val="en-US"/>
        </w:rPr>
        <w:t>Milburn et al. (2012)</w:t>
      </w:r>
      <w:r w:rsidRPr="00AC2C72">
        <w:rPr>
          <w:lang w:val="en-US"/>
        </w:rPr>
        <w:fldChar w:fldCharType="end"/>
      </w:r>
      <w:r w:rsidRPr="00AC2C72">
        <w:rPr>
          <w:lang w:val="en-US"/>
        </w:rPr>
        <w:t xml:space="preserve"> A family intervention to reduce sexual risk behavior, substance use, and delinquency among newly homeless youth</w:t>
      </w:r>
    </w:p>
    <w:p w14:paraId="5C604035" w14:textId="77777777" w:rsidR="0027020C" w:rsidRPr="00AC2C72" w:rsidRDefault="0027020C">
      <w:pPr>
        <w:rPr>
          <w:lang w:val="en-US"/>
        </w:rPr>
      </w:pPr>
    </w:p>
    <w:p w14:paraId="738C24DE" w14:textId="77777777" w:rsidR="0027020C" w:rsidRPr="00AC2C72" w:rsidRDefault="0027020C">
      <w:pPr>
        <w:rPr>
          <w:lang w:val="en-US"/>
        </w:rPr>
      </w:pPr>
      <w:r w:rsidRPr="00AC2C72">
        <w:rPr>
          <w:lang w:val="en-US"/>
        </w:rPr>
        <w:t>The STRIVE (Support to Reunite, Involve and Value Each Other) intervention consisted of five * 1.5 - 2 hour sessions with children and parent/carers together which were normally done in the children’s own home</w:t>
      </w:r>
      <w:r>
        <w:rPr>
          <w:lang w:val="en-US"/>
        </w:rPr>
        <w:t xml:space="preserve"> </w:t>
      </w:r>
      <w:r>
        <w:rPr>
          <w:lang w:val="en-US"/>
        </w:rPr>
        <w:fldChar w:fldCharType="begin" w:fldLock="1"/>
      </w:r>
      <w:r>
        <w:rPr>
          <w:lang w:val="en-US"/>
        </w:rPr>
        <w:instrText>ADDIN CSL_CITATION { "citationItems" : [ { "id" : "ITEM-1", "itemData" : { "URL" : "http://tppevidencereview.aspe.hhs.gov/ProgramDetails.aspx?rid=3&amp;sid=221", "author" : [ { "dropping-particle" : "", "family" : "STRIVE", "given" : "", "non-dropping-particle" : "", "parse-names" : false, "suffix" : "" } ], "id" : "ITEM-1", "issued" : { "date-parts" : [ [ "2016" ] ] }, "title" : "Teen Pregnancy Prevention Evidence Review", "type" : "webpage" }, "uris" : [ "http://www.mendeley.com/documents/?uuid=53b18db5-7c53-4cec-b41e-9e136744925e" ] } ], "mendeley" : { "formattedCitation" : "(STRIVE 2016b)", "plainTextFormattedCitation" : "(STRIVE 2016b)", "previouslyFormattedCitation" : "(STRIVE 2016b)" }, "properties" : { "noteIndex" : 0 }, "schema" : "https://github.com/citation-style-language/schema/raw/master/csl-citation.json" }</w:instrText>
      </w:r>
      <w:r>
        <w:rPr>
          <w:lang w:val="en-US"/>
        </w:rPr>
        <w:fldChar w:fldCharType="separate"/>
      </w:r>
      <w:r w:rsidRPr="00213752">
        <w:rPr>
          <w:noProof/>
          <w:lang w:val="en-US"/>
        </w:rPr>
        <w:t>(STRIVE 2016b)</w:t>
      </w:r>
      <w:r>
        <w:rPr>
          <w:lang w:val="en-US"/>
        </w:rPr>
        <w:fldChar w:fldCharType="end"/>
      </w:r>
      <w:r w:rsidRPr="00AC2C72">
        <w:rPr>
          <w:lang w:val="en-US"/>
        </w:rPr>
        <w:t xml:space="preserve">. The programme website </w:t>
      </w:r>
      <w:r>
        <w:rPr>
          <w:lang w:val="en-US"/>
        </w:rPr>
        <w:t>state</w:t>
      </w:r>
      <w:r w:rsidRPr="00AC2C72">
        <w:rPr>
          <w:lang w:val="en-US"/>
        </w:rPr>
        <w:t xml:space="preserve">s </w:t>
      </w:r>
      <w:r>
        <w:rPr>
          <w:lang w:val="en-US"/>
        </w:rPr>
        <w:t xml:space="preserve">that </w:t>
      </w:r>
      <w:r w:rsidRPr="00AC2C72">
        <w:rPr>
          <w:lang w:val="en-US"/>
        </w:rPr>
        <w:t>facilitators should have experience working with at-risk adolescents and that the programme requires 3 full days training at a cost of $2,112 per person. The programme website states that a degree such as a BA or BS in psychology or counselling, or a degree in MFT (Marriage and Family Therapist) is recommended, but not required</w:t>
      </w:r>
      <w:r>
        <w:rPr>
          <w:lang w:val="en-US"/>
        </w:rPr>
        <w:t xml:space="preserve"> </w:t>
      </w:r>
      <w:r>
        <w:rPr>
          <w:lang w:val="en-US"/>
        </w:rPr>
        <w:fldChar w:fldCharType="begin" w:fldLock="1"/>
      </w:r>
      <w:r>
        <w:rPr>
          <w:lang w:val="en-US"/>
        </w:rPr>
        <w:instrText>ADDIN CSL_CITATION { "citationItems" : [ { "id" : "ITEM-1", "itemData" : { "URL" : "http://www.hhs.gov/ash/oah/oah-initiatives/tpp_program/db/programs/webinars/strive-webinarslides.pdf", "author" : [ { "dropping-particle" : "", "family" : "STRIVE", "given" : "", "non-dropping-particle" : "", "parse-names" : false, "suffix" : "" } ], "id" : "ITEM-1", "issued" : { "date-parts" : [ [ "2016" ] ] }, "title" : "Interviews with Developers of Evidence-Based Programs for Teen Pregnancy Prevention", "type" : "webpage" }, "uris" : [ "http://www.mendeley.com/documents/?uuid=8a17080e-fb1d-47e2-bf85-115f675c8fa5" ] } ], "mendeley" : { "formattedCitation" : "(STRIVE 2016a)", "plainTextFormattedCitation" : "(STRIVE 2016a)", "previouslyFormattedCitation" : "(STRIVE 2016a)" }, "properties" : { "noteIndex" : 0 }, "schema" : "https://github.com/citation-style-language/schema/raw/master/csl-citation.json" }</w:instrText>
      </w:r>
      <w:r>
        <w:rPr>
          <w:lang w:val="en-US"/>
        </w:rPr>
        <w:fldChar w:fldCharType="separate"/>
      </w:r>
      <w:r w:rsidRPr="00213752">
        <w:rPr>
          <w:noProof/>
          <w:lang w:val="en-US"/>
        </w:rPr>
        <w:t>(STRIVE 2016a)</w:t>
      </w:r>
      <w:r>
        <w:rPr>
          <w:lang w:val="en-US"/>
        </w:rPr>
        <w:fldChar w:fldCharType="end"/>
      </w:r>
      <w:r w:rsidRPr="00AC2C72">
        <w:rPr>
          <w:lang w:val="en-US"/>
        </w:rPr>
        <w:t xml:space="preserve">. </w:t>
      </w:r>
    </w:p>
    <w:p w14:paraId="626F3CE7" w14:textId="77777777" w:rsidR="0027020C" w:rsidRPr="00AC2C72" w:rsidRDefault="0027020C">
      <w:pPr>
        <w:rPr>
          <w:lang w:val="en-US"/>
        </w:rPr>
      </w:pPr>
    </w:p>
    <w:p w14:paraId="60804541" w14:textId="77777777" w:rsidR="0027020C" w:rsidRPr="00AC2C72" w:rsidRDefault="0027020C">
      <w:pPr>
        <w:rPr>
          <w:lang w:val="en-US"/>
        </w:rPr>
      </w:pPr>
      <w:r w:rsidRPr="00AC2C72">
        <w:rPr>
          <w:lang w:val="en-US"/>
        </w:rPr>
        <w:t xml:space="preserve">This has been costed using the hourly costings (£55 per hour) for multi systemic therapy which seems to equate reasonably well to this kind of intervention, </w:t>
      </w:r>
      <w:r w:rsidRPr="00AC2C72">
        <w:t xml:space="preserve">from p.89 Unit Costs of Health and Social Care 2015, PSSRU. Based on five, two-hour sessions the cost of the intervention is £550. With an extra 50% for additional overheads and travel the cost is £825. In the modelling we have assumed that family costs equate to individual costs. </w:t>
      </w:r>
    </w:p>
    <w:p w14:paraId="33EDB890" w14:textId="77777777" w:rsidR="0027020C" w:rsidRPr="00AC2C72" w:rsidRDefault="0027020C">
      <w:pPr>
        <w:rPr>
          <w:lang w:val="en-US"/>
        </w:rPr>
      </w:pPr>
    </w:p>
    <w:p w14:paraId="41CE4002" w14:textId="77777777" w:rsidR="0027020C" w:rsidRPr="00AC2C72" w:rsidRDefault="0027020C">
      <w:pPr>
        <w:rPr>
          <w:lang w:val="en-US"/>
        </w:rPr>
      </w:pPr>
      <w:r w:rsidRPr="00AC2C72">
        <w:rPr>
          <w:lang w:val="en-US"/>
        </w:rPr>
        <w:t>(Note: There is also a UK programme for homeless people with the same name (STRIVE), a Government funded homelessness skills and employment support pilot.)</w:t>
      </w:r>
    </w:p>
    <w:p w14:paraId="3508DCA5" w14:textId="77777777" w:rsidR="0027020C" w:rsidRPr="00AC2C72" w:rsidRDefault="0027020C"/>
    <w:p w14:paraId="263A81CB" w14:textId="77777777" w:rsidR="00F80585" w:rsidRPr="00AC2C72" w:rsidRDefault="00F80585"/>
    <w:p w14:paraId="2D921938" w14:textId="77777777" w:rsidR="00F80585" w:rsidRPr="00AC2C72" w:rsidRDefault="00F80585">
      <w:pPr>
        <w:pStyle w:val="Heading6"/>
      </w:pPr>
      <w:r w:rsidRPr="00AC2C72">
        <w:t>Sensitivity Analysis</w:t>
      </w:r>
    </w:p>
    <w:p w14:paraId="58DE5654" w14:textId="77777777" w:rsidR="00F80585" w:rsidRPr="00AC2C72" w:rsidRDefault="00F80585"/>
    <w:p w14:paraId="64A2BE50" w14:textId="45082639" w:rsidR="00F80585" w:rsidRPr="00AC2C72" w:rsidRDefault="00F80585">
      <w:r w:rsidRPr="00AC2C72">
        <w:t xml:space="preserve">Input variables in the model will be subject to some imprecision. Sensitivity analysis is used to translate the imprecision in all input variables into a measure of decision uncertainty in the cost effectiveness of the options being compared. </w:t>
      </w:r>
      <w:r w:rsidR="00A35AE1">
        <w:fldChar w:fldCharType="begin"/>
      </w:r>
      <w:r w:rsidR="00A35AE1">
        <w:instrText xml:space="preserve"> REF _Ref448419343 \h </w:instrText>
      </w:r>
      <w:r w:rsidR="00940B3D">
        <w:instrText xml:space="preserve"> \* MERGEFORMAT </w:instrText>
      </w:r>
      <w:r w:rsidR="00A35AE1">
        <w:fldChar w:fldCharType="separate"/>
      </w:r>
      <w:r w:rsidR="0087365D" w:rsidRPr="00AC2C72">
        <w:t xml:space="preserve">Table </w:t>
      </w:r>
      <w:r w:rsidR="0087365D">
        <w:rPr>
          <w:noProof/>
        </w:rPr>
        <w:t>3</w:t>
      </w:r>
      <w:r w:rsidR="00A35AE1">
        <w:fldChar w:fldCharType="end"/>
      </w:r>
      <w:r w:rsidR="00A35AE1">
        <w:t xml:space="preserve"> provides a summary of intervention cost estimates.</w:t>
      </w:r>
    </w:p>
    <w:p w14:paraId="526BEF2F" w14:textId="77777777" w:rsidR="00F80585" w:rsidRPr="00AC2C72" w:rsidRDefault="00F80585"/>
    <w:p w14:paraId="11C3BC0A" w14:textId="0C128189" w:rsidR="00F80585" w:rsidRPr="00AC2C72" w:rsidRDefault="00F80585" w:rsidP="00221584">
      <w:pPr>
        <w:pStyle w:val="Caption"/>
      </w:pPr>
      <w:bookmarkStart w:id="29" w:name="_Ref448419343"/>
      <w:r w:rsidRPr="00AC2C72">
        <w:lastRenderedPageBreak/>
        <w:t xml:space="preserve">Table </w:t>
      </w:r>
      <w:fldSimple w:instr=" SEQ Table \* ARABIC ">
        <w:r w:rsidR="00D00623">
          <w:rPr>
            <w:noProof/>
          </w:rPr>
          <w:t>3</w:t>
        </w:r>
      </w:fldSimple>
      <w:bookmarkEnd w:id="29"/>
      <w:r w:rsidRPr="00AC2C72">
        <w:t>. Summary – intervention cost estimates</w:t>
      </w:r>
    </w:p>
    <w:tbl>
      <w:tblPr>
        <w:tblW w:w="5427" w:type="pct"/>
        <w:tblLayout w:type="fixed"/>
        <w:tblLook w:val="04A0" w:firstRow="1" w:lastRow="0" w:firstColumn="1" w:lastColumn="0" w:noHBand="0" w:noVBand="1"/>
      </w:tblPr>
      <w:tblGrid>
        <w:gridCol w:w="6065"/>
        <w:gridCol w:w="1416"/>
        <w:gridCol w:w="1278"/>
        <w:gridCol w:w="1272"/>
      </w:tblGrid>
      <w:tr w:rsidR="00F80585" w:rsidRPr="00AF2AAA" w14:paraId="03A1707F" w14:textId="77777777" w:rsidTr="0027020C">
        <w:trPr>
          <w:trHeight w:val="525"/>
        </w:trPr>
        <w:tc>
          <w:tcPr>
            <w:tcW w:w="302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117692" w14:textId="77777777" w:rsidR="00F80585" w:rsidRPr="00F634F5" w:rsidRDefault="00F80585" w:rsidP="00221584">
            <w:pPr>
              <w:keepNext/>
            </w:pPr>
            <w:r w:rsidRPr="00F634F5">
              <w:t>Study</w:t>
            </w:r>
          </w:p>
        </w:tc>
        <w:tc>
          <w:tcPr>
            <w:tcW w:w="706" w:type="pct"/>
            <w:tcBorders>
              <w:top w:val="single" w:sz="8" w:space="0" w:color="auto"/>
              <w:left w:val="nil"/>
              <w:bottom w:val="single" w:sz="8" w:space="0" w:color="auto"/>
              <w:right w:val="single" w:sz="8" w:space="0" w:color="auto"/>
            </w:tcBorders>
            <w:shd w:val="clear" w:color="auto" w:fill="auto"/>
            <w:vAlign w:val="center"/>
            <w:hideMark/>
          </w:tcPr>
          <w:p w14:paraId="41FE7596" w14:textId="77777777" w:rsidR="00F80585" w:rsidRPr="00F634F5" w:rsidRDefault="00F80585" w:rsidP="00221584">
            <w:pPr>
              <w:keepNext/>
            </w:pPr>
            <w:r w:rsidRPr="00F634F5">
              <w:t>Intervention cost estimate per client</w:t>
            </w:r>
          </w:p>
        </w:tc>
        <w:tc>
          <w:tcPr>
            <w:tcW w:w="637" w:type="pct"/>
            <w:tcBorders>
              <w:top w:val="single" w:sz="8" w:space="0" w:color="auto"/>
              <w:left w:val="nil"/>
              <w:bottom w:val="single" w:sz="8" w:space="0" w:color="auto"/>
              <w:right w:val="single" w:sz="8" w:space="0" w:color="auto"/>
            </w:tcBorders>
            <w:shd w:val="clear" w:color="auto" w:fill="auto"/>
            <w:vAlign w:val="center"/>
            <w:hideMark/>
          </w:tcPr>
          <w:p w14:paraId="59F1DE52" w14:textId="67F3D962" w:rsidR="00F80585" w:rsidRPr="00F634F5" w:rsidRDefault="00107EE9" w:rsidP="00221584">
            <w:pPr>
              <w:keepNext/>
            </w:pPr>
            <w:r>
              <w:t>L</w:t>
            </w:r>
            <w:r w:rsidR="00F80585" w:rsidRPr="00F634F5">
              <w:t>ow - sensitivity analysis</w:t>
            </w:r>
          </w:p>
        </w:tc>
        <w:tc>
          <w:tcPr>
            <w:tcW w:w="634" w:type="pct"/>
            <w:tcBorders>
              <w:top w:val="single" w:sz="8" w:space="0" w:color="auto"/>
              <w:left w:val="nil"/>
              <w:bottom w:val="single" w:sz="8" w:space="0" w:color="auto"/>
              <w:right w:val="single" w:sz="8" w:space="0" w:color="auto"/>
            </w:tcBorders>
            <w:shd w:val="clear" w:color="auto" w:fill="auto"/>
            <w:vAlign w:val="center"/>
            <w:hideMark/>
          </w:tcPr>
          <w:p w14:paraId="2EEAE008" w14:textId="184139AA" w:rsidR="00F80585" w:rsidRPr="00F634F5" w:rsidRDefault="00107EE9" w:rsidP="00221584">
            <w:pPr>
              <w:keepNext/>
            </w:pPr>
            <w:r>
              <w:t>H</w:t>
            </w:r>
            <w:r w:rsidR="00F80585" w:rsidRPr="00F634F5">
              <w:t>igh - sensitivity analysis</w:t>
            </w:r>
          </w:p>
        </w:tc>
      </w:tr>
      <w:tr w:rsidR="0027020C" w:rsidRPr="00AF2AAA" w14:paraId="5274F726" w14:textId="77777777" w:rsidTr="000476E3">
        <w:trPr>
          <w:trHeight w:val="315"/>
        </w:trPr>
        <w:tc>
          <w:tcPr>
            <w:tcW w:w="3023" w:type="pct"/>
            <w:tcBorders>
              <w:top w:val="nil"/>
              <w:left w:val="single" w:sz="8" w:space="0" w:color="auto"/>
              <w:bottom w:val="single" w:sz="8" w:space="0" w:color="auto"/>
              <w:right w:val="single" w:sz="8" w:space="0" w:color="auto"/>
            </w:tcBorders>
            <w:shd w:val="clear" w:color="auto" w:fill="auto"/>
            <w:noWrap/>
            <w:vAlign w:val="center"/>
          </w:tcPr>
          <w:p w14:paraId="63656697" w14:textId="0DD8FBCA" w:rsidR="0027020C" w:rsidRPr="00AF2AAA" w:rsidRDefault="0027020C" w:rsidP="00221584">
            <w:pPr>
              <w:keepNext/>
            </w:pPr>
            <w:r w:rsidRPr="00AF2AAA">
              <w:fldChar w:fldCharType="begin" w:fldLock="1"/>
            </w:r>
            <w:r w:rsidRPr="00AF2AAA">
              <w:instrText>ADDIN CSL_CITATION { "citationItems" : [ { "id" : "ITEM-1", "itemData" : { "DOI" : "10.1086/250095", "ISBN" : "3258059322", "ISSN" : "00157120", "PMID" : "17979356", "abstract" : "The first of two exploratory studies investigated the conflict management approaches of 310 South Korean leaders. Each recalled the most recent dispute they had encountered either between two subordinates or between a subordinate and a person outside the group (i.e., an outsider).Subsequently, they reported the techniques used to mange the dispute. As predicted, the leaders were more assertive in managing subordinate-subordinate conflicts. Unexpectedly, they also pressed their own subordinates quite forcefully in the subordinate-outsider disputes. The second study investigated subordinates' interventions in their leaders' disputes. In these conflicts, subordinates adopted a low-key shuttle diplomacy; meeting separately with the parties, listening to their opinions, transmitting these to the other side, and calling for each side's empathy and understanding.", "author" : [ { "dropping-particle" : "", "family" : "Catalano", "given" : "Richard F", "non-dropping-particle" : "", "parse-names" : false, "suffix" : "" }, { "dropping-particle" : "", "family" : "Gainey", "given" : "Randy R", "non-dropping-particle" : "", "parse-names" : false, "suffix" : "" }, { "dropping-particle" : "", "family" : "Fleming", "given" : "Charles B", "non-dropping-particle" : "", "parse-names" : false, "suffix" : "" }, { "dropping-particle" : "", "family" : "Haggerty", "given" : "Kevin P", "non-dropping-particle" : "", "parse-names" : false, "suffix" : "" }, { "dropping-particle" : "", "family" : "Johnson", "given" : "Norman O.", "non-dropping-particle" : "", "parse-names" : false, "suffix" : "" } ], "container-title" : "International Journal of Conflict Management", "id" : "ITEM-1", "issue" : "2", "issued" : { "date-parts" : [ [ "1999" ] ] }, "page" : "130-153", "title" : "An experimental intervention with families of substance abusers: one-year follow-up of the focus on families project", "type" : "article-journal", "volume" : "10" }, "uris" : [ "http://www.mendeley.com/documents/?uuid=8e223de9-51fa-4991-94d9-b3b4f73cc7f0" ] } ], "mendeley" : { "formattedCitation" : "(Catalano et al. 1999)", "manualFormatting" : "Catalano et al. (1999)", "plainTextFormattedCitation" : "(Catalano et al. 1999)", "previouslyFormattedCitation" : "(Catalano et al. 1999)" }, "properties" : { "noteIndex" : 0 }, "schema" : "https://github.com/citation-style-language/schema/raw/master/csl-citation.json" }</w:instrText>
            </w:r>
            <w:r w:rsidRPr="00AF2AAA">
              <w:fldChar w:fldCharType="separate"/>
            </w:r>
            <w:r w:rsidRPr="00AF2AAA">
              <w:rPr>
                <w:noProof/>
              </w:rPr>
              <w:t>Catalano et al. (1999)</w:t>
            </w:r>
            <w:r w:rsidRPr="00AF2AAA">
              <w:fldChar w:fldCharType="end"/>
            </w:r>
            <w:r w:rsidRPr="00AF2AAA">
              <w:t xml:space="preserve"> Study – Focus on Families Intervention</w:t>
            </w:r>
          </w:p>
        </w:tc>
        <w:tc>
          <w:tcPr>
            <w:tcW w:w="706" w:type="pct"/>
            <w:tcBorders>
              <w:top w:val="nil"/>
              <w:left w:val="nil"/>
              <w:bottom w:val="single" w:sz="8" w:space="0" w:color="auto"/>
              <w:right w:val="single" w:sz="8" w:space="0" w:color="auto"/>
            </w:tcBorders>
            <w:shd w:val="clear" w:color="auto" w:fill="auto"/>
            <w:noWrap/>
            <w:vAlign w:val="center"/>
          </w:tcPr>
          <w:p w14:paraId="441DA05F" w14:textId="584019B2" w:rsidR="0027020C" w:rsidRPr="00AF2AAA" w:rsidRDefault="0027020C" w:rsidP="00221584">
            <w:pPr>
              <w:keepNext/>
              <w:rPr>
                <w:rFonts w:eastAsia="Times New Roman"/>
              </w:rPr>
            </w:pPr>
            <w:r w:rsidRPr="00AF2AAA">
              <w:t>£3,367</w:t>
            </w:r>
          </w:p>
        </w:tc>
        <w:tc>
          <w:tcPr>
            <w:tcW w:w="637" w:type="pct"/>
            <w:tcBorders>
              <w:top w:val="nil"/>
              <w:left w:val="nil"/>
              <w:bottom w:val="single" w:sz="8" w:space="0" w:color="auto"/>
              <w:right w:val="single" w:sz="8" w:space="0" w:color="auto"/>
            </w:tcBorders>
            <w:shd w:val="clear" w:color="auto" w:fill="auto"/>
            <w:noWrap/>
            <w:vAlign w:val="center"/>
          </w:tcPr>
          <w:p w14:paraId="3F9E3D78" w14:textId="2E26AD0A" w:rsidR="0027020C" w:rsidRPr="00AF2AAA" w:rsidRDefault="0027020C" w:rsidP="00221584">
            <w:pPr>
              <w:keepNext/>
              <w:rPr>
                <w:rFonts w:eastAsia="Times New Roman"/>
                <w:color w:val="000000"/>
              </w:rPr>
            </w:pPr>
            <w:r w:rsidRPr="00AF2AAA">
              <w:t>£842</w:t>
            </w:r>
          </w:p>
        </w:tc>
        <w:tc>
          <w:tcPr>
            <w:tcW w:w="634" w:type="pct"/>
            <w:tcBorders>
              <w:top w:val="nil"/>
              <w:left w:val="nil"/>
              <w:bottom w:val="single" w:sz="8" w:space="0" w:color="auto"/>
              <w:right w:val="single" w:sz="8" w:space="0" w:color="auto"/>
            </w:tcBorders>
            <w:shd w:val="clear" w:color="auto" w:fill="auto"/>
            <w:noWrap/>
            <w:vAlign w:val="center"/>
          </w:tcPr>
          <w:p w14:paraId="34A90015" w14:textId="1CC91746" w:rsidR="0027020C" w:rsidRPr="00AF2AAA" w:rsidRDefault="0027020C" w:rsidP="00221584">
            <w:pPr>
              <w:keepNext/>
              <w:rPr>
                <w:rFonts w:eastAsia="Times New Roman"/>
                <w:color w:val="000000"/>
              </w:rPr>
            </w:pPr>
            <w:r w:rsidRPr="00AF2AAA">
              <w:t>£4,209</w:t>
            </w:r>
          </w:p>
        </w:tc>
      </w:tr>
      <w:tr w:rsidR="0027020C" w:rsidRPr="00AF2AAA" w14:paraId="330E6844" w14:textId="77777777" w:rsidTr="0027020C">
        <w:trPr>
          <w:trHeight w:val="315"/>
        </w:trPr>
        <w:tc>
          <w:tcPr>
            <w:tcW w:w="3023" w:type="pct"/>
            <w:tcBorders>
              <w:top w:val="nil"/>
              <w:left w:val="single" w:sz="8" w:space="0" w:color="auto"/>
              <w:bottom w:val="single" w:sz="8" w:space="0" w:color="auto"/>
              <w:right w:val="single" w:sz="8" w:space="0" w:color="auto"/>
            </w:tcBorders>
            <w:shd w:val="clear" w:color="auto" w:fill="auto"/>
            <w:vAlign w:val="center"/>
          </w:tcPr>
          <w:p w14:paraId="6C3A5E9E" w14:textId="698EAC92" w:rsidR="0027020C" w:rsidRPr="00AF2AAA" w:rsidRDefault="0027020C" w:rsidP="00221584">
            <w:pPr>
              <w:keepNext/>
            </w:pPr>
            <w:r w:rsidRPr="00AF2AAA">
              <w:rPr>
                <w:lang w:val="en-US"/>
              </w:rPr>
              <w:fldChar w:fldCharType="begin" w:fldLock="1"/>
            </w:r>
            <w:r w:rsidRPr="00AF2AAA">
              <w:rPr>
                <w:lang w:val="en-US"/>
              </w:rPr>
              <w:instrText>ADDIN CSL_CITATION { "citationItems" : [ { "id" : "ITEM-1", "itemData" : { "DOI" : "10.1037/a0018859", "ISBN" : "0893-164X", "ISSN" : "1939-1501", "PMID" : "20565152", "abstract" : "Despite clear need, brief web-based interventions for marijuana-using college students have not been evaluated in the literature. The current study was designed to evaluate a brief, web-based personalized feedback intervention for at-risk marijuana users transitioning to college. All entering first-year students were invited to complete a brief questionnaire. Participants meeting criteria completed a baseline assessment (N = 341) and were randomly assigned to web-based personalized feedback or assessment-only control conditions. Participants completed 3-month (95.0%) and 6-month (94.4%) follow-up assessments. Results indicated that although there was no overall intervention effect, moderator analyses found promising effects for those with a family history of drug problems and, to a smaller extent, students who were higher in contemplation of changing marijuana use at baseline. Implications of these findings for selective intervention of college marijuana use and web-based interventions in general are discussed.", "author" : [ { "dropping-particle" : "", "family" : "Lee", "given" : "Christine M", "non-dropping-particle" : "", "parse-names" : false, "suffix" : "" }, { "dropping-particle" : "", "family" : "Neighbors", "given" : "Clayton", "non-dropping-particle" : "", "parse-names" : false, "suffix" : "" }, { "dropping-particle" : "", "family" : "Kilmer", "given" : "Jason R", "non-dropping-particle" : "", "parse-names" : false, "suffix" : "" }, { "dropping-particle" : "", "family" : "Larimer", "given" : "Mary E", "non-dropping-particle" : "", "parse-names" : false, "suffix" : "" } ], "container-title" : "Psychology of addictive behaviors : journal of the Society of Psychologists in Addictive Behaviors", "id" : "ITEM-1", "issue" : "2", "issued" : { "date-parts" : [ [ "2010" ] ] }, "page" : "265-73", "title" : "A brief, web-based personalized feedback selective intervention for college student marijuana use: a randomized clinical trial.", "type" : "article-journal", "volume" : "24" }, "uris" : [ "http://www.mendeley.com/documents/?uuid=51482699-f8ad-45c6-bb7c-17cae09e26f2" ] } ], "mendeley" : { "formattedCitation" : "(Lee et al. 2010)", "manualFormatting" : "Lee et al. (2010)", "plainTextFormattedCitation" : "(Lee et al. 2010)", "previouslyFormattedCitation" : "(Lee et al. 2010)" }, "properties" : { "noteIndex" : 0 }, "schema" : "https://github.com/citation-style-language/schema/raw/master/csl-citation.json" }</w:instrText>
            </w:r>
            <w:r w:rsidRPr="00AF2AAA">
              <w:rPr>
                <w:lang w:val="en-US"/>
              </w:rPr>
              <w:fldChar w:fldCharType="separate"/>
            </w:r>
            <w:r w:rsidRPr="00AF2AAA">
              <w:rPr>
                <w:noProof/>
                <w:lang w:val="en-US"/>
              </w:rPr>
              <w:t>Lee et al. (2010)</w:t>
            </w:r>
            <w:r w:rsidRPr="00AF2AAA">
              <w:rPr>
                <w:lang w:val="en-US"/>
              </w:rPr>
              <w:fldChar w:fldCharType="end"/>
            </w:r>
            <w:r w:rsidRPr="00AF2AAA">
              <w:rPr>
                <w:lang w:val="en-US"/>
              </w:rPr>
              <w:t xml:space="preserve"> A Brief, Web-Based Personalized Feedback Selective Intervention for College Student Marijuana Use: A Randomized Clinical Trial</w:t>
            </w:r>
          </w:p>
        </w:tc>
        <w:tc>
          <w:tcPr>
            <w:tcW w:w="706" w:type="pct"/>
            <w:tcBorders>
              <w:top w:val="nil"/>
              <w:left w:val="nil"/>
              <w:bottom w:val="single" w:sz="8" w:space="0" w:color="auto"/>
              <w:right w:val="single" w:sz="8" w:space="0" w:color="auto"/>
            </w:tcBorders>
            <w:shd w:val="clear" w:color="auto" w:fill="auto"/>
            <w:noWrap/>
            <w:vAlign w:val="center"/>
          </w:tcPr>
          <w:p w14:paraId="164CD03B" w14:textId="217F5C92" w:rsidR="0027020C" w:rsidRPr="00AF2AAA" w:rsidRDefault="0027020C" w:rsidP="00221584">
            <w:pPr>
              <w:keepNext/>
              <w:rPr>
                <w:rFonts w:eastAsia="Times New Roman"/>
              </w:rPr>
            </w:pPr>
            <w:r w:rsidRPr="00AF2AAA">
              <w:t>£15</w:t>
            </w:r>
          </w:p>
        </w:tc>
        <w:tc>
          <w:tcPr>
            <w:tcW w:w="637" w:type="pct"/>
            <w:tcBorders>
              <w:top w:val="nil"/>
              <w:left w:val="nil"/>
              <w:bottom w:val="single" w:sz="8" w:space="0" w:color="auto"/>
              <w:right w:val="single" w:sz="8" w:space="0" w:color="auto"/>
            </w:tcBorders>
            <w:shd w:val="clear" w:color="auto" w:fill="auto"/>
            <w:noWrap/>
            <w:vAlign w:val="center"/>
          </w:tcPr>
          <w:p w14:paraId="1BDD3297" w14:textId="2E0F065C" w:rsidR="0027020C" w:rsidRPr="00AF2AAA" w:rsidRDefault="0027020C" w:rsidP="00221584">
            <w:pPr>
              <w:keepNext/>
              <w:rPr>
                <w:rFonts w:eastAsia="Times New Roman"/>
                <w:color w:val="000000"/>
              </w:rPr>
            </w:pPr>
            <w:r w:rsidRPr="00AF2AAA">
              <w:t>£1</w:t>
            </w:r>
          </w:p>
        </w:tc>
        <w:tc>
          <w:tcPr>
            <w:tcW w:w="634" w:type="pct"/>
            <w:tcBorders>
              <w:top w:val="nil"/>
              <w:left w:val="nil"/>
              <w:bottom w:val="single" w:sz="8" w:space="0" w:color="auto"/>
              <w:right w:val="single" w:sz="8" w:space="0" w:color="auto"/>
            </w:tcBorders>
            <w:shd w:val="clear" w:color="auto" w:fill="auto"/>
            <w:noWrap/>
            <w:vAlign w:val="center"/>
          </w:tcPr>
          <w:p w14:paraId="0FEA8574" w14:textId="1173CF8A" w:rsidR="0027020C" w:rsidRPr="00AF2AAA" w:rsidRDefault="0027020C" w:rsidP="00221584">
            <w:pPr>
              <w:keepNext/>
              <w:rPr>
                <w:rFonts w:eastAsia="Times New Roman"/>
                <w:color w:val="000000"/>
              </w:rPr>
            </w:pPr>
            <w:r w:rsidRPr="00AF2AAA">
              <w:t>£30</w:t>
            </w:r>
          </w:p>
        </w:tc>
      </w:tr>
      <w:tr w:rsidR="0009074C" w:rsidRPr="00AF2AAA" w14:paraId="4B3ABD38" w14:textId="77777777" w:rsidTr="000476E3">
        <w:trPr>
          <w:trHeight w:val="525"/>
        </w:trPr>
        <w:tc>
          <w:tcPr>
            <w:tcW w:w="3023" w:type="pct"/>
            <w:tcBorders>
              <w:top w:val="nil"/>
              <w:left w:val="single" w:sz="8" w:space="0" w:color="auto"/>
              <w:bottom w:val="single" w:sz="8" w:space="0" w:color="auto"/>
              <w:right w:val="single" w:sz="8" w:space="0" w:color="auto"/>
            </w:tcBorders>
            <w:shd w:val="clear" w:color="auto" w:fill="auto"/>
            <w:vAlign w:val="center"/>
          </w:tcPr>
          <w:p w14:paraId="4AC2CA3A" w14:textId="1902E792" w:rsidR="0009074C" w:rsidRPr="00AF2AAA" w:rsidRDefault="0009074C" w:rsidP="00221584">
            <w:pPr>
              <w:keepNext/>
            </w:pPr>
            <w:r w:rsidRPr="00AF2AAA">
              <w:rPr>
                <w:lang w:val="en-US"/>
              </w:rPr>
              <w:fldChar w:fldCharType="begin" w:fldLock="1"/>
            </w:r>
            <w:r w:rsidRPr="00AF2AAA">
              <w:rPr>
                <w:lang w:val="en-US"/>
              </w:rPr>
              <w:instrText>ADDIN CSL_CITATION { "citationItems" : [ { "id" : "ITEM-1", "itemData" : { "DOI" : "10.1016/j.drugalcdep.2012.06.011", "ISBN" : "0376-8716", "ISSN" : "03768716", "PMID" : "22776441", "abstract" : "Introduction: Drug and alcohol use disproportionately affect Hispanic youth. Despite these disparities, few empirically supported preventive interventions are available to ameliorate this public health concern among Hispanic youth. This study examined the effects of Familias Unidas, relative to Community Practice, in reducing past 90-day substance use, alcohol and marijuana dependence, and having sex while under the influence of alcohol or drugs. Additionally, this study explored whether Familias Unidas' effects varied by environmental context, namely parental stress and social support for parents. Methods: A total of 242 delinquent Hispanic youth aged 12-17. years and their primary caregivers were randomized to either Familias Unidas or Community Practice and assessed at three time points. Results: Familias Unidas was efficacious in reducing past 90-day substance use, illicit drug use, and in reducing the proportion of youth with an alcohol dependence diagnosis, relative to Community Practice. Results also showed a reduction in the proportion of youth who reported having sex while under the influence of alcohol or drugs. No differences between conditions were observed in past 90-day alcohol use or marijuana dependence. Intervention effects on illicit drug use and alcohol dependence varied by environmental context. For example, Familias Unidas was most efficacious for adolescents with parents exhibiting high stress and lower levels of social support. Conclusions: Familias Unidas was efficacious in reducing some drug and alcohol related outcomes. The findings also support the concept of targeting family-based interventions, such as Familias Unidas, for adolescents with parents exhibiting high stress and low levels of social support. ?? 2012 Elsevier Ireland Ltd.", "author" : [ { "dropping-particle" : "", "family" : "Prado", "given" : "Guillermo", "non-dropping-particle" : "", "parse-names" : false, "suffix" : "" }, { "dropping-particle" : "", "family" : "Cordova", "given" : "David", "non-dropping-particle" : "", "parse-names" : false, "suffix" : "" }, { "dropping-particle" : "", "family" : "Huang", "given" : "Shi", "non-dropping-particle" : "", "parse-names" : false, "suffix" : "" }, { "dropping-particle" : "", "family" : "Estrada", "given" : "Yannine", "non-dropping-particle" : "", "parse-names" : false, "suffix" : "" }, { "dropping-particle" : "", "family" : "Rosen", "given" : "Alexa", "non-dropping-particle" : "", "parse-names" : false, "suffix" : "" }, { "dropping-particle" : "", "family" : "Bacio", "given" : "Guadalupe A.", "non-dropping-particle" : "", "parse-names" : false, "suffix" : "" }, { "dropping-particle" : "", "family" : "Leon Jimenez", "given" : "Giselle", "non-dropping-particle" : "", "parse-names" : false, "suffix" : "" }, { "dropping-particle" : "", "family" : "Pantin", "given" : "Hilda", "non-dropping-particle" : "", "parse-names" : false, "suffix" : "" }, { "dropping-particle" : "", "family" : "Brown", "given" : "C. Hendricks", "non-dropping-particle" : "", "parse-names" : false, "suffix" : "" }, { "dropping-particle" : "", "family" : "Velazquez", "given" : "Maria Rosa", "non-dropping-particle" : "", "parse-names" : false, "suffix" : "" }, { "dropping-particle" : "", "family" : "Villamar", "given" : "Juan", "non-dropping-particle" : "", "parse-names" : false, "suffix" : "" }, { "dropping-particle" : "", "family" : "Freitas", "given" : "Derek", "non-dropping-particle" : "", "parse-names" : false, "suffix" : "" }, { "dropping-particle" : "", "family" : "Tapia", "given" : "Maria I.", "non-dropping-particle" : "", "parse-names" : false, "suffix" : "" }, { "dropping-particle" : "", "family" : "McCollister", "given" : "Kathryn", "non-dropping-particle" : "", "parse-names" : false, "suffix" : "" } ], "container-title" : "Drug and Alcohol Dependence", "id" : "ITEM-1", "issue" : "SUPPL.1", "issued" : { "date-parts" : [ [ "2012" ] ] }, "page" : "S18-S25", "publisher" : "Elsevier Ireland Ltd", "title" : "The efficacy of Familias Unidas on drug and alcohol outcomes for Hispanic delinquent youth: Main effects and interaction effects by parental stress and social support", "type" : "article-journal", "volume" : "125" }, "uris" : [ "http://www.mendeley.com/documents/?uuid=8e4054e6-dfc7-46e2-b656-c42a16b0b117" ] } ], "mendeley" : { "formattedCitation" : "(Prado et al. 2012)", "manualFormatting" : "Prado et al. (2012)", "plainTextFormattedCitation" : "(Prado et al. 2012)", "previouslyFormattedCitation" : "(Prado et al. 2012)" }, "properties" : { "noteIndex" : 0 }, "schema" : "https://github.com/citation-style-language/schema/raw/master/csl-citation.json" }</w:instrText>
            </w:r>
            <w:r w:rsidRPr="00AF2AAA">
              <w:rPr>
                <w:lang w:val="en-US"/>
              </w:rPr>
              <w:fldChar w:fldCharType="separate"/>
            </w:r>
            <w:r w:rsidRPr="00AF2AAA">
              <w:rPr>
                <w:noProof/>
                <w:lang w:val="en-US"/>
              </w:rPr>
              <w:t>Prado et al. (2012)</w:t>
            </w:r>
            <w:r w:rsidRPr="00AF2AAA">
              <w:rPr>
                <w:lang w:val="en-US"/>
              </w:rPr>
              <w:fldChar w:fldCharType="end"/>
            </w:r>
            <w:r w:rsidRPr="00AF2AAA">
              <w:rPr>
                <w:lang w:val="en-US"/>
              </w:rPr>
              <w:t xml:space="preserve"> The efficacy of Familias Unidas on drug and alcohol outcomes for Hispanic delinquent youth: Main effects and interaction effects by parental stress and social support </w:t>
            </w:r>
          </w:p>
        </w:tc>
        <w:tc>
          <w:tcPr>
            <w:tcW w:w="706" w:type="pct"/>
            <w:tcBorders>
              <w:top w:val="nil"/>
              <w:left w:val="nil"/>
              <w:bottom w:val="single" w:sz="8" w:space="0" w:color="auto"/>
              <w:right w:val="single" w:sz="8" w:space="0" w:color="auto"/>
            </w:tcBorders>
            <w:shd w:val="clear" w:color="auto" w:fill="auto"/>
            <w:noWrap/>
            <w:vAlign w:val="center"/>
          </w:tcPr>
          <w:p w14:paraId="2DD4DE86" w14:textId="3605CF2B" w:rsidR="0009074C" w:rsidRPr="00AF2AAA" w:rsidRDefault="0009074C" w:rsidP="00221584">
            <w:pPr>
              <w:keepNext/>
              <w:rPr>
                <w:rFonts w:eastAsia="Times New Roman"/>
              </w:rPr>
            </w:pPr>
            <w:r w:rsidRPr="00AF2AAA">
              <w:t>£154</w:t>
            </w:r>
          </w:p>
        </w:tc>
        <w:tc>
          <w:tcPr>
            <w:tcW w:w="637" w:type="pct"/>
            <w:tcBorders>
              <w:top w:val="nil"/>
              <w:left w:val="nil"/>
              <w:bottom w:val="single" w:sz="8" w:space="0" w:color="auto"/>
              <w:right w:val="single" w:sz="8" w:space="0" w:color="auto"/>
            </w:tcBorders>
            <w:shd w:val="clear" w:color="auto" w:fill="auto"/>
            <w:noWrap/>
            <w:vAlign w:val="center"/>
          </w:tcPr>
          <w:p w14:paraId="5A699125" w14:textId="17E970FA" w:rsidR="0009074C" w:rsidRPr="00AF2AAA" w:rsidRDefault="0009074C" w:rsidP="00221584">
            <w:pPr>
              <w:keepNext/>
              <w:rPr>
                <w:rFonts w:eastAsia="Times New Roman"/>
                <w:color w:val="000000"/>
              </w:rPr>
            </w:pPr>
            <w:r w:rsidRPr="00AF2AAA">
              <w:t>£116</w:t>
            </w:r>
          </w:p>
        </w:tc>
        <w:tc>
          <w:tcPr>
            <w:tcW w:w="634" w:type="pct"/>
            <w:tcBorders>
              <w:top w:val="nil"/>
              <w:left w:val="nil"/>
              <w:bottom w:val="single" w:sz="8" w:space="0" w:color="auto"/>
              <w:right w:val="single" w:sz="8" w:space="0" w:color="auto"/>
            </w:tcBorders>
            <w:shd w:val="clear" w:color="auto" w:fill="auto"/>
            <w:noWrap/>
            <w:vAlign w:val="center"/>
          </w:tcPr>
          <w:p w14:paraId="1EF229CF" w14:textId="719FDDD1" w:rsidR="0009074C" w:rsidRPr="00AF2AAA" w:rsidRDefault="0009074C" w:rsidP="00221584">
            <w:pPr>
              <w:keepNext/>
              <w:rPr>
                <w:rFonts w:eastAsia="Times New Roman"/>
                <w:color w:val="000000"/>
              </w:rPr>
            </w:pPr>
            <w:r w:rsidRPr="00AF2AAA">
              <w:t>£193</w:t>
            </w:r>
          </w:p>
        </w:tc>
      </w:tr>
      <w:tr w:rsidR="0009074C" w:rsidRPr="00AF2AAA" w14:paraId="372D01C7" w14:textId="77777777" w:rsidTr="000476E3">
        <w:trPr>
          <w:trHeight w:val="525"/>
        </w:trPr>
        <w:tc>
          <w:tcPr>
            <w:tcW w:w="3023" w:type="pct"/>
            <w:tcBorders>
              <w:top w:val="nil"/>
              <w:left w:val="single" w:sz="8" w:space="0" w:color="auto"/>
              <w:bottom w:val="single" w:sz="8" w:space="0" w:color="auto"/>
              <w:right w:val="single" w:sz="8" w:space="0" w:color="auto"/>
            </w:tcBorders>
            <w:shd w:val="clear" w:color="auto" w:fill="auto"/>
            <w:vAlign w:val="center"/>
          </w:tcPr>
          <w:p w14:paraId="2779F113" w14:textId="0566C25C" w:rsidR="0009074C" w:rsidRPr="00AF2AAA" w:rsidRDefault="0009074C" w:rsidP="00221584">
            <w:pPr>
              <w:keepNext/>
            </w:pPr>
            <w:r w:rsidRPr="00AF2AAA">
              <w:rPr>
                <w:lang w:val="en-US"/>
              </w:rPr>
              <w:fldChar w:fldCharType="begin" w:fldLock="1"/>
            </w:r>
            <w:r w:rsidR="00023D29">
              <w:rPr>
                <w:lang w:val="en-US"/>
              </w:rPr>
              <w:instrText>ADDIN CSL_CITATION { "citationItems" : [ { "id" : "ITEM-1", "itemData" : { "DOI" : "10.3109/14659890903075074", "ISBN" : "14659891 (ISSN)", "ISSN" : "1465-9891", "abstract" : "The prevalence of ecstasy (MDMA) use has increased significantly in recent years, particularly amongst young people. Despite the existence of a sizable population of regular ecstasy users and emergent evidence of a range of associated harms, including dependence, to date no effective targeted intervention responses have been reported specifically for this group. The aim of this study was to evaluate the efficacy of a single session brief intervention in reducing ecstasy use and related problems among regular ecstasy users. In a randomized controlled trial conducted in Sydney, Australia, 50 adult ecstasy users were assigned to either a single session brief intervention or an assessment-only 3-month delayed treatment control condition. Primary outcome measures were days of ecstasy use and number of DSM-IV dependence symptoms reported. At 3-month follow-up significant differences were found in favour of the intervention group on measures of DSM-IV dependence symptoms reported and Severity of Dependence Scale score. No statistically significant differences were detected on measures of quantity and frequency of use. While abstinence rates differed between groups by a factor of 4 (16 vs. 4), this difference did not achieve statistical significance. Between group effect sizes at follow-up, all in favour of the intervention group, were moderate on the main outcome measures. The approach is acceptable to participants and merits further evaluation. \u00a9 2010 Informa UK, Ltd.", "author" : [ { "dropping-particle" : "", "family" : "Martin", "given" : "G", "non-dropping-particle" : "", "parse-names" : false, "suffix" : "" }, { "dropping-particle" : "", "family" : "Copeland", "given" : "J", "non-dropping-particle" : "", "parse-names" : false, "suffix" : "" } ], "container-title" : "Journal of Substance Use", "id" : "ITEM-1", "issue" : "2", "issued" : { "date-parts" : [ [ "2010" ] ] }, "page" : "131-142", "title" : "Brief intervention for regular ecstasy (MDMA) users: Pilot randomized trial of a check-up model", "type" : "article-journal", "volume" : "15" }, "uris" : [ "http://www.mendeley.com/documents/?uuid=e32af904-8fa6-410c-bec2-637806755a0e" ] } ], "mendeley" : { "formattedCitation" : "(Martin &amp; Copeland 2010)", "manualFormatting" : "Martin et al. (2010)", "plainTextFormattedCitation" : "(Martin &amp; Copeland 2010)", "previouslyFormattedCitation" : "(Martin &amp; Copeland 2010)" }, "properties" : { "noteIndex" : 0 }, "schema" : "https://github.com/citation-style-language/schema/raw/master/csl-citation.json" }</w:instrText>
            </w:r>
            <w:r w:rsidRPr="00AF2AAA">
              <w:rPr>
                <w:lang w:val="en-US"/>
              </w:rPr>
              <w:fldChar w:fldCharType="separate"/>
            </w:r>
            <w:r w:rsidR="00BD29B0">
              <w:rPr>
                <w:noProof/>
                <w:lang w:val="en-US"/>
              </w:rPr>
              <w:t xml:space="preserve">Martin et al. </w:t>
            </w:r>
            <w:r w:rsidRPr="00AF2AAA">
              <w:rPr>
                <w:noProof/>
                <w:lang w:val="en-US"/>
              </w:rPr>
              <w:t>(2010)</w:t>
            </w:r>
            <w:r w:rsidRPr="00AF2AAA">
              <w:rPr>
                <w:lang w:val="en-US"/>
              </w:rPr>
              <w:fldChar w:fldCharType="end"/>
            </w:r>
            <w:r w:rsidRPr="00AF2AAA">
              <w:rPr>
                <w:lang w:val="en-US"/>
              </w:rPr>
              <w:t xml:space="preserve"> Brief intervention for regular ecstasy (MDMA) users: Pilot randomized trial of a Check-up model</w:t>
            </w:r>
          </w:p>
        </w:tc>
        <w:tc>
          <w:tcPr>
            <w:tcW w:w="706" w:type="pct"/>
            <w:tcBorders>
              <w:top w:val="nil"/>
              <w:left w:val="nil"/>
              <w:bottom w:val="single" w:sz="8" w:space="0" w:color="auto"/>
              <w:right w:val="single" w:sz="8" w:space="0" w:color="auto"/>
            </w:tcBorders>
            <w:shd w:val="clear" w:color="auto" w:fill="auto"/>
            <w:noWrap/>
          </w:tcPr>
          <w:p w14:paraId="0C2236AE" w14:textId="4EC5E1DF" w:rsidR="0009074C" w:rsidRPr="00AF2AAA" w:rsidRDefault="0009074C" w:rsidP="00221584">
            <w:pPr>
              <w:keepNext/>
              <w:rPr>
                <w:rFonts w:eastAsia="Times New Roman"/>
              </w:rPr>
            </w:pPr>
            <w:r w:rsidRPr="00AF2AAA">
              <w:t>£67</w:t>
            </w:r>
          </w:p>
        </w:tc>
        <w:tc>
          <w:tcPr>
            <w:tcW w:w="637" w:type="pct"/>
            <w:tcBorders>
              <w:top w:val="nil"/>
              <w:left w:val="nil"/>
              <w:bottom w:val="single" w:sz="8" w:space="0" w:color="auto"/>
              <w:right w:val="single" w:sz="8" w:space="0" w:color="auto"/>
            </w:tcBorders>
            <w:shd w:val="clear" w:color="auto" w:fill="auto"/>
            <w:noWrap/>
          </w:tcPr>
          <w:p w14:paraId="17985D59" w14:textId="18770E24" w:rsidR="0009074C" w:rsidRPr="00AF2AAA" w:rsidRDefault="0009074C" w:rsidP="00221584">
            <w:pPr>
              <w:keepNext/>
              <w:rPr>
                <w:rFonts w:eastAsia="Times New Roman"/>
                <w:color w:val="000000"/>
              </w:rPr>
            </w:pPr>
            <w:r w:rsidRPr="00AF2AAA">
              <w:t>£32</w:t>
            </w:r>
          </w:p>
        </w:tc>
        <w:tc>
          <w:tcPr>
            <w:tcW w:w="634" w:type="pct"/>
            <w:tcBorders>
              <w:top w:val="nil"/>
              <w:left w:val="nil"/>
              <w:bottom w:val="single" w:sz="8" w:space="0" w:color="auto"/>
              <w:right w:val="single" w:sz="8" w:space="0" w:color="auto"/>
            </w:tcBorders>
            <w:shd w:val="clear" w:color="auto" w:fill="auto"/>
            <w:noWrap/>
          </w:tcPr>
          <w:p w14:paraId="4B41D248" w14:textId="2A6644A9" w:rsidR="0009074C" w:rsidRPr="00AF2AAA" w:rsidRDefault="0009074C" w:rsidP="00221584">
            <w:pPr>
              <w:keepNext/>
              <w:rPr>
                <w:rFonts w:eastAsia="Times New Roman"/>
                <w:color w:val="000000"/>
              </w:rPr>
            </w:pPr>
            <w:r w:rsidRPr="00AF2AAA">
              <w:t>£138</w:t>
            </w:r>
          </w:p>
        </w:tc>
      </w:tr>
      <w:tr w:rsidR="0009074C" w:rsidRPr="00AF2AAA" w14:paraId="29589EEC" w14:textId="77777777" w:rsidTr="0027020C">
        <w:trPr>
          <w:trHeight w:val="780"/>
        </w:trPr>
        <w:tc>
          <w:tcPr>
            <w:tcW w:w="3023" w:type="pct"/>
            <w:tcBorders>
              <w:top w:val="nil"/>
              <w:left w:val="single" w:sz="8" w:space="0" w:color="auto"/>
              <w:bottom w:val="single" w:sz="8" w:space="0" w:color="auto"/>
              <w:right w:val="single" w:sz="8" w:space="0" w:color="auto"/>
            </w:tcBorders>
            <w:shd w:val="clear" w:color="auto" w:fill="auto"/>
            <w:vAlign w:val="center"/>
          </w:tcPr>
          <w:p w14:paraId="57769EEC" w14:textId="780C4923" w:rsidR="0009074C" w:rsidRPr="00AF2AAA" w:rsidRDefault="0009074C" w:rsidP="00221584">
            <w:pPr>
              <w:keepNext/>
            </w:pPr>
            <w:r w:rsidRPr="00AF2AAA">
              <w:rPr>
                <w:lang w:val="en-US"/>
              </w:rPr>
              <w:fldChar w:fldCharType="begin" w:fldLock="1"/>
            </w:r>
            <w:r w:rsidRPr="00AF2AAA">
              <w:rPr>
                <w:lang w:val="en-US"/>
              </w:rPr>
              <w:instrText>ADDIN CSL_CITATION { "citationItems" : [ { "id" : "ITEM-1", "itemData" : { "DOI" : "10.1037/a0035311", "ISBN" : "1939-2117(Electronic);0022-006X(Print)", "ISSN" : "1939-2117", "PMID" : "24364800", "abstract" : "OBJECTIVE: Young gay and bisexual men (YGBM) are disproportionally at risk of HIV infection due to sexual risk behaviors, which are often exacerbated by recreational drug use. However, there have been no evidence-based interventions targeting substance-using YGBM. This study was designed to test a brief motivational interviewing (MI) intervention to reduce both risky sex and drug use among HIV-negative YGBM.\\n\\nMETHOD: A total of 143 non-treatment-seeking YGBM (ages 18-29 years) who reported recent unprotected anal intercourse (UAI) and recreational drug use were randomized to 4 sessions of MI or 4 sessions of content-matched education. Participants were followed every 3 months for 1 year, and behavior change was examined across conditions and time for aggregated and day-level drug use and UAI.\\n\\nRESULTS: Regardless of condition, participants reported significant reductions in UAI and substance use over time. However, YGBM in the MI condition were 18% less likely to use drugs and 24% less likely to engage in UAI than YGBM in the education condition.\\n\\nCONCLUSIONS: The results support the utility of MI, compared with a content-matched education condition, to significantly reduce both UAI and drug use among YGBM. Interventions may benefit from an emphasis on substance use reductions, which might indirectly lead to less frequent UAI. Future research efforts should examine whether this type of brief MI intervention is effective when delivered by clinic or community settings utilized by YGBM.", "author" : [ { "dropping-particle" : "", "family" : "Parsons", "given" : "Jeffrey T", "non-dropping-particle" : "", "parse-names" : false, "suffix" : "" }, { "dropping-particle" : "", "family" : "Lelutiu-Weinberger", "given" : "Corina", "non-dropping-particle" : "", "parse-names" : false, "suffix" : "" }, { "dropping-particle" : "", "family" : "Botsko", "given" : "Michael", "non-dropping-particle" : "", "parse-names" : false, "suffix" : "" }, { "dropping-particle" : "", "family" : "Golub", "given" : "Sarit A", "non-dropping-particle" : "", "parse-names" : false, "suffix" : "" } ], "container-title" : "Journal of consulting and clinical psychology", "id" : "ITEM-1", "issue" : "1", "issued" : { "date-parts" : [ [ "2014" ] ] }, "page" : "9-18", "title" : "A randomized controlled trial utilizing motivational interviewing to reduce HIV risk and drug use in young gay and bisexual men.", "type" : "article-journal", "volume" : "82" }, "uris" : [ "http://www.mendeley.com/documents/?uuid=38da2dbe-08e6-4e6f-b2ec-9393fd1ace2e" ] } ], "mendeley" : { "formattedCitation" : "(J. T. Parsons et al. 2014)", "manualFormatting" : "Parsons et al. (2014)", "plainTextFormattedCitation" : "(J. T. Parsons et al. 2014)", "previouslyFormattedCitation" : "(J. T. Parsons et al. 2014)" }, "properties" : { "noteIndex" : 0 }, "schema" : "https://github.com/citation-style-language/schema/raw/master/csl-citation.json" }</w:instrText>
            </w:r>
            <w:r w:rsidRPr="00AF2AAA">
              <w:rPr>
                <w:lang w:val="en-US"/>
              </w:rPr>
              <w:fldChar w:fldCharType="separate"/>
            </w:r>
            <w:r w:rsidRPr="00AF2AAA">
              <w:rPr>
                <w:noProof/>
                <w:lang w:val="en-US"/>
              </w:rPr>
              <w:t>Parsons et al. (2014)</w:t>
            </w:r>
            <w:r w:rsidRPr="00AF2AAA">
              <w:rPr>
                <w:lang w:val="en-US"/>
              </w:rPr>
              <w:fldChar w:fldCharType="end"/>
            </w:r>
            <w:r w:rsidRPr="00AF2AAA">
              <w:rPr>
                <w:lang w:val="en-US"/>
              </w:rPr>
              <w:t xml:space="preserve"> A randomized controlled trial utilizing motivational interviewing to reduce HIV risk and drug use in young gay and bisexual men</w:t>
            </w:r>
          </w:p>
        </w:tc>
        <w:tc>
          <w:tcPr>
            <w:tcW w:w="706" w:type="pct"/>
            <w:tcBorders>
              <w:top w:val="nil"/>
              <w:left w:val="nil"/>
              <w:bottom w:val="single" w:sz="8" w:space="0" w:color="auto"/>
              <w:right w:val="single" w:sz="8" w:space="0" w:color="auto"/>
            </w:tcBorders>
            <w:shd w:val="clear" w:color="auto" w:fill="auto"/>
            <w:noWrap/>
            <w:vAlign w:val="center"/>
          </w:tcPr>
          <w:p w14:paraId="7CBBB805" w14:textId="0A5EC21F" w:rsidR="0009074C" w:rsidRPr="00AF2AAA" w:rsidRDefault="0009074C" w:rsidP="00221584">
            <w:pPr>
              <w:keepNext/>
              <w:rPr>
                <w:rFonts w:eastAsia="Times New Roman"/>
              </w:rPr>
            </w:pPr>
            <w:r w:rsidRPr="00AF2AAA">
              <w:t xml:space="preserve"> £268 </w:t>
            </w:r>
          </w:p>
        </w:tc>
        <w:tc>
          <w:tcPr>
            <w:tcW w:w="637" w:type="pct"/>
            <w:tcBorders>
              <w:top w:val="nil"/>
              <w:left w:val="nil"/>
              <w:bottom w:val="single" w:sz="8" w:space="0" w:color="auto"/>
              <w:right w:val="single" w:sz="8" w:space="0" w:color="auto"/>
            </w:tcBorders>
            <w:shd w:val="clear" w:color="auto" w:fill="auto"/>
            <w:noWrap/>
            <w:vAlign w:val="center"/>
          </w:tcPr>
          <w:p w14:paraId="488F946C" w14:textId="7049E338" w:rsidR="0009074C" w:rsidRPr="00AF2AAA" w:rsidRDefault="0009074C" w:rsidP="00221584">
            <w:pPr>
              <w:keepNext/>
              <w:rPr>
                <w:rFonts w:eastAsia="Times New Roman"/>
                <w:color w:val="000000"/>
              </w:rPr>
            </w:pPr>
            <w:r w:rsidRPr="00AF2AAA">
              <w:t xml:space="preserve"> £128 </w:t>
            </w:r>
          </w:p>
        </w:tc>
        <w:tc>
          <w:tcPr>
            <w:tcW w:w="634" w:type="pct"/>
            <w:tcBorders>
              <w:top w:val="nil"/>
              <w:left w:val="nil"/>
              <w:bottom w:val="single" w:sz="8" w:space="0" w:color="auto"/>
              <w:right w:val="single" w:sz="8" w:space="0" w:color="auto"/>
            </w:tcBorders>
            <w:shd w:val="clear" w:color="auto" w:fill="auto"/>
            <w:noWrap/>
            <w:vAlign w:val="center"/>
          </w:tcPr>
          <w:p w14:paraId="473DCFC5" w14:textId="5D9ED1E1" w:rsidR="0009074C" w:rsidRPr="00AF2AAA" w:rsidRDefault="0009074C" w:rsidP="00221584">
            <w:pPr>
              <w:keepNext/>
              <w:rPr>
                <w:rFonts w:eastAsia="Times New Roman"/>
                <w:color w:val="000000"/>
              </w:rPr>
            </w:pPr>
            <w:r w:rsidRPr="00AF2AAA">
              <w:t xml:space="preserve"> £552 </w:t>
            </w:r>
          </w:p>
        </w:tc>
      </w:tr>
      <w:tr w:rsidR="0009074C" w:rsidRPr="00AF2AAA" w14:paraId="554584A9" w14:textId="77777777" w:rsidTr="000476E3">
        <w:trPr>
          <w:trHeight w:val="525"/>
        </w:trPr>
        <w:tc>
          <w:tcPr>
            <w:tcW w:w="3023" w:type="pct"/>
            <w:tcBorders>
              <w:top w:val="nil"/>
              <w:left w:val="single" w:sz="8" w:space="0" w:color="auto"/>
              <w:bottom w:val="single" w:sz="8" w:space="0" w:color="auto"/>
              <w:right w:val="single" w:sz="8" w:space="0" w:color="auto"/>
            </w:tcBorders>
            <w:shd w:val="clear" w:color="auto" w:fill="auto"/>
            <w:vAlign w:val="center"/>
          </w:tcPr>
          <w:p w14:paraId="47D57BDB" w14:textId="30E68C5E" w:rsidR="0009074C" w:rsidRPr="00AF2AAA" w:rsidRDefault="0009074C" w:rsidP="00221584">
            <w:pPr>
              <w:keepNext/>
            </w:pPr>
            <w:r w:rsidRPr="00AF2AAA">
              <w:rPr>
                <w:lang w:val="en-US"/>
              </w:rPr>
              <w:fldChar w:fldCharType="begin" w:fldLock="1"/>
            </w:r>
            <w:r w:rsidRPr="00AF2AAA">
              <w:rPr>
                <w:lang w:val="en-US"/>
              </w:rPr>
              <w:instrText>ADDIN CSL_CITATION { "citationItems" : [ { "id" : "ITEM-1", "itemData" : { "DOI" : "10.1037/a0015588", "ISSN" : "1939-2117", "PMID" : "19634958", "abstract" : "The authors examined the effectiveness of motivational interviewing (MI) on club drug use and risky sex in non-treatment-seeking men who have sex with men (MSM). MSM (N = 150) were assessed and randomly assigned to 4 sessions of MI or an educational control intervention. Follow-up occurred at quarterly intervals for 1 year. Primary outcomes were days of any club drug use and number of unsafe sex acts. On average, club drug use declined during follow-up. A significant interaction effect showed that MI was associated with less club drug use during follow-up compared with education but only among participants with lower severity of drug dependence (p &lt; .02; small to medium effect size). MI did not result in a significant reduction in risky sex relative to education. The results support the use of MI targeting club drug use in at-risk or mildly dependent users not seeking treatment but not in more severely dependent users. MI does not appear effective in reducing risky sexual behavior in this population.", "author" : [ { "dropping-particle" : "", "family" : "Morgenstern", "given" : "Jon", "non-dropping-particle" : "", "parse-names" : false, "suffix" : "" }, { "dropping-particle" : "", "family" : "Bux", "given" : "Donald A", "non-dropping-particle" : "", "parse-names" : false, "suffix" : "" }, { "dropping-particle" : "", "family" : "Parsons", "given" : "Jeffrey", "non-dropping-particle" : "", "parse-names" : false, "suffix" : "" }, { "dropping-particle" : "", "family" : "Hagman", "given" : "Brett T", "non-dropping-particle" : "", "parse-names" : false, "suffix" : "" }, { "dropping-particle" : "", "family" : "Wainberg", "given" : "Milton", "non-dropping-particle" : "", "parse-names" : false, "suffix" : "" }, { "dropping-particle" : "", "family" : "Irwin", "given" : "Thomas", "non-dropping-particle" : "", "parse-names" : false, "suffix" : "" } ], "container-title" : "Journal of consulting and clinical psychology", "id" : "ITEM-1", "issue" : "4", "issued" : { "date-parts" : [ [ "2009" ] ] }, "page" : "645-56", "title" : "Randomized trial to reduce club drug use and HIV risk behaviors among men who have sex with men.", "type" : "article-journal", "volume" : "77" }, "uris" : [ "http://www.mendeley.com/documents/?uuid=b62caac1-d14a-4303-a7d7-5acc4c1cdea4" ] } ], "mendeley" : { "formattedCitation" : "(Morgenstern et al. 2009)", "manualFormatting" : "Morgenstern et al. (2009)", "plainTextFormattedCitation" : "(Morgenstern et al. 2009)", "previouslyFormattedCitation" : "(Morgenstern et al. 2009)" }, "properties" : { "noteIndex" : 0 }, "schema" : "https://github.com/citation-style-language/schema/raw/master/csl-citation.json" }</w:instrText>
            </w:r>
            <w:r w:rsidRPr="00AF2AAA">
              <w:rPr>
                <w:lang w:val="en-US"/>
              </w:rPr>
              <w:fldChar w:fldCharType="separate"/>
            </w:r>
            <w:r w:rsidRPr="00AF2AAA">
              <w:rPr>
                <w:noProof/>
                <w:lang w:val="en-US"/>
              </w:rPr>
              <w:t>Morgenstern et al. (2009)</w:t>
            </w:r>
            <w:r w:rsidRPr="00AF2AAA">
              <w:rPr>
                <w:lang w:val="en-US"/>
              </w:rPr>
              <w:fldChar w:fldCharType="end"/>
            </w:r>
            <w:r w:rsidRPr="00AF2AAA">
              <w:rPr>
                <w:lang w:val="en-US"/>
              </w:rPr>
              <w:t xml:space="preserve"> Randomized Trial to Reduce Club Drug Use and HIV Risk Behaviors Among Men Who Have Sex With Men</w:t>
            </w:r>
          </w:p>
        </w:tc>
        <w:tc>
          <w:tcPr>
            <w:tcW w:w="706" w:type="pct"/>
            <w:tcBorders>
              <w:top w:val="nil"/>
              <w:left w:val="nil"/>
              <w:bottom w:val="single" w:sz="8" w:space="0" w:color="auto"/>
              <w:right w:val="single" w:sz="8" w:space="0" w:color="auto"/>
            </w:tcBorders>
            <w:shd w:val="clear" w:color="auto" w:fill="auto"/>
            <w:noWrap/>
          </w:tcPr>
          <w:p w14:paraId="63FD5C45" w14:textId="17A3ADA5" w:rsidR="0009074C" w:rsidRPr="00AF2AAA" w:rsidRDefault="0009074C" w:rsidP="00221584">
            <w:pPr>
              <w:keepNext/>
              <w:rPr>
                <w:rFonts w:eastAsia="Times New Roman"/>
              </w:rPr>
            </w:pPr>
            <w:r w:rsidRPr="00AF2AAA">
              <w:t xml:space="preserve"> £268 </w:t>
            </w:r>
          </w:p>
        </w:tc>
        <w:tc>
          <w:tcPr>
            <w:tcW w:w="637" w:type="pct"/>
            <w:tcBorders>
              <w:top w:val="nil"/>
              <w:left w:val="nil"/>
              <w:bottom w:val="single" w:sz="8" w:space="0" w:color="auto"/>
              <w:right w:val="single" w:sz="8" w:space="0" w:color="auto"/>
            </w:tcBorders>
            <w:shd w:val="clear" w:color="auto" w:fill="auto"/>
            <w:noWrap/>
          </w:tcPr>
          <w:p w14:paraId="09C9A97F" w14:textId="7D494EF5" w:rsidR="0009074C" w:rsidRPr="00AF2AAA" w:rsidRDefault="0009074C" w:rsidP="00221584">
            <w:pPr>
              <w:keepNext/>
              <w:rPr>
                <w:rFonts w:eastAsia="Times New Roman"/>
                <w:color w:val="000000"/>
              </w:rPr>
            </w:pPr>
            <w:r w:rsidRPr="00AF2AAA">
              <w:t xml:space="preserve"> £128 </w:t>
            </w:r>
          </w:p>
        </w:tc>
        <w:tc>
          <w:tcPr>
            <w:tcW w:w="634" w:type="pct"/>
            <w:tcBorders>
              <w:top w:val="nil"/>
              <w:left w:val="nil"/>
              <w:bottom w:val="single" w:sz="8" w:space="0" w:color="auto"/>
              <w:right w:val="single" w:sz="8" w:space="0" w:color="auto"/>
            </w:tcBorders>
            <w:shd w:val="clear" w:color="auto" w:fill="auto"/>
            <w:noWrap/>
          </w:tcPr>
          <w:p w14:paraId="18782C3B" w14:textId="0066F9CE" w:rsidR="0009074C" w:rsidRPr="00AF2AAA" w:rsidRDefault="0009074C" w:rsidP="00221584">
            <w:pPr>
              <w:keepNext/>
              <w:rPr>
                <w:rFonts w:eastAsia="Times New Roman"/>
                <w:color w:val="000000"/>
              </w:rPr>
            </w:pPr>
            <w:r w:rsidRPr="00AF2AAA">
              <w:t xml:space="preserve"> £552 </w:t>
            </w:r>
          </w:p>
        </w:tc>
      </w:tr>
      <w:tr w:rsidR="0009074C" w:rsidRPr="00AF2AAA" w14:paraId="3D2F1F85" w14:textId="77777777" w:rsidTr="000476E3">
        <w:trPr>
          <w:trHeight w:val="525"/>
        </w:trPr>
        <w:tc>
          <w:tcPr>
            <w:tcW w:w="3023" w:type="pct"/>
            <w:tcBorders>
              <w:top w:val="nil"/>
              <w:left w:val="single" w:sz="8" w:space="0" w:color="auto"/>
              <w:bottom w:val="single" w:sz="4" w:space="0" w:color="auto"/>
              <w:right w:val="single" w:sz="8" w:space="0" w:color="auto"/>
            </w:tcBorders>
            <w:shd w:val="clear" w:color="auto" w:fill="auto"/>
            <w:vAlign w:val="center"/>
          </w:tcPr>
          <w:p w14:paraId="66FF2E32" w14:textId="0989FD6D" w:rsidR="0009074C" w:rsidRPr="00AF2AAA" w:rsidRDefault="0009074C" w:rsidP="00221584">
            <w:pPr>
              <w:keepNext/>
            </w:pPr>
            <w:r w:rsidRPr="00AF2AAA">
              <w:rPr>
                <w:lang w:val="en-US"/>
              </w:rPr>
              <w:fldChar w:fldCharType="begin" w:fldLock="1"/>
            </w:r>
            <w:r w:rsidRPr="00AF2AAA">
              <w:rPr>
                <w:lang w:val="en-US"/>
              </w:rPr>
              <w:instrText>ADDIN CSL_CITATION { "citationItems" : [ { "id" : "ITEM-1", "itemData" : { "DOI" : "10.1016/j.jadohealth.2011.08.009", "ISBN" : "1054-139X, 1054-139X", "ISSN" : "1054139X", "PMID" : "22443839", "abstract" : "Purpose: We evaluate the efficacy of a short family intervention in reducing sexual risk behavior, drug use, and delinquent behaviors among homeless youth. Methods: A randomized controlled trial of 151 families with a homeless adolescent aged 12 to 17 years. Between March 2006 and June 2009, adolescents were recruited from diverse sites in Southern California and were assessed at recruitment (baseline), and at 3, 6, and 12 months later. Families were randomly assigned to an intervention condition with five weekly home-based intervention sessions or a control condition (standard care). Main outcome measures reflect self-reported sexual risk behavior, substance use, and delinquent behaviors over the past 90 days. Results: Sexual risk behavior (e.g., mean number of partners; p &lt;.001), alcohol use (p =.003), hard drug use (p &lt;.001), and delinquent behaviors (p =.001) decreased significantly more during 12 months in the intervention condition compared with the control condition. Marijuana use, however, significantly increased in the intervention condition compared with the control condition (p &lt;.001). Conclusions: An intervention to reengage families of homeless youth has significant benefits in reducing risk over 12 months. ?? 2012 Society for Adolescent Health and Medicine. All rights reserved.", "author" : [ { "dropping-particle" : "", "family" : "Milburn", "given" : "Norweeta G.", "non-dropping-particle" : "", "parse-names" : false, "suffix" : "" }, { "dropping-particle" : "", "family" : "Iribarren", "given" : "Francisco Javier", "non-dropping-particle" : "", "parse-names" : false, "suffix" : "" }, { "dropping-particle" : "", "family" : "Rice", "given" : "Eric", "non-dropping-particle" : "", "parse-names" : false, "suffix" : "" }, { "dropping-particle" : "", "family" : "Lightfoot", "given" : "Marguerita", "non-dropping-particle" : "", "parse-names" : false, "suffix" : "" }, { "dropping-particle" : "", "family" : "Solorio", "given" : "Rosa", "non-dropping-particle" : "", "parse-names" : false, "suffix" : "" }, { "dropping-particle" : "", "family" : "Rotheram-Borus", "given" : "Mary Jane", "non-dropping-particle" : "", "parse-names" : false, "suffix" : "" }, { "dropping-particle" : "", "family" : "Desmond", "given" : "Katherine", "non-dropping-particle" : "", "parse-names" : false, "suffix" : "" }, { "dropping-particle" : "", "family" : "Lee", "given" : "Alex", "non-dropping-particle" : "", "parse-names" : false, "suffix" : "" }, { "dropping-particle" : "", "family" : "Alexander", "given" : "Kwame", "non-dropping-particle" : "", "parse-names" : false, "suffix" : "" }, { "dropping-particle" : "", "family" : "Maresca", "given" : "Katherine", "non-dropping-particle" : "", "parse-names" : false, "suffix" : "" }, { "dropping-particle" : "", "family" : "Eastmen", "given" : "Karen", "non-dropping-particle" : "", "parse-names" : false, "suffix" : "" }, { "dropping-particle" : "", "family" : "Arnold", "given" : "Elizabeth Mayfield", "non-dropping-particle" : "", "parse-names" : false, "suffix" : "" }, { "dropping-particle" : "", "family" : "Duan", "given" : "Naihua", "non-dropping-particle" : "", "parse-names" : false, "suffix" : "" } ], "container-title" : "Journal of Adolescent Health", "id" : "ITEM-1", "issue" : "4", "issued" : { "date-parts" : [ [ "2012" ] ] }, "page" : "358-364", "publisher" : "Elsevier Inc.", "title" : "A family intervention to reduce sexual risk behavior, substance use, and delinquency among newly homeless youth", "type" : "article-journal", "volume" : "50" }, "uris" : [ "http://www.mendeley.com/documents/?uuid=dd0d869a-4fcb-4a93-8221-9751763361e4" ] } ], "mendeley" : { "formattedCitation" : "(Milburn et al. 2012)", "manualFormatting" : "Milburn et al. (2012)", "plainTextFormattedCitation" : "(Milburn et al. 2012)", "previouslyFormattedCitation" : "(Milburn et al. 2012)" }, "properties" : { "noteIndex" : 0 }, "schema" : "https://github.com/citation-style-language/schema/raw/master/csl-citation.json" }</w:instrText>
            </w:r>
            <w:r w:rsidRPr="00AF2AAA">
              <w:rPr>
                <w:lang w:val="en-US"/>
              </w:rPr>
              <w:fldChar w:fldCharType="separate"/>
            </w:r>
            <w:r w:rsidRPr="00AF2AAA">
              <w:rPr>
                <w:noProof/>
                <w:lang w:val="en-US"/>
              </w:rPr>
              <w:t>Milburn et al. (2012)</w:t>
            </w:r>
            <w:r w:rsidRPr="00AF2AAA">
              <w:rPr>
                <w:lang w:val="en-US"/>
              </w:rPr>
              <w:fldChar w:fldCharType="end"/>
            </w:r>
            <w:r w:rsidRPr="00AF2AAA">
              <w:rPr>
                <w:lang w:val="en-US"/>
              </w:rPr>
              <w:t xml:space="preserve"> A family intervention to reduce sexual risk behavior, substance use, and delinquency among newly homeless youth</w:t>
            </w:r>
          </w:p>
        </w:tc>
        <w:tc>
          <w:tcPr>
            <w:tcW w:w="706" w:type="pct"/>
            <w:tcBorders>
              <w:top w:val="nil"/>
              <w:left w:val="nil"/>
              <w:bottom w:val="single" w:sz="4" w:space="0" w:color="auto"/>
              <w:right w:val="single" w:sz="8" w:space="0" w:color="auto"/>
            </w:tcBorders>
            <w:shd w:val="clear" w:color="auto" w:fill="auto"/>
            <w:noWrap/>
            <w:vAlign w:val="center"/>
          </w:tcPr>
          <w:p w14:paraId="669C1618" w14:textId="0DCBEACF" w:rsidR="0009074C" w:rsidRPr="00AF2AAA" w:rsidRDefault="0009074C" w:rsidP="00221584">
            <w:pPr>
              <w:keepNext/>
              <w:rPr>
                <w:rFonts w:eastAsia="Times New Roman"/>
              </w:rPr>
            </w:pPr>
            <w:r w:rsidRPr="00AF2AAA">
              <w:t>£825</w:t>
            </w:r>
          </w:p>
        </w:tc>
        <w:tc>
          <w:tcPr>
            <w:tcW w:w="637" w:type="pct"/>
            <w:tcBorders>
              <w:top w:val="nil"/>
              <w:left w:val="nil"/>
              <w:bottom w:val="single" w:sz="4" w:space="0" w:color="auto"/>
              <w:right w:val="single" w:sz="8" w:space="0" w:color="auto"/>
            </w:tcBorders>
            <w:shd w:val="clear" w:color="auto" w:fill="auto"/>
            <w:noWrap/>
            <w:vAlign w:val="center"/>
          </w:tcPr>
          <w:p w14:paraId="0D088012" w14:textId="62FBCF7E" w:rsidR="0009074C" w:rsidRPr="00AF2AAA" w:rsidRDefault="0009074C" w:rsidP="00221584">
            <w:pPr>
              <w:keepNext/>
              <w:rPr>
                <w:rFonts w:eastAsia="Times New Roman"/>
                <w:color w:val="000000"/>
              </w:rPr>
            </w:pPr>
            <w:r w:rsidRPr="00AF2AAA">
              <w:t>£619</w:t>
            </w:r>
          </w:p>
        </w:tc>
        <w:tc>
          <w:tcPr>
            <w:tcW w:w="634" w:type="pct"/>
            <w:tcBorders>
              <w:top w:val="nil"/>
              <w:left w:val="nil"/>
              <w:bottom w:val="single" w:sz="4" w:space="0" w:color="auto"/>
              <w:right w:val="single" w:sz="8" w:space="0" w:color="auto"/>
            </w:tcBorders>
            <w:shd w:val="clear" w:color="auto" w:fill="auto"/>
            <w:noWrap/>
            <w:vAlign w:val="center"/>
          </w:tcPr>
          <w:p w14:paraId="1A25F4DA" w14:textId="71541097" w:rsidR="0009074C" w:rsidRPr="00AF2AAA" w:rsidRDefault="0009074C" w:rsidP="00221584">
            <w:pPr>
              <w:keepNext/>
              <w:rPr>
                <w:rFonts w:eastAsia="Times New Roman"/>
                <w:color w:val="000000"/>
              </w:rPr>
            </w:pPr>
            <w:r w:rsidRPr="00AF2AAA">
              <w:t>£1,031</w:t>
            </w:r>
          </w:p>
        </w:tc>
      </w:tr>
    </w:tbl>
    <w:p w14:paraId="53D9005D" w14:textId="77777777" w:rsidR="00F80585" w:rsidRPr="00AC2C72" w:rsidRDefault="00F80585" w:rsidP="000975B3"/>
    <w:p w14:paraId="2D2E0A6F" w14:textId="64AF2C66" w:rsidR="006967AE" w:rsidRDefault="007F32FE" w:rsidP="000975B3">
      <w:pPr>
        <w:pStyle w:val="Heading3"/>
      </w:pPr>
      <w:bookmarkStart w:id="30" w:name="_Toc452035634"/>
      <w:r w:rsidRPr="00D21C25">
        <w:t>4.</w:t>
      </w:r>
      <w:r w:rsidR="00A20DE8">
        <w:t>6</w:t>
      </w:r>
      <w:r w:rsidRPr="00D21C25">
        <w:t xml:space="preserve"> </w:t>
      </w:r>
      <w:r w:rsidR="006967AE" w:rsidRPr="00D21C25">
        <w:t>The cost consequences of drug misuse</w:t>
      </w:r>
      <w:bookmarkEnd w:id="30"/>
    </w:p>
    <w:p w14:paraId="1A86218E" w14:textId="77777777" w:rsidR="009C20DA" w:rsidRPr="009C20DA" w:rsidRDefault="009C20DA" w:rsidP="000975B3"/>
    <w:p w14:paraId="4FE78AF2" w14:textId="644224B7" w:rsidR="007F32FE" w:rsidRDefault="007F32FE" w:rsidP="00107D89">
      <w:r w:rsidRPr="00AC2C72">
        <w:t xml:space="preserve">The previous sections have identified the data necessary to predict the impact of the interventions on the </w:t>
      </w:r>
      <w:r w:rsidR="009D5888" w:rsidRPr="00AC2C72">
        <w:t>risk of an individual</w:t>
      </w:r>
      <w:r w:rsidRPr="00AC2C72">
        <w:t xml:space="preserve"> becoming a </w:t>
      </w:r>
      <w:r w:rsidR="009D5888" w:rsidRPr="00AC2C72">
        <w:t>drug mis</w:t>
      </w:r>
      <w:r w:rsidRPr="00AC2C72">
        <w:t>user. This section reviews the data on the cost of problematic substance use to society.</w:t>
      </w:r>
    </w:p>
    <w:p w14:paraId="5FB11545" w14:textId="77777777" w:rsidR="00AB640C" w:rsidRDefault="00AB640C" w:rsidP="00107D89"/>
    <w:p w14:paraId="60F40B1E" w14:textId="476CDEA0" w:rsidR="00AB640C" w:rsidRDefault="00AB640C" w:rsidP="00AC19CA">
      <w:r>
        <w:t xml:space="preserve">There have been several Drug Harm Indices produced over the years including for the UK in 2005 </w:t>
      </w:r>
      <w:r w:rsidR="00120CDC">
        <w:fldChar w:fldCharType="begin" w:fldLock="1"/>
      </w:r>
      <w:r w:rsidR="00396405">
        <w:instrText>ADDIN CSL_CITATION { "citationItems" : [ { "id" : "ITEM-1", "itemData" : { "author" : [ { "dropping-particle" : "", "family" : "Goodwin", "given" : "Andrew", "non-dropping-particle" : "", "parse-names" : false, "suffix" : "" } ], "id" : "ITEM-1", "issued" : { "date-parts" : [ [ "2005" ] ] }, "title" : "Measuring the harm from illegal drugs : the Drug Harm Index 2005 Drug Harm Index 2005", "type" : "report" }, "uris" : [ "http://www.mendeley.com/documents/?uuid=71bd3068-b95e-4e91-a8e6-17034052f25f" ] } ], "mendeley" : { "formattedCitation" : "(Goodwin 2005)", "plainTextFormattedCitation" : "(Goodwin 2005)", "previouslyFormattedCitation" : "(Goodwin 2005)" }, "properties" : { "noteIndex" : 0 }, "schema" : "https://github.com/citation-style-language/schema/raw/master/csl-citation.json" }</w:instrText>
      </w:r>
      <w:r w:rsidR="00120CDC">
        <w:fldChar w:fldCharType="separate"/>
      </w:r>
      <w:r w:rsidR="00120CDC" w:rsidRPr="00120CDC">
        <w:rPr>
          <w:noProof/>
        </w:rPr>
        <w:t>(Goodwin 2005)</w:t>
      </w:r>
      <w:r w:rsidR="00120CDC">
        <w:fldChar w:fldCharType="end"/>
      </w:r>
      <w:r w:rsidR="007C04BC">
        <w:t xml:space="preserve">. This index had the biggest drivers of drug related harm as crime such as burglary and robbery, drug related deaths, and cases of hepatitis C and HIV caused by drug use. </w:t>
      </w:r>
    </w:p>
    <w:p w14:paraId="1E9FF10F" w14:textId="77777777" w:rsidR="009C20DA" w:rsidRPr="00AC2C72" w:rsidRDefault="009C20DA" w:rsidP="005D184B"/>
    <w:p w14:paraId="6B94CE6B" w14:textId="2F474123" w:rsidR="007F32FE" w:rsidRDefault="007F32FE" w:rsidP="005D184B">
      <w:r w:rsidRPr="00AC2C72">
        <w:t xml:space="preserve">Problematic substance use is associated with a range of consequences that </w:t>
      </w:r>
      <w:r w:rsidR="00AE0518">
        <w:t>co</w:t>
      </w:r>
      <w:r w:rsidRPr="00AC2C72">
        <w:t xml:space="preserve">nfer costs to society. </w:t>
      </w:r>
      <w:r w:rsidR="00213752">
        <w:fldChar w:fldCharType="begin" w:fldLock="1"/>
      </w:r>
      <w:r w:rsidR="00213752">
        <w:instrText>ADDIN CSL_CITATION { "citationItems" : [ { "id" : "ITEM-1", "itemData" : { "author" : [ { "dropping-particle" : "", "family" : "Godfrey", "given" : "Christine", "non-dropping-particle" : "", "parse-names" : false, "suffix" : "" }, { "dropping-particle" : "", "family" : "Eaton", "given" : "Gail", "non-dropping-particle" : "", "parse-names" : false, "suffix" : "" }, { "dropping-particle" : "", "family" : "McDougall", "given" : "Cynthia", "non-dropping-particle" : "", "parse-names" : false, "suffix" : "" }, { "dropping-particle" : "", "family" : "Culyer", "given" : "Anthony", "non-dropping-particle" : "", "parse-names" : false, "suffix" : "" } ], "id" : "ITEM-1", "issue" : "July", "issued" : { "date-parts" : [ [ "2002" ] ] }, "title" : "The economic and social costs of Class A drug use in England and Wales", "type" : "report" }, "uris" : [ "http://www.mendeley.com/documents/?uuid=86a6e458-e8ab-43ce-b2ab-12fe942ba45b" ] } ], "mendeley" : { "formattedCitation" : "(Godfrey et al. 2002)", "manualFormatting" : "Godfrey et al. (2002)", "plainTextFormattedCitation" : "(Godfrey et al. 2002)", "previouslyFormattedCitation" : "(Godfrey et al. 2002)" }, "properties" : { "noteIndex" : 0 }, "schema" : "https://github.com/citation-style-language/schema/raw/master/csl-citation.json" }</w:instrText>
      </w:r>
      <w:r w:rsidR="00213752">
        <w:fldChar w:fldCharType="separate"/>
      </w:r>
      <w:r w:rsidR="00213752" w:rsidRPr="00213752">
        <w:rPr>
          <w:noProof/>
        </w:rPr>
        <w:t xml:space="preserve">Godfrey et al. </w:t>
      </w:r>
      <w:r w:rsidR="00213752">
        <w:rPr>
          <w:noProof/>
        </w:rPr>
        <w:t>(</w:t>
      </w:r>
      <w:r w:rsidR="00213752" w:rsidRPr="00213752">
        <w:rPr>
          <w:noProof/>
        </w:rPr>
        <w:t>2002)</w:t>
      </w:r>
      <w:r w:rsidR="00213752">
        <w:fldChar w:fldCharType="end"/>
      </w:r>
      <w:r w:rsidR="009C20DA">
        <w:t xml:space="preserve"> wrote “The economic and social costs of Class A drug use in England and Wales, 2000” which estimated the costs of class A drug use. D</w:t>
      </w:r>
      <w:r w:rsidR="009C20DA" w:rsidRPr="00C56C22">
        <w:t xml:space="preserve">rug use was estimated to cost society £15.4 billion a year, of which £13.9 </w:t>
      </w:r>
      <w:r w:rsidR="009C20DA" w:rsidRPr="00C56C22">
        <w:lastRenderedPageBreak/>
        <w:t xml:space="preserve">billion </w:t>
      </w:r>
      <w:r w:rsidR="009C20DA">
        <w:t>was</w:t>
      </w:r>
      <w:r w:rsidR="009C20DA" w:rsidRPr="00C56C22">
        <w:t xml:space="preserve"> related to crime committed by pe</w:t>
      </w:r>
      <w:r w:rsidR="009C20DA">
        <w:t>ople who are dependent on drugs. This report</w:t>
      </w:r>
      <w:r w:rsidR="009C20DA" w:rsidRPr="00AC2C72">
        <w:t xml:space="preserve"> </w:t>
      </w:r>
      <w:r w:rsidRPr="00AC2C72">
        <w:t>distinguish</w:t>
      </w:r>
      <w:r w:rsidR="009C20DA">
        <w:t>ed</w:t>
      </w:r>
      <w:r w:rsidRPr="00AC2C72">
        <w:t xml:space="preserve"> between the direct and indirect costs of problematic substance misuse:</w:t>
      </w:r>
    </w:p>
    <w:p w14:paraId="4E34350B" w14:textId="77777777" w:rsidR="0010783E" w:rsidRPr="00AC2C72" w:rsidRDefault="0010783E" w:rsidP="00023D29"/>
    <w:p w14:paraId="4856CAC7" w14:textId="271F654C" w:rsidR="007F32FE" w:rsidRPr="00AC2C72" w:rsidRDefault="007F32FE" w:rsidP="00783AD3">
      <w:pPr>
        <w:pStyle w:val="ListParagraph"/>
        <w:numPr>
          <w:ilvl w:val="0"/>
          <w:numId w:val="34"/>
        </w:numPr>
      </w:pPr>
      <w:r w:rsidRPr="00AC2C72">
        <w:t xml:space="preserve">direct costs: </w:t>
      </w:r>
    </w:p>
    <w:p w14:paraId="44AE049E" w14:textId="0EAF8FFF" w:rsidR="007F32FE" w:rsidRPr="00AC2C72" w:rsidRDefault="007F32FE" w:rsidP="00783AD3">
      <w:pPr>
        <w:pStyle w:val="ListParagraph"/>
        <w:numPr>
          <w:ilvl w:val="1"/>
          <w:numId w:val="34"/>
        </w:numPr>
      </w:pPr>
      <w:r w:rsidRPr="00AC2C72">
        <w:t>costs for users: health, alienation, dependency, poverty; and</w:t>
      </w:r>
    </w:p>
    <w:p w14:paraId="62F3F072" w14:textId="4057A437" w:rsidR="007F32FE" w:rsidRPr="00AC2C72" w:rsidRDefault="007F32FE" w:rsidP="00783AD3">
      <w:pPr>
        <w:pStyle w:val="ListParagraph"/>
        <w:numPr>
          <w:ilvl w:val="1"/>
          <w:numId w:val="34"/>
        </w:numPr>
      </w:pPr>
      <w:r w:rsidRPr="00AC2C72">
        <w:t>reactive costs: health care, social care, social security, CJS.</w:t>
      </w:r>
    </w:p>
    <w:p w14:paraId="435C3774" w14:textId="2CA430FF" w:rsidR="007F32FE" w:rsidRPr="00AC2C72" w:rsidRDefault="007F32FE" w:rsidP="00783AD3">
      <w:pPr>
        <w:pStyle w:val="ListParagraph"/>
        <w:numPr>
          <w:ilvl w:val="0"/>
          <w:numId w:val="34"/>
        </w:numPr>
      </w:pPr>
      <w:r w:rsidRPr="00AC2C72">
        <w:t>indirect costs:</w:t>
      </w:r>
    </w:p>
    <w:p w14:paraId="43C84883" w14:textId="78E600CB" w:rsidR="007F32FE" w:rsidRPr="00AC2C72" w:rsidRDefault="007F32FE" w:rsidP="00783AD3">
      <w:pPr>
        <w:pStyle w:val="ListParagraph"/>
        <w:numPr>
          <w:ilvl w:val="1"/>
          <w:numId w:val="34"/>
        </w:numPr>
      </w:pPr>
      <w:r w:rsidRPr="00AC2C72">
        <w:t>costs for users: work / productivity, education, driving, crime</w:t>
      </w:r>
    </w:p>
    <w:p w14:paraId="7592AE97" w14:textId="6C59A082" w:rsidR="007F32FE" w:rsidRPr="00AC2C72" w:rsidRDefault="007F32FE" w:rsidP="00783AD3">
      <w:pPr>
        <w:pStyle w:val="ListParagraph"/>
        <w:numPr>
          <w:ilvl w:val="1"/>
          <w:numId w:val="34"/>
        </w:numPr>
      </w:pPr>
      <w:r w:rsidRPr="00AC2C72">
        <w:t>costs for family and carers: financial, time spent caring, communicable diseases, anxiety and stress, poor parenting, lifestyle transmission; and</w:t>
      </w:r>
    </w:p>
    <w:p w14:paraId="234C2007" w14:textId="77777777" w:rsidR="00F80F46" w:rsidRDefault="007F32FE" w:rsidP="00783AD3">
      <w:pPr>
        <w:pStyle w:val="ListParagraph"/>
        <w:numPr>
          <w:ilvl w:val="1"/>
          <w:numId w:val="34"/>
        </w:numPr>
      </w:pPr>
      <w:r w:rsidRPr="00AC2C72">
        <w:t>costs for wider society: property crime, crime against the person, communicable disease, forced lifestyle changes, perceived insecurity.</w:t>
      </w:r>
    </w:p>
    <w:p w14:paraId="76A0EA93" w14:textId="77777777" w:rsidR="00F80F46" w:rsidRDefault="00F80F46" w:rsidP="00783AD3"/>
    <w:p w14:paraId="3E762C89" w14:textId="3861A9F3" w:rsidR="009C20DA" w:rsidRDefault="009C20DA" w:rsidP="00783AD3">
      <w:r>
        <w:t>According to</w:t>
      </w:r>
      <w:r w:rsidR="00DE3F15">
        <w:t xml:space="preserve"> </w:t>
      </w:r>
      <w:r w:rsidR="00DE3F15">
        <w:fldChar w:fldCharType="begin" w:fldLock="1"/>
      </w:r>
      <w:r w:rsidR="00DE3F15">
        <w:instrText>ADDIN CSL_CITATION { "citationItems" : [ { "id" : "ITEM-1", "itemData" : { "author" : [ { "dropping-particle" : "", "family" : "Davies", "given" : "Charlotte", "non-dropping-particle" : "", "parse-names" : false, "suffix" : "" }, { "dropping-particle" : "", "family" : "English", "given" : "Layla", "non-dropping-particle" : "", "parse-names" : false, "suffix" : "" }, { "dropping-particle" : "", "family" : "Stewart", "given" : "Claire", "non-dropping-particle" : "", "parse-names" : false, "suffix" : "" }, { "dropping-particle" : "", "family" : "Edginton", "given" : "Mark", "non-dropping-particle" : "", "parse-names" : false, "suffix" : "" }, { "dropping-particle" : "", "family" : "McVeigh", "given" : "Jim", "non-dropping-particle" : "", "parse-names" : false, "suffix" : "" }, { "dropping-particle" : "", "family" : "Bellis", "given" : "Mark A.", "non-dropping-particle" : "", "parse-names" : false, "suffix" : "" } ], "id" : "ITEM-1", "issued" : { "date-parts" : [ [ "2012" ] ] }, "number-of-pages" : "1-254", "title" : "United Kingdom drug situation: annual report on the European Monitoring Centre for Drugs and Drug Addiction (EMCDDA)", "type" : "report" }, "uris" : [ "http://www.mendeley.com/documents/?uuid=fb2af125-227a-407b-9754-017274679416" ] } ], "mendeley" : { "formattedCitation" : "(Davies et al. 2012)", "manualFormatting" : "Davies et al. (2012)", "plainTextFormattedCitation" : "(Davies et al. 2012)", "previouslyFormattedCitation" : "(Davies et al. 2012)" }, "properties" : { "noteIndex" : 0 }, "schema" : "https://github.com/citation-style-language/schema/raw/master/csl-citation.json" }</w:instrText>
      </w:r>
      <w:r w:rsidR="00DE3F15">
        <w:fldChar w:fldCharType="separate"/>
      </w:r>
      <w:r w:rsidR="00DE3F15">
        <w:rPr>
          <w:noProof/>
        </w:rPr>
        <w:t>Davies</w:t>
      </w:r>
      <w:r w:rsidR="00DE3F15" w:rsidRPr="00DE3F15">
        <w:rPr>
          <w:noProof/>
        </w:rPr>
        <w:t xml:space="preserve"> et al. </w:t>
      </w:r>
      <w:r w:rsidR="00DE3F15">
        <w:rPr>
          <w:noProof/>
        </w:rPr>
        <w:t>(</w:t>
      </w:r>
      <w:r w:rsidR="00DE3F15" w:rsidRPr="00DE3F15">
        <w:rPr>
          <w:noProof/>
        </w:rPr>
        <w:t>2012)</w:t>
      </w:r>
      <w:r w:rsidR="00DE3F15">
        <w:fldChar w:fldCharType="end"/>
      </w:r>
      <w:r>
        <w:t>, direct e</w:t>
      </w:r>
      <w:r w:rsidRPr="005D7704">
        <w:t xml:space="preserve">xpenditure </w:t>
      </w:r>
      <w:r>
        <w:t xml:space="preserve">on drug services </w:t>
      </w:r>
      <w:r w:rsidRPr="005D7704">
        <w:t xml:space="preserve">was £1.106 billion for the UK in 2010/11 (0.17% of public expenditure), while unlabelled expenditure </w:t>
      </w:r>
      <w:r>
        <w:t xml:space="preserve">(expenditure which is in some way related to drug abuse) </w:t>
      </w:r>
      <w:r w:rsidRPr="005D7704">
        <w:t xml:space="preserve">was estimated as £6.265 billion, the majority of which </w:t>
      </w:r>
      <w:r>
        <w:t>related to</w:t>
      </w:r>
      <w:r w:rsidRPr="005D7704">
        <w:t xml:space="preserve"> public order and safety</w:t>
      </w:r>
      <w:r>
        <w:t>, leading to an overall total of</w:t>
      </w:r>
      <w:r w:rsidRPr="005D7704">
        <w:t xml:space="preserve"> drug-related public expenditure amount</w:t>
      </w:r>
      <w:r>
        <w:t>ing</w:t>
      </w:r>
      <w:r w:rsidRPr="005D7704">
        <w:t xml:space="preserve"> to £7.37 billion which was 1.1% of all public sector expenditure</w:t>
      </w:r>
      <w:r>
        <w:t>.</w:t>
      </w:r>
    </w:p>
    <w:p w14:paraId="0FC9FA53" w14:textId="77777777" w:rsidR="009C20DA" w:rsidRDefault="009C20DA" w:rsidP="00783AD3"/>
    <w:p w14:paraId="2F19B5F4" w14:textId="77777777" w:rsidR="00F4157F" w:rsidRPr="00F4157F" w:rsidRDefault="00F4157F" w:rsidP="00783AD3">
      <w:r w:rsidRPr="00F4157F">
        <w:t>A lot of the available data on the costs of drug use is around the costs of problematic</w:t>
      </w:r>
    </w:p>
    <w:p w14:paraId="08660C17" w14:textId="3C7B02FB" w:rsidR="00F4157F" w:rsidRPr="00F4157F" w:rsidRDefault="00F4157F" w:rsidP="00055095">
      <w:r w:rsidRPr="00F4157F">
        <w:t xml:space="preserve">drug use, or from economic evaluations of drug treatment such as </w:t>
      </w:r>
      <w:r w:rsidR="0010783E" w:rsidRPr="00F4157F">
        <w:t xml:space="preserve">Drug Treatment Outcome Research Study </w:t>
      </w:r>
      <w:r w:rsidR="0010783E">
        <w:t>(</w:t>
      </w:r>
      <w:r w:rsidRPr="00F4157F">
        <w:t>DTORS</w:t>
      </w:r>
      <w:r w:rsidR="0010783E">
        <w:t>)</w:t>
      </w:r>
      <w:r w:rsidRPr="00F4157F">
        <w:t xml:space="preserve"> and </w:t>
      </w:r>
      <w:r w:rsidR="0010783E" w:rsidRPr="0010783E">
        <w:t xml:space="preserve">National Treatment Outcome Research Study </w:t>
      </w:r>
      <w:r w:rsidR="0010783E">
        <w:t>(N</w:t>
      </w:r>
      <w:r w:rsidRPr="00F4157F">
        <w:t>TORS</w:t>
      </w:r>
      <w:r w:rsidR="0010783E">
        <w:t>)</w:t>
      </w:r>
      <w:r w:rsidRPr="00F4157F">
        <w:t xml:space="preserve">. The </w:t>
      </w:r>
      <w:r w:rsidR="0010783E">
        <w:t>DTORS</w:t>
      </w:r>
      <w:r w:rsidRPr="00F4157F">
        <w:t xml:space="preserve"> </w:t>
      </w:r>
      <w:r w:rsidRPr="00F4157F">
        <w:fldChar w:fldCharType="begin" w:fldLock="1"/>
      </w:r>
      <w:r>
        <w:instrText>ADDIN CSL_CITATION { "citationItems" : [ { "id" : "ITEM-1", "itemData" : { "abstract" : "The Drug Treatment Outcomes Research Study (DTORS)  assessed the outcomes, costs and benefits of drug  treatment in England. Results obtained in the study were variable and affected by  a very small number of outliers. However, they provided  evidence that treatment was effective in improving health  status and in reducing the costs of other health and social  care services. Overall, the net benefits of structured drug  treatment were estimated to be positive, both overall and  at the individual level in around 80 per cent of cases, with a  benefit-cost ratio of approximately 2.5:1. Small sample size  prevented the estimation of robust net benefits for sample  subgroups. However, the results are broadly generalisable  to the population of people seeking structured drug  treatment in England and Wales. There were limitations to the analysis, due to missing  observations and follow-up data, and the use of self-report  data to estimate service use, offending and health status.  The absence of a control group not receiving treatment  also means that it is not possible to ascribe with a high  degree of confidence any observed changes in outcomes  to structured drug treatment specifically. DTORS participants were individuals who had received  triage and a care plan for drug treatment, and not all of  these would have taken up or completed their courses of  treatment. The reported results reflect the average over all  individuals. Further, the analysis does not include the costs  of ancillary services which might have been received prior  to accessing treatment, for instance the costs of triage and  care plans. More significantly, the costs of referral through  schemes such as the Drug Interventions Programme are  also excluded", "author" : [ { "dropping-particle" : "", "family" : "Davies", "given" : "Linda", "non-dropping-particle" : "", "parse-names" : false, "suffix" : "" }, { "dropping-particle" : "", "family" : "Jones", "given" : "Andrew", "non-dropping-particle" : "", "parse-names" : false, "suffix" : "" }, { "dropping-particle" : "", "family" : "Vamvakas", "given" : "Georgios", "non-dropping-particle" : "", "parse-names" : false, "suffix" : "" }, { "dropping-particle" : "", "family" : "Dubourg", "given" : "Richard", "non-dropping-particle" : "", "parse-names" : false, "suffix" : "" }, { "dropping-particle" : "", "family" : "Donmall", "given" : "Michael", "non-dropping-particle" : "", "parse-names" : false, "suffix" : "" } ], "id" : "ITEM-1", "issue" : "December", "issued" : { "date-parts" : [ [ "2009" ] ] }, "page" : "18", "title" : "The Drug Treatment Outcomes Research Study (DTORS): Cost effectiveness analysis", "type" : "article-journal" }, "uris" : [ "http://www.mendeley.com/documents/?uuid=b6e71b46-36da-453f-b7e1-ce24fc8c2266" ] } ], "mendeley" : { "formattedCitation" : "(Davies et al. 2009)", "plainTextFormattedCitation" : "(Davies et al. 2009)", "previouslyFormattedCitation" : "(Davies et al. 2009)" }, "properties" : { "noteIndex" : 0 }, "schema" : "https://github.com/citation-style-language/schema/raw/master/csl-citation.json" }</w:instrText>
      </w:r>
      <w:r w:rsidRPr="00F4157F">
        <w:fldChar w:fldCharType="separate"/>
      </w:r>
      <w:r w:rsidRPr="00F4157F">
        <w:rPr>
          <w:noProof/>
        </w:rPr>
        <w:t>(Davies et al. 2009)</w:t>
      </w:r>
      <w:r w:rsidRPr="00F4157F">
        <w:fldChar w:fldCharType="end"/>
      </w:r>
      <w:r w:rsidRPr="00F4157F">
        <w:t xml:space="preserve"> looked at outcomes for drug users and included a cost effectiveness element. It combined cost and activity data from the NDTMS with interview data for around 1,800 people that was used to estimate QALYs gained and resource use (health and social care and cost of offences). The QALYs were calculated using the SF12 survey instrument. There was a lot of variation around the average QALY gains. In the DTORS, the net benefits of drug treatment were positive in 80% of clients. The average net benefit ratio was around £2.50 for every £1 spent. This is much lower than the NTORS ratio of £9.50 for every £1 spent but was measured over a time period of 51 weeks compared to a 4 year time period (2 years before and 2 years after treatment) in the NTORS, as well as there being other differences in measuring costs and benefits between the two studies </w:t>
      </w:r>
      <w:r>
        <w:fldChar w:fldCharType="begin" w:fldLock="1"/>
      </w:r>
      <w:r>
        <w:instrText>ADDIN CSL_CITATION { "citationItems" : [ { "id" : "ITEM-1", "itemData" : { "DOI" : "10.1111/j.1360-0443.2004.00752.x", "ISBN" : "0965-2140 (Print)", "ISSN" : "09652140", "PMID" : "15139868", "abstract" : "AIMS: Some economic costs and consequences of drug misuse and treatment were investigated among clients recruited to the National Treatment Outcome Research Study (NTORS). DESIGN: This was a longitudinal prospective cohort design comprising 549 clients recruited from 54 residential and community treatment programmes: data were collected from interviews conducted at treatment intake, at 1 year and at 2-year follow-ups. MEASUREMENTS: Treatment costs included index and other drug treatments. Costs were estimated for use of health and social care services, criminal activity and the use of criminal justice resources. Costs were based upon self-reported data collected by structured face-to-face interviews combined with unit cost estimates taken from a variety of sources. FINDINGS: Addiction treatment was costed at pound 2.9 million in the 2 years prior to index treatment, and a further pound 4.4 million in the subsequent 2 years. Economic benefits were largely accounted for by reduced crime and victim costs of crime. Crime costs fell by pound 16.1 million during the first year, and by pound 11.3 million during the second year. Health-care costs were relatively small but approximately doubled during the course of the study. The ratio of consequences to net treatment investment varied from 18 : 1 to 9.5 : 1, depending on assumptions. This is likely to be a conservative estimate of the benefit-cost ratio because many potential benefits were not estimated. CONCLUSIONS: The data showed clear economic benefits to treating drug misusers in England.", "author" : [ { "dropping-particle" : "", "family" : "Godfrey", "given" : "Christine", "non-dropping-particle" : "", "parse-names" : false, "suffix" : "" }, { "dropping-particle" : "", "family" : "Stewart", "given" : "Duncan", "non-dropping-particle" : "", "parse-names" : false, "suffix" : "" }, { "dropping-particle" : "", "family" : "Gossop", "given" : "Michael", "non-dropping-particle" : "", "parse-names" : false, "suffix" : "" } ], "container-title" : "Addiction", "id" : "ITEM-1", "issue" : "6", "issued" : { "date-parts" : [ [ "2004" ] ] }, "page" : "697-707", "title" : "Economic analysis of costs and consequences of the treatment of drug misuse: 2-Year outcome data from the National Treatment Outcome Research Study (NTORS)", "type" : "article-journal", "volume" : "99" }, "uris" : [ "http://www.mendeley.com/documents/?uuid=b59c81bd-00e6-448f-ac15-0d97ff36d7c7" ] } ], "mendeley" : { "formattedCitation" : "(Godfrey et al. 2004)", "plainTextFormattedCitation" : "(Godfrey et al. 2004)", "previouslyFormattedCitation" : "(Godfrey et al. 2004)" }, "properties" : { "noteIndex" : 0 }, "schema" : "https://github.com/citation-style-language/schema/raw/master/csl-citation.json" }</w:instrText>
      </w:r>
      <w:r>
        <w:fldChar w:fldCharType="separate"/>
      </w:r>
      <w:r w:rsidRPr="00F4157F">
        <w:rPr>
          <w:noProof/>
        </w:rPr>
        <w:t>(Godfrey et al. 2004)</w:t>
      </w:r>
      <w:r>
        <w:fldChar w:fldCharType="end"/>
      </w:r>
      <w:r>
        <w:t>.</w:t>
      </w:r>
      <w:r w:rsidRPr="00F4157F">
        <w:t xml:space="preserve"> </w:t>
      </w:r>
    </w:p>
    <w:p w14:paraId="60A7CC42" w14:textId="77777777" w:rsidR="009C20DA" w:rsidRDefault="009C20DA" w:rsidP="00055095"/>
    <w:p w14:paraId="44491610" w14:textId="4F6510F0" w:rsidR="002224A2" w:rsidRDefault="009C20DA" w:rsidP="00055095">
      <w:r>
        <w:t>I</w:t>
      </w:r>
      <w:r w:rsidR="00F80F46">
        <w:t xml:space="preserve">t would be a mistake to apply the costs associated with problematic drug users, or people in drug treatment, to the whole population of drug users, many of whom may not experience </w:t>
      </w:r>
      <w:r w:rsidR="00940B3D">
        <w:t xml:space="preserve">these </w:t>
      </w:r>
      <w:r w:rsidR="00F80F46">
        <w:t>problems with their drug use</w:t>
      </w:r>
      <w:r w:rsidR="00940B3D">
        <w:t xml:space="preserve">. </w:t>
      </w:r>
      <w:r w:rsidR="007F32FE" w:rsidRPr="00AC2C72">
        <w:t xml:space="preserve">The data available to measure the causal relationship between </w:t>
      </w:r>
      <w:r w:rsidR="007755A9" w:rsidRPr="00AC2C72">
        <w:t xml:space="preserve">drug </w:t>
      </w:r>
      <w:r w:rsidR="007F32FE" w:rsidRPr="00AC2C72">
        <w:t xml:space="preserve">misuse and </w:t>
      </w:r>
      <w:r>
        <w:t>negative</w:t>
      </w:r>
      <w:r w:rsidRPr="00AC2C72">
        <w:t xml:space="preserve"> </w:t>
      </w:r>
      <w:r w:rsidR="007F32FE" w:rsidRPr="00AC2C72">
        <w:t xml:space="preserve">consequences, as well as the data available to measure the economic value of these consequences varied between the different cost types. </w:t>
      </w:r>
      <w:r w:rsidR="00273AAE" w:rsidRPr="00AC2C72">
        <w:t>The consequences</w:t>
      </w:r>
      <w:r w:rsidR="007F32FE" w:rsidRPr="00AC2C72">
        <w:t xml:space="preserve"> </w:t>
      </w:r>
      <w:r w:rsidR="00273AAE" w:rsidRPr="00AC2C72">
        <w:t>included</w:t>
      </w:r>
      <w:r w:rsidR="007F32FE" w:rsidRPr="00AC2C72">
        <w:t xml:space="preserve"> in the cost-effectiveness analysis </w:t>
      </w:r>
      <w:r w:rsidR="00273AAE" w:rsidRPr="00AC2C72">
        <w:t xml:space="preserve">were </w:t>
      </w:r>
      <w:r w:rsidR="007F32FE" w:rsidRPr="00AC2C72">
        <w:t xml:space="preserve">determined by the availability of data to measure the </w:t>
      </w:r>
      <w:r w:rsidR="007F32FE" w:rsidRPr="00AC2C72">
        <w:lastRenderedPageBreak/>
        <w:t xml:space="preserve">impact of </w:t>
      </w:r>
      <w:r w:rsidR="007755A9" w:rsidRPr="00AC2C72">
        <w:t>drug</w:t>
      </w:r>
      <w:r w:rsidR="007F32FE" w:rsidRPr="00AC2C72">
        <w:t xml:space="preserve"> misuse on these outcomes and the economic value of these outcomes. </w:t>
      </w:r>
      <w:r w:rsidR="007755A9" w:rsidRPr="00AC2C72">
        <w:t xml:space="preserve">The cost of </w:t>
      </w:r>
      <w:r w:rsidR="00273AAE" w:rsidRPr="00AC2C72">
        <w:t>crime associated with drug possession only</w:t>
      </w:r>
      <w:r w:rsidR="00273AAE" w:rsidRPr="00AC2C72" w:rsidDel="00273AAE">
        <w:t xml:space="preserve"> </w:t>
      </w:r>
      <w:r w:rsidR="00940B3D">
        <w:t>was</w:t>
      </w:r>
      <w:r w:rsidR="00940B3D" w:rsidRPr="00AC2C72">
        <w:t xml:space="preserve"> </w:t>
      </w:r>
      <w:r w:rsidR="007755A9" w:rsidRPr="00AC2C72">
        <w:t>included</w:t>
      </w:r>
      <w:r w:rsidR="00273AAE" w:rsidRPr="00AC2C72">
        <w:t>. In reality there may be considerable cross over between people arrested for possession and arrested for supply, and drug users contribute to the maintenance of the drugs market so there would be an argument for including the cost of possession offences</w:t>
      </w:r>
      <w:r w:rsidR="00940B3D">
        <w:t xml:space="preserve">. </w:t>
      </w:r>
    </w:p>
    <w:p w14:paraId="348482C7" w14:textId="77777777" w:rsidR="009C20DA" w:rsidRPr="00AC2C72" w:rsidRDefault="009C20DA" w:rsidP="00055095"/>
    <w:p w14:paraId="78CFEAD4" w14:textId="42E043DF" w:rsidR="007F32FE" w:rsidRPr="00AC2C72" w:rsidRDefault="002224A2" w:rsidP="00055095">
      <w:r w:rsidRPr="00AC2C72">
        <w:rPr>
          <w:color w:val="FF0000"/>
        </w:rPr>
        <w:t xml:space="preserve"> </w:t>
      </w:r>
      <w:r w:rsidR="007F32FE" w:rsidRPr="00AC2C72">
        <w:t xml:space="preserve">Two stages were undertaken to determine the availability of data: </w:t>
      </w:r>
    </w:p>
    <w:p w14:paraId="0FB74B2E" w14:textId="7B1BA709" w:rsidR="007F32FE" w:rsidRPr="00AC2C72" w:rsidRDefault="007F32FE" w:rsidP="00055095">
      <w:pPr>
        <w:pStyle w:val="ListParagraph"/>
        <w:numPr>
          <w:ilvl w:val="0"/>
          <w:numId w:val="36"/>
        </w:numPr>
      </w:pPr>
      <w:r w:rsidRPr="00AC2C72">
        <w:t xml:space="preserve">a review of the literature on the economic impact (quality of life and public sector cost impact) of the list of consequences was undertaken. The project did not have the scope to allow a systematic review of the literature. Instead, the following sources were used: </w:t>
      </w:r>
    </w:p>
    <w:p w14:paraId="7B32D9C4" w14:textId="3D3460B0" w:rsidR="007F32FE" w:rsidRPr="00AC2C72" w:rsidRDefault="007F32FE">
      <w:pPr>
        <w:pStyle w:val="ListParagraph"/>
        <w:numPr>
          <w:ilvl w:val="1"/>
          <w:numId w:val="34"/>
        </w:numPr>
      </w:pPr>
      <w:r w:rsidRPr="00AC2C72">
        <w:t>the</w:t>
      </w:r>
      <w:r w:rsidR="007755A9" w:rsidRPr="00AC2C72">
        <w:t xml:space="preserve"> knowledge of the team and members of LJMU team</w:t>
      </w:r>
      <w:r w:rsidRPr="00AC2C72">
        <w:t>, as well as the exper</w:t>
      </w:r>
      <w:r w:rsidR="002224A2" w:rsidRPr="00AC2C72">
        <w:t xml:space="preserve">t advisors </w:t>
      </w:r>
      <w:r w:rsidR="00546DCE" w:rsidRPr="00AC2C72">
        <w:t>o</w:t>
      </w:r>
      <w:r w:rsidR="007755A9" w:rsidRPr="00AC2C72">
        <w:t>n the PHAC</w:t>
      </w:r>
    </w:p>
    <w:p w14:paraId="6E99F8AA" w14:textId="1D6E27F1" w:rsidR="007F32FE" w:rsidRPr="00AC2C72" w:rsidRDefault="007F32FE">
      <w:pPr>
        <w:pStyle w:val="ListParagraph"/>
        <w:numPr>
          <w:ilvl w:val="1"/>
          <w:numId w:val="34"/>
        </w:numPr>
      </w:pPr>
      <w:r w:rsidRPr="00AC2C72">
        <w:t xml:space="preserve">for those outcomes for which economic values estimates were available, a basic </w:t>
      </w:r>
      <w:r w:rsidR="00273AAE" w:rsidRPr="00AC2C72">
        <w:t xml:space="preserve">literature </w:t>
      </w:r>
      <w:r w:rsidRPr="00AC2C72">
        <w:t xml:space="preserve">search was undertaken to determine the probability that a problematic substance user would experience the consequence. </w:t>
      </w:r>
    </w:p>
    <w:p w14:paraId="3ED4F963" w14:textId="7347A658" w:rsidR="00BE6B23" w:rsidRDefault="007F32FE">
      <w:pPr>
        <w:pStyle w:val="Heading3"/>
      </w:pPr>
      <w:bookmarkStart w:id="31" w:name="_Toc452035635"/>
      <w:r w:rsidRPr="00D21C25">
        <w:t>4.</w:t>
      </w:r>
      <w:r w:rsidR="00940B3D">
        <w:t>7</w:t>
      </w:r>
      <w:r w:rsidR="00BE6B23" w:rsidRPr="00D21C25">
        <w:t xml:space="preserve"> Sensitivity Analysis</w:t>
      </w:r>
      <w:bookmarkEnd w:id="31"/>
    </w:p>
    <w:p w14:paraId="7A03F260" w14:textId="77777777" w:rsidR="00321F84" w:rsidRDefault="00321F84"/>
    <w:p w14:paraId="0DD4C80B" w14:textId="647D7830" w:rsidR="00B876E1" w:rsidRDefault="00B876E1">
      <w:r>
        <w:t>Scenario analyses are conducted for all interventions except Catalano et al. (1999), varying the duration of effect of the intervention on reducing drug use.</w:t>
      </w:r>
    </w:p>
    <w:p w14:paraId="370AF93B" w14:textId="77777777" w:rsidR="00B876E1" w:rsidRDefault="00B876E1"/>
    <w:p w14:paraId="1C7169D3" w14:textId="560722C9" w:rsidR="00977488" w:rsidRPr="00AC2C72" w:rsidRDefault="00DF0D33">
      <w:r w:rsidRPr="00AC2C72">
        <w:t xml:space="preserve">One-way sensitivity analysis was conducted </w:t>
      </w:r>
      <w:r w:rsidR="00977488" w:rsidRPr="00AC2C72">
        <w:t xml:space="preserve">to enable the review to assess the impact that changes in </w:t>
      </w:r>
      <w:r w:rsidR="004423F3" w:rsidRPr="00AC2C72">
        <w:t xml:space="preserve">a </w:t>
      </w:r>
      <w:r w:rsidR="00977488" w:rsidRPr="00AC2C72">
        <w:t>certain parameter</w:t>
      </w:r>
      <w:r w:rsidR="004423F3" w:rsidRPr="00AC2C72">
        <w:t xml:space="preserve"> will hav</w:t>
      </w:r>
      <w:r w:rsidR="0099778C" w:rsidRPr="00AC2C72">
        <w:t xml:space="preserve">e on the model’s conclusions. </w:t>
      </w:r>
      <w:r w:rsidR="004423F3" w:rsidRPr="00AC2C72">
        <w:t xml:space="preserve">Tornado diagrams were used to </w:t>
      </w:r>
      <w:r w:rsidR="00283B2C" w:rsidRPr="00AC2C72">
        <w:t xml:space="preserve">illustrate the key drivers of the model’s results. Sensitivity analyses did not include probabilistic sensitivity analysis (PSA) as it </w:t>
      </w:r>
      <w:r w:rsidR="005770F4" w:rsidRPr="00AC2C72">
        <w:t>was deemed unlikely to</w:t>
      </w:r>
      <w:r w:rsidR="00283B2C" w:rsidRPr="00AC2C72">
        <w:t xml:space="preserve"> change the direction of the results and wou</w:t>
      </w:r>
      <w:r w:rsidR="005C3224" w:rsidRPr="00AC2C72">
        <w:t xml:space="preserve">ld require more time and potentially add unnecessary complexity </w:t>
      </w:r>
      <w:r w:rsidR="00F36764" w:rsidRPr="00AC2C72">
        <w:t xml:space="preserve">to the </w:t>
      </w:r>
      <w:r w:rsidR="005C3224" w:rsidRPr="00AC2C72">
        <w:t>interpretation of results</w:t>
      </w:r>
      <w:r w:rsidR="00283B2C" w:rsidRPr="00AC2C72">
        <w:t xml:space="preserve">. </w:t>
      </w:r>
    </w:p>
    <w:p w14:paraId="3BA9EC38" w14:textId="77777777" w:rsidR="005770F4" w:rsidRPr="00D21C25" w:rsidRDefault="005770F4"/>
    <w:p w14:paraId="6B7209C8" w14:textId="7404222E" w:rsidR="005770F4" w:rsidRPr="00AC2C72" w:rsidRDefault="005770F4">
      <w:r w:rsidRPr="00D21C25">
        <w:t xml:space="preserve">The sensitivity analyses within each model </w:t>
      </w:r>
      <w:r w:rsidR="00F36764" w:rsidRPr="00AC2C72">
        <w:t>are</w:t>
      </w:r>
      <w:r w:rsidRPr="00D21C25">
        <w:t xml:space="preserve"> covered in more detail within the results section of the report.</w:t>
      </w:r>
      <w:r w:rsidR="00773901">
        <w:t xml:space="preserve"> In general, each parameter was varied by +/- 25% in the sensitivity analysis to introduce some natural variation into the models. This was in the absence of good quality distributions for many of the model parameters. However intervention costs were varied using a range of values based on different types of staffing time. Discount rates were varied to 0% and 1.5% in line with the NICE guidelines manual. </w:t>
      </w:r>
      <w:r w:rsidR="008327CD">
        <w:t>The parameters for the sensi</w:t>
      </w:r>
      <w:r w:rsidR="00271439">
        <w:t>ti</w:t>
      </w:r>
      <w:r w:rsidR="008327CD">
        <w:t xml:space="preserve">vity analyses are shown in Appendix 2. </w:t>
      </w:r>
    </w:p>
    <w:p w14:paraId="547B61D6" w14:textId="5F4A57C9" w:rsidR="00DF0D33" w:rsidRPr="00AC2C72" w:rsidRDefault="00DF0D33"/>
    <w:p w14:paraId="240C99F5" w14:textId="6ACE6DFB" w:rsidR="0065260E" w:rsidRPr="00D21C25" w:rsidRDefault="0065260E">
      <w:pPr>
        <w:pStyle w:val="Heading3"/>
      </w:pPr>
      <w:bookmarkStart w:id="32" w:name="_Toc452035636"/>
      <w:r w:rsidRPr="00D21C25">
        <w:t>4.</w:t>
      </w:r>
      <w:r w:rsidR="00940B3D">
        <w:t>8</w:t>
      </w:r>
      <w:r w:rsidRPr="00D21C25">
        <w:t xml:space="preserve"> Quality assurance of models</w:t>
      </w:r>
      <w:bookmarkEnd w:id="32"/>
    </w:p>
    <w:p w14:paraId="72352C08" w14:textId="77777777" w:rsidR="005770F4" w:rsidRPr="00AC2C72" w:rsidRDefault="005770F4"/>
    <w:p w14:paraId="3765E925" w14:textId="31C02ABC" w:rsidR="0065260E" w:rsidRPr="00AC2C72" w:rsidRDefault="005770F4">
      <w:r w:rsidRPr="00AC2C72">
        <w:lastRenderedPageBreak/>
        <w:t>All models, outputs and source code were subject to review by at least two health economists within the Liverpool Health Economics team, the creator and an external reviewer. Following this members of both LJMU and NICE critically appraised each model with respect to the plausibility of assumptions, model structure and results.</w:t>
      </w:r>
      <w:r w:rsidR="00321F84">
        <w:t xml:space="preserve"> Then model assumptions were shared with PHAC members and changes were made based on their comments. </w:t>
      </w:r>
    </w:p>
    <w:p w14:paraId="2B594066" w14:textId="77777777" w:rsidR="0065260E" w:rsidRPr="00AC2C72" w:rsidRDefault="0065260E"/>
    <w:p w14:paraId="0B7026D5" w14:textId="12B5C408" w:rsidR="00BE6B23" w:rsidRDefault="007F32FE">
      <w:pPr>
        <w:pStyle w:val="Heading3"/>
      </w:pPr>
      <w:bookmarkStart w:id="33" w:name="_Toc452035637"/>
      <w:r w:rsidRPr="00D21C25">
        <w:t>4.</w:t>
      </w:r>
      <w:r w:rsidR="00940B3D">
        <w:t>9</w:t>
      </w:r>
      <w:r w:rsidR="00940B3D" w:rsidRPr="00D21C25">
        <w:t xml:space="preserve"> </w:t>
      </w:r>
      <w:r w:rsidR="00BE6B23" w:rsidRPr="00D21C25">
        <w:t>Limitations of modelling approach</w:t>
      </w:r>
      <w:bookmarkEnd w:id="33"/>
    </w:p>
    <w:p w14:paraId="6FB2427E" w14:textId="77777777" w:rsidR="005006EE" w:rsidRPr="005006EE" w:rsidRDefault="005006EE"/>
    <w:p w14:paraId="56DD3DBE" w14:textId="77777777" w:rsidR="0086326C" w:rsidRPr="00AC2C72" w:rsidRDefault="0086326C">
      <w:r w:rsidRPr="00AC2C72">
        <w:t xml:space="preserve">Generally, the quality of the studies which were modelled was moderate and several limitations are seen across the studies. </w:t>
      </w:r>
    </w:p>
    <w:p w14:paraId="796C9D58" w14:textId="77777777" w:rsidR="0086326C" w:rsidRPr="00AC2C72" w:rsidRDefault="0086326C"/>
    <w:p w14:paraId="304C8E27" w14:textId="622E234C" w:rsidR="00E278AF" w:rsidRPr="00AC2C72" w:rsidRDefault="00C80602">
      <w:pPr>
        <w:pStyle w:val="ListParagraph"/>
        <w:numPr>
          <w:ilvl w:val="0"/>
          <w:numId w:val="11"/>
        </w:numPr>
      </w:pPr>
      <w:r>
        <w:t>N</w:t>
      </w:r>
      <w:r w:rsidR="00323E1B" w:rsidRPr="00AC2C72">
        <w:t xml:space="preserve">one of the studies are from the UK, seven are from the USA and one is from Australia. </w:t>
      </w:r>
      <w:r w:rsidR="00604F28" w:rsidRPr="00AC2C72">
        <w:t xml:space="preserve">This may limit the applicability of the findings due to differences to healthcare policy, funding and service delivery. </w:t>
      </w:r>
      <w:r w:rsidR="00323E1B" w:rsidRPr="00AC2C72">
        <w:t xml:space="preserve">Therefore, it is possible that some of the interventions may not be applicable to the UK setting and thus the model is not appropriate. </w:t>
      </w:r>
      <w:r w:rsidR="00E278AF" w:rsidRPr="00AC2C72">
        <w:t>The modelling approach was limited by availability of a</w:t>
      </w:r>
      <w:r w:rsidR="00323E1B" w:rsidRPr="00AC2C72">
        <w:t xml:space="preserve">ppropriate </w:t>
      </w:r>
      <w:r w:rsidR="00F822CF" w:rsidRPr="00AC2C72">
        <w:t xml:space="preserve">local </w:t>
      </w:r>
      <w:r w:rsidR="00E278AF" w:rsidRPr="00AC2C72">
        <w:t xml:space="preserve">data inputs. </w:t>
      </w:r>
      <w:r w:rsidR="00F822CF" w:rsidRPr="00AC2C72">
        <w:t xml:space="preserve">The models include parameter estimates from outside of the UK </w:t>
      </w:r>
      <w:r w:rsidR="00323E1B" w:rsidRPr="00AC2C72">
        <w:t xml:space="preserve">setting </w:t>
      </w:r>
      <w:r w:rsidR="00F822CF" w:rsidRPr="00AC2C72">
        <w:t>and from within the UK</w:t>
      </w:r>
      <w:r w:rsidR="00323E1B" w:rsidRPr="00AC2C72">
        <w:t>;</w:t>
      </w:r>
      <w:r w:rsidR="00F822CF" w:rsidRPr="00AC2C72">
        <w:t xml:space="preserve"> </w:t>
      </w:r>
      <w:r w:rsidR="00323E1B" w:rsidRPr="00AC2C72">
        <w:t>which were</w:t>
      </w:r>
      <w:r w:rsidR="00F822CF" w:rsidRPr="00AC2C72">
        <w:t xml:space="preserve"> used to represent the UK setting. The</w:t>
      </w:r>
      <w:r w:rsidR="00653B0B" w:rsidRPr="00AC2C72">
        <w:t xml:space="preserve"> limitations are that parameter </w:t>
      </w:r>
      <w:r w:rsidR="00F822CF" w:rsidRPr="00AC2C72">
        <w:t xml:space="preserve">values </w:t>
      </w:r>
      <w:r w:rsidR="00653B0B" w:rsidRPr="00AC2C72">
        <w:t xml:space="preserve">from different settings and for subsections of the UK </w:t>
      </w:r>
      <w:r w:rsidR="00F822CF" w:rsidRPr="00AC2C72">
        <w:t>may over and underestimate the true value</w:t>
      </w:r>
      <w:r w:rsidR="00653B0B" w:rsidRPr="00AC2C72">
        <w:t xml:space="preserve"> for the UK</w:t>
      </w:r>
      <w:r w:rsidR="00F822CF" w:rsidRPr="00AC2C72">
        <w:t>.</w:t>
      </w:r>
      <w:r w:rsidR="00246DCE" w:rsidRPr="00AC2C72">
        <w:t xml:space="preserve"> </w:t>
      </w:r>
    </w:p>
    <w:p w14:paraId="2AA84713" w14:textId="1F0D03E3" w:rsidR="00AD0DE7" w:rsidRDefault="00AD0DE7">
      <w:pPr>
        <w:pStyle w:val="ListParagraph"/>
        <w:numPr>
          <w:ilvl w:val="0"/>
          <w:numId w:val="11"/>
        </w:numPr>
      </w:pPr>
      <w:r w:rsidRPr="00AC2C72">
        <w:t>Some interventions were shown to be efficacious when tested under strict trial conditions; however, it is not necessarily the case that these interventions would prove as effective when delivered in ‘real world’ settings</w:t>
      </w:r>
      <w:r w:rsidR="00940B3D">
        <w:t xml:space="preserve">. </w:t>
      </w:r>
    </w:p>
    <w:p w14:paraId="3992FC50" w14:textId="19C8607D" w:rsidR="00396405" w:rsidRDefault="005006EE">
      <w:pPr>
        <w:pStyle w:val="ListParagraph"/>
        <w:numPr>
          <w:ilvl w:val="0"/>
          <w:numId w:val="11"/>
        </w:numPr>
      </w:pPr>
      <w:r>
        <w:t>For many studies, the researcher was also the person who had developed the interve</w:t>
      </w:r>
      <w:r w:rsidR="00FF62C6">
        <w:t>ntion which can lead to biases</w:t>
      </w:r>
      <w:r w:rsidR="00396405">
        <w:t xml:space="preserve"> </w:t>
      </w:r>
      <w:r w:rsidR="00396405">
        <w:fldChar w:fldCharType="begin" w:fldLock="1"/>
      </w:r>
      <w:r w:rsidR="00396405">
        <w:instrText>ADDIN CSL_CITATION { "citationItems" : [ { "id" : "ITEM-1", "itemData" : { "DOI" : "10.1007/s11292-005-3540-8", "ISSN" : "15733750", "abstract" : "Using meta-analysis, we report on an investigation of the evaluator's influence in the treatment setting on criminal recidivism outcomes. Many evaluators and users of evaluation of social interventions worry that mixing of the roles of program developer and program evaluator may bias results reported in intervention studies in a positive direction. We first review the results of prior investigations of this issue across 50 prior meta-analyses, finding 12 that tested the impact of investigator influence in the treatment setting. Eleven of these reported that effect size increased positively, sometimes substantially so, when evaluators were influential or involved in the treatment setting. We followed this with a meta-analysis of 300 randomized field trials in individually focused crime reduction, also finding intervention studies in which evaluators who were greatly influential in the treatment setting report consistently and substantially larger effect sizes than other types of evaluators. We discuss two major views \u2014 the \u2018cynical\u2019 and \u2018high fidelity\u2019 theories \u2014 on why this is consistently the case, and conclude with a further agenda for research.", "author" : [ { "dropping-particle" : "", "family" : "Petrosino", "given" : "Anthony", "non-dropping-particle" : "", "parse-names" : false, "suffix" : "" }, { "dropping-particle" : "", "family" : "Soydan", "given" : "Haluk", "non-dropping-particle" : "", "parse-names" : false, "suffix" : "" } ], "container-title" : "Journal of Experimental Criminology", "id" : "ITEM-1", "issue" : "4", "issued" : { "date-parts" : [ [ "2005" ] ] }, "page" : "435-450", "title" : "The impact of program developers as evaluators on criminal recidivism: Results from meta-analyses of experimental and quasi-experimental research", "type" : "article-journal", "volume" : "1" }, "uris" : [ "http://www.mendeley.com/documents/?uuid=21e5aae9-6503-49a3-a710-7a8f5856c47b" ] } ], "mendeley" : { "formattedCitation" : "(Petrosino &amp; Soydan 2005)", "plainTextFormattedCitation" : "(Petrosino &amp; Soydan 2005)", "previouslyFormattedCitation" : "(Petrosino &amp; Soydan 2005)" }, "properties" : { "noteIndex" : 0 }, "schema" : "https://github.com/citation-style-language/schema/raw/master/csl-citation.json" }</w:instrText>
      </w:r>
      <w:r w:rsidR="00396405">
        <w:fldChar w:fldCharType="separate"/>
      </w:r>
      <w:r w:rsidR="00396405" w:rsidRPr="00396405">
        <w:rPr>
          <w:noProof/>
        </w:rPr>
        <w:t>(Petrosino &amp; Soydan 2005)</w:t>
      </w:r>
      <w:r w:rsidR="00396405">
        <w:fldChar w:fldCharType="end"/>
      </w:r>
      <w:r w:rsidR="00396405">
        <w:t>.</w:t>
      </w:r>
      <w:r w:rsidR="00FF62C6">
        <w:t xml:space="preserve"> </w:t>
      </w:r>
    </w:p>
    <w:p w14:paraId="5965AD70" w14:textId="56E6503E" w:rsidR="002B6ABC" w:rsidRPr="00AC2C72" w:rsidRDefault="00246DCE">
      <w:pPr>
        <w:pStyle w:val="ListParagraph"/>
        <w:numPr>
          <w:ilvl w:val="0"/>
          <w:numId w:val="11"/>
        </w:numPr>
      </w:pPr>
      <w:r w:rsidRPr="00AC2C72">
        <w:t xml:space="preserve">A particular challenge for each model was to define </w:t>
      </w:r>
      <w:r w:rsidR="005C46C1" w:rsidRPr="00AC2C72">
        <w:t xml:space="preserve">and determine differing rates of drug consumption. The definitions </w:t>
      </w:r>
      <w:r w:rsidR="00BC34F9" w:rsidRPr="00AC2C72">
        <w:t xml:space="preserve">appeared </w:t>
      </w:r>
      <w:r w:rsidR="005C46C1" w:rsidRPr="00AC2C72">
        <w:t xml:space="preserve">relatively subjective and </w:t>
      </w:r>
      <w:r w:rsidR="00BC34F9" w:rsidRPr="00AC2C72">
        <w:t xml:space="preserve">were </w:t>
      </w:r>
      <w:r w:rsidR="005C46C1" w:rsidRPr="00AC2C72">
        <w:t xml:space="preserve">poorly defined. Another </w:t>
      </w:r>
      <w:r w:rsidR="002B6ABC" w:rsidRPr="00AC2C72">
        <w:t>common</w:t>
      </w:r>
      <w:r w:rsidR="005C46C1" w:rsidRPr="00AC2C72">
        <w:t xml:space="preserve"> limitation was that </w:t>
      </w:r>
      <w:r w:rsidR="00BC34F9" w:rsidRPr="00AC2C72">
        <w:t xml:space="preserve">outcomes </w:t>
      </w:r>
      <w:r w:rsidR="002B6ABC" w:rsidRPr="00AC2C72">
        <w:t>were poorly reported e.g.</w:t>
      </w:r>
      <w:r w:rsidR="005C46C1" w:rsidRPr="00AC2C72">
        <w:t xml:space="preserve"> </w:t>
      </w:r>
      <w:r w:rsidR="00586F50" w:rsidRPr="00AC2C72">
        <w:fldChar w:fldCharType="begin" w:fldLock="1"/>
      </w:r>
      <w:r w:rsidR="00586F50" w:rsidRPr="00AC2C72">
        <w:instrText>ADDIN CSL_CITATION { "citationItems" : [ { "id" : "ITEM-1", "itemData" : { "DOI" : "10.1037/a0018859", "ISBN" : "0893-164X", "ISSN" : "1939-1501", "PMID" : "20565152", "abstract" : "Despite clear need, brief web-based interventions for marijuana-using college students have not been evaluated in the literature. The current study was designed to evaluate a brief, web-based personalized feedback intervention for at-risk marijuana users transitioning to college. All entering first-year students were invited to complete a brief questionnaire. Participants meeting criteria completed a baseline assessment (N = 341) and were randomly assigned to web-based personalized feedback or assessment-only control conditions. Participants completed 3-month (95.0%) and 6-month (94.4%) follow-up assessments. Results indicated that although there was no overall intervention effect, moderator analyses found promising effects for those with a family history of drug problems and, to a smaller extent, students who were higher in contemplation of changing marijuana use at baseline. Implications of these findings for selective intervention of college marijuana use and web-based interventions in general are discussed.", "author" : [ { "dropping-particle" : "", "family" : "Lee", "given" : "Christine M", "non-dropping-particle" : "", "parse-names" : false, "suffix" : "" }, { "dropping-particle" : "", "family" : "Neighbors", "given" : "Clayton", "non-dropping-particle" : "", "parse-names" : false, "suffix" : "" }, { "dropping-particle" : "", "family" : "Kilmer", "given" : "Jason R", "non-dropping-particle" : "", "parse-names" : false, "suffix" : "" }, { "dropping-particle" : "", "family" : "Larimer", "given" : "Mary E", "non-dropping-particle" : "", "parse-names" : false, "suffix" : "" } ], "container-title" : "Psychology of addictive behaviors : journal of the Society of Psychologists in Addictive Behaviors", "id" : "ITEM-1", "issue" : "2", "issued" : { "date-parts" : [ [ "2010" ] ] }, "page" : "265-73", "title" : "A brief, web-based personalized feedback selective intervention for college student marijuana use: a randomized clinical trial.", "type" : "article-journal", "volume" : "24" }, "uris" : [ "http://www.mendeley.com/documents/?uuid=383e5b17-8f39-4110-8a9e-0045e5b158fa" ] } ], "mendeley" : { "formattedCitation" : "(Lee et al. 2010)", "manualFormatting" : "Lee et al. (2010)", "plainTextFormattedCitation" : "(Lee et al. 2010)", "previouslyFormattedCitation" : "(Lee et al. 2010)" }, "properties" : { "noteIndex" : 0 }, "schema" : "https://github.com/citation-style-language/schema/raw/master/csl-citation.json" }</w:instrText>
      </w:r>
      <w:r w:rsidR="00586F50" w:rsidRPr="00AC2C72">
        <w:fldChar w:fldCharType="separate"/>
      </w:r>
      <w:r w:rsidR="00586F50" w:rsidRPr="00AC2C72">
        <w:rPr>
          <w:noProof/>
        </w:rPr>
        <w:t>Lee et al. (2010)</w:t>
      </w:r>
      <w:r w:rsidR="00586F50" w:rsidRPr="00AC2C72">
        <w:fldChar w:fldCharType="end"/>
      </w:r>
      <w:r w:rsidR="005C46C1" w:rsidRPr="00AC2C72">
        <w:t xml:space="preserve"> </w:t>
      </w:r>
      <w:r w:rsidR="002B6ABC" w:rsidRPr="00AC2C72">
        <w:t>reported</w:t>
      </w:r>
      <w:r w:rsidR="005C46C1" w:rsidRPr="00AC2C72">
        <w:t xml:space="preserve"> average frequency of cannabis use in the last </w:t>
      </w:r>
      <w:r w:rsidR="00F36764" w:rsidRPr="00AC2C72">
        <w:t xml:space="preserve">three </w:t>
      </w:r>
      <w:r w:rsidR="005C46C1" w:rsidRPr="00AC2C72">
        <w:t>months. However</w:t>
      </w:r>
      <w:r w:rsidR="00F662BA" w:rsidRPr="00AC2C72">
        <w:t>,</w:t>
      </w:r>
      <w:r w:rsidR="002B6ABC" w:rsidRPr="00AC2C72">
        <w:t xml:space="preserve"> in the model we were interested in </w:t>
      </w:r>
      <w:r w:rsidR="005C46C1" w:rsidRPr="00AC2C72">
        <w:t xml:space="preserve">a binary outcome, cannabis use </w:t>
      </w:r>
      <w:r w:rsidR="002B6ABC" w:rsidRPr="00AC2C72">
        <w:t>or not</w:t>
      </w:r>
      <w:r w:rsidR="00F662BA" w:rsidRPr="00AC2C72">
        <w:t xml:space="preserve"> as we did not have sufficient information to translate how differing rates of cannabis consumption translates into impact on rates of psychosis</w:t>
      </w:r>
      <w:r w:rsidR="002B6ABC" w:rsidRPr="00AC2C72">
        <w:t>. Therefore, in modelling we had to make several additional assumptions such as an average reduction in the frequency of cannabis use also translate</w:t>
      </w:r>
      <w:r w:rsidR="00BD53D3" w:rsidRPr="00AC2C72">
        <w:t xml:space="preserve">s to reduction in actual use and that </w:t>
      </w:r>
      <w:r w:rsidR="002B6ABC" w:rsidRPr="00AC2C72">
        <w:t xml:space="preserve">some </w:t>
      </w:r>
      <w:r w:rsidR="00F36764" w:rsidRPr="00AC2C72">
        <w:t xml:space="preserve">individuals </w:t>
      </w:r>
      <w:r w:rsidR="002B6ABC" w:rsidRPr="00AC2C72">
        <w:t xml:space="preserve">may stop </w:t>
      </w:r>
      <w:r w:rsidR="00BD53D3" w:rsidRPr="00AC2C72">
        <w:t xml:space="preserve">cannabis consumption </w:t>
      </w:r>
      <w:r w:rsidR="002B6ABC" w:rsidRPr="00AC2C72">
        <w:t xml:space="preserve">completely. </w:t>
      </w:r>
    </w:p>
    <w:p w14:paraId="595CAF3F" w14:textId="53B0B0CB" w:rsidR="0086326C" w:rsidRPr="00AC2C72" w:rsidRDefault="0086326C">
      <w:pPr>
        <w:pStyle w:val="ListParagraph"/>
        <w:numPr>
          <w:ilvl w:val="0"/>
          <w:numId w:val="11"/>
        </w:numPr>
      </w:pPr>
      <w:r w:rsidRPr="00AC2C72">
        <w:t xml:space="preserve">Most studies’ findings were based on self-reported drug use; these outcomes were not validated biochemically. In addition, most studies involved relatively small sample sizes thus increasing the risk that they were not powered enough to detect significant effects. </w:t>
      </w:r>
    </w:p>
    <w:p w14:paraId="2A952D2D" w14:textId="2BF42337" w:rsidR="005C46C1" w:rsidRPr="00AC2C72" w:rsidRDefault="00BD53D3">
      <w:pPr>
        <w:pStyle w:val="ListParagraph"/>
        <w:numPr>
          <w:ilvl w:val="0"/>
          <w:numId w:val="11"/>
        </w:numPr>
        <w:rPr>
          <w:lang w:val="fr-FR"/>
        </w:rPr>
      </w:pPr>
      <w:r w:rsidRPr="00AC2C72">
        <w:lastRenderedPageBreak/>
        <w:t>Another important factor is that</w:t>
      </w:r>
      <w:r w:rsidR="005C46C1" w:rsidRPr="00AC2C72">
        <w:t xml:space="preserve"> there have been </w:t>
      </w:r>
      <w:r w:rsidRPr="00AC2C72">
        <w:t>changes</w:t>
      </w:r>
      <w:r w:rsidR="005C46C1" w:rsidRPr="00AC2C72">
        <w:t xml:space="preserve"> in the </w:t>
      </w:r>
      <w:r w:rsidRPr="00AC2C72">
        <w:t>st</w:t>
      </w:r>
      <w:r w:rsidR="005C46C1" w:rsidRPr="00AC2C72">
        <w:t>rength</w:t>
      </w:r>
      <w:r w:rsidRPr="00AC2C72">
        <w:t xml:space="preserve">, method of consumption and quantities </w:t>
      </w:r>
      <w:r w:rsidR="00CD0B76">
        <w:t xml:space="preserve">of drugs </w:t>
      </w:r>
      <w:r w:rsidRPr="00AC2C72">
        <w:t>consumed. This applies to all drugs evaluated</w:t>
      </w:r>
      <w:r w:rsidR="00F36764" w:rsidRPr="00AC2C72">
        <w:t xml:space="preserve">, </w:t>
      </w:r>
      <w:r w:rsidRPr="00AC2C72">
        <w:t xml:space="preserve">in particular </w:t>
      </w:r>
      <w:r w:rsidR="005C46C1" w:rsidRPr="00AC2C72">
        <w:t xml:space="preserve">cannabis </w:t>
      </w:r>
      <w:r w:rsidR="00F36764" w:rsidRPr="00AC2C72">
        <w:t>as changes in strength of cannabis may be associated with differential outcomes</w:t>
      </w:r>
      <w:r w:rsidR="00F662BA" w:rsidRPr="00AC2C72">
        <w:t xml:space="preserve"> </w:t>
      </w:r>
      <w:r w:rsidR="005C46C1" w:rsidRPr="00AC2C72">
        <w:fldChar w:fldCharType="begin" w:fldLock="1"/>
      </w:r>
      <w:r w:rsidR="005C46C1" w:rsidRPr="00AC2C72">
        <w:instrText>ADDIN CSL_CITATION { "citationItems" : [ { "id" : "ITEM-1", "itemData" : { "DOI" : "10.1371/journal.pone.0031660", "author" : [ { "dropping-particle" : "", "family" : "Kirkbride", "given" : "JB", "non-dropping-particle" : "", "parse-names" : false, "suffix" : "" }, { "dropping-particle" : "", "family" : "Errazuriz", "given" : "A", "non-dropping-particle" : "", "parse-names" : false, "suffix" : "" }, { "dropping-particle" : "", "family" : "Croudace", "given" : "TJ", "non-dropping-particle" : "", "parse-names" : false, "suffix" : "" }, { "dropping-particle" : "", "family" : "Morgan", "given" : "C", "non-dropping-particle" : "", "parse-names" : false, "suffix" : "" }, { "dropping-particle" : "", "family" : "Jackson", "given" : "D", "non-dropping-particle" : "", "parse-names" : false, "suffix" : "" }, { "dropping-particle" : "", "family" : "McCrone", "given" : "P", "non-dropping-particle" : "", "parse-names" : false, "suffix" : "" }, { "dropping-particle" : "", "family" : "Murray", "given" : "RM", "non-dropping-particle" : "", "parse-names" : false, "suffix" : "" }, { "dropping-particle" : "", "family" : "Jones", "given" : "PB", "non-dropping-particle" : "", "parse-names" : false, "suffix" : "" } ], "id" : "ITEM-1", "issued" : { "date-parts" : [ [ "2012" ] ] }, "number-of-pages" : "1-258", "title" : "Systematic Review of the Incidence and Prevalence of Schizophrenia and Other Psychoses in England", "type" : "report" }, "uris" : [ "http://www.mendeley.com/documents/?uuid=9ce7f34b-0900-4cd1-812f-33ddb0de7a13" ] }, { "id" : "ITEM-2", "itemData" : { "DOI" : "10.1111/add.12703", "ISSN" : "09652140", "author" : [ { "dropping-particle" : "", "family" : "Hall", "given" : "Wayne", "non-dropping-particle" : "", "parse-names" : false, "suffix" : "" } ], "container-title" : "Addiction", "id" : "ITEM-2", "issue" : "1", "issued" : { "date-parts" : [ [ "2015" ] ] }, "page" : "19-35", "title" : "What has research over the past two decades revealed about the adverse health effects of recreational cannabis use?", "type" : "article-journal", "volume" : "110" }, "uris" : [ "http://www.mendeley.com/documents/?uuid=d8521fb8-e570-4c21-94ce-0d664aafbf93" ] }, { "id" : "ITEM-3", "itemData" : { "DOI" : "10.1371/journal.pone.0076635", "ISSN" : "1932-6203", "author" : [ { "dropping-particle" : "", "family" : "Degenhardt", "given" : "Louisa", "non-dropping-particle" : "", "parse-names" : false, "suffix" : "" }, { "dropping-particle" : "", "family" : "Ferrari", "given" : "Alize J.", "non-dropping-particle" : "", "parse-names" : false, "suffix" : "" }, { "dropping-particle" : "", "family" : "Calabria", "given" : "Bianca", "non-dropping-particle" : "", "parse-names" : false, "suffix" : "" }, { "dropping-particle" : "", "family" : "Hall", "given" : "Wayne D.", "non-dropping-particle" : "", "parse-names" : false, "suffix" : "" }, { "dropping-particle" : "", "family" : "Norman", "given" : "Rosana E.", "non-dropping-particle" : "", "parse-names" : false, "suffix" : "" }, { "dropping-particle" : "", "family" : "McGrath", "given" : "John", "non-dropping-particle" : "", "parse-names" : false, "suffix" : "" }, { "dropping-particle" : "", "family" : "Flaxman", "given" : "Abraham D.", "non-dropping-particle" : "", "parse-names" : false, "suffix" : "" }, { "dropping-particle" : "", "family" : "Engell", "given" : "Rebecca E.", "non-dropping-particle" : "", "parse-names" : false, "suffix" : "" }, { "dropping-particle" : "", "family" : "Freedman", "given" : "Greg D.", "non-dropping-particle" : "", "parse-names" : false, "suffix" : "" }, { "dropping-particle" : "", "family" : "Whiteford", "given" : "Harvey A.", "non-dropping-particle" : "", "parse-names" : false, "suffix" : "" }, { "dropping-particle" : "", "family" : "Vos", "given" : "Theo", "non-dropping-particle" : "", "parse-names" : false, "suffix" : "" } ], "container-title" : "PLoS ONE", "id" : "ITEM-3", "issue" : "10", "issued" : { "date-parts" : [ [ "2013" ] ] }, "page" : "e76635", "title" : "The Global Epidemiology and Contribution of Cannabis Use and Dependence to the Global Burden of Disease: Results from the GBD 2010 Study", "type" : "article-journal", "volume" : "8" }, "uris" : [ "http://www.mendeley.com/documents/?uuid=dcb4857d-5a9d-414e-9230-e77f7c240e87" ] }, { "id" : "ITEM-4", "itemData" : { "DOI" : "10.1016/S2215-0366(14)00117-5", "ISSN" : "22150366", "author" : [ { "dropping-particle" : "", "family" : "Forti", "given" : "Marta", "non-dropping-particle" : "Di", "parse-names" : false, "suffix" : "" }, { "dropping-particle" : "", "family" : "Marconi", "given" : "Arianna", "non-dropping-particle" : "", "parse-names" : false, "suffix" : "" }, { "dropping-particle" : "", "family" : "Carra", "given" : "Elena", "non-dropping-particle" : "", "parse-names" : false, "suffix" : "" }, { "dropping-particle" : "", "family" : "Fraietta", "given" : "Sara", "non-dropping-particle" : "", "parse-names" : false, "suffix" : "" }, { "dropping-particle" : "", "family" : "Trotta", "given" : "Antonella", "non-dropping-particle" : "", "parse-names" : false, "suffix" : "" }, { "dropping-particle" : "", "family" : "Bonomo", "given" : "Matteo", "non-dropping-particle" : "", "parse-names" : false, "suffix" : "" }, { "dropping-particle" : "", "family" : "Bianconi", "given" : "Francesca", "non-dropping-particle" : "", "parse-names" : false, "suffix" : "" }, { "dropping-particle" : "", "family" : "Gardner-Sood", "given" : "Poonam", "non-dropping-particle" : "", "parse-names" : false, "suffix" : "" }, { "dropping-particle" : "", "family" : "O'Connor", "given" : "Jennifer", "non-dropping-particle" : "", "parse-names" : false, "suffix" : "" }, { "dropping-particle" : "", "family" : "Russo", "given" : "Manuela", "non-dropping-particle" : "", "parse-names" : false, "suffix" : "" }, { "dropping-particle" : "", "family" : "Stilo", "given" : "Simona A", "non-dropping-particle" : "", "parse-names" : false, "suffix" : "" }, { "dropping-particle" : "", "family" : "Marques", "given" : "Tiago Reis", "non-dropping-particle" : "", "parse-names" : false, "suffix" : "" }, { "dropping-particle" : "", "family" : "Mondelli", "given" : "Valeria", "non-dropping-particle" : "", "parse-names" : false, "suffix" : "" }, { "dropping-particle" : "", "family" : "Dazzan", "given" : "Paola", "non-dropping-particle" : "", "parse-names" : false, "suffix" : "" }, { "dropping-particle" : "", "family" : "Pariante", "given" : "Carmine", "non-dropping-particle" : "", "parse-names" : false, "suffix" : "" }, { "dropping-particle" : "", "family" : "David", "given" : "Anthony S", "non-dropping-particle" : "", "parse-names" : false, "suffix" : "" }, { "dropping-particle" : "", "family" : "Gaughran", "given" : "Fiona", "non-dropping-particle" : "", "parse-names" : false, "suffix" : "" }, { "dropping-particle" : "", "family" : "Atakan", "given" : "Zerrin", "non-dropping-particle" : "", "parse-names" : false, "suffix" : "" }, { "dropping-particle" : "", "family" : "Iyegbe", "given" : "Conrad", "non-dropping-particle" : "", "parse-names" : false, "suffix" : "" }, { "dropping-particle" : "", "family" : "Powell", "given" : "John",</w:instrText>
      </w:r>
      <w:r w:rsidR="005C46C1" w:rsidRPr="00AC2C72">
        <w:rPr>
          <w:lang w:val="fr-FR"/>
        </w:rPr>
        <w:instrText xml:space="preserve"> "non-dropping-particle" : "", "parse-names" : false, "suffix" : "" }, { "dropping-particle" : "", "family" : "Morgan", "given" : "Craig", "non-dropping-particle" : "", "parse-names" : false, "suffix" : "" }, { "dropping-particle" : "", "family" : "Lynskey", "given" : "Michael", "non-dropping-particle" : "", "parse-names" : false, "suffix" : "" }, { "dropping-particle" : "", "family" : "Murray", "given" : "Robin M", "non-dropping-particle" : "", "parse-names" : false, "suffix" : "" } ], "container-title" : "The Lancet Psychiatry", "id" : "ITEM-4", "issue" : "3", "issued" : { "date-parts" : [ [ "2015" ] ] }, "page" : "233-238", "publisher" : "Di Forti et al. Open Access article distributed under the terms of CC BY", "title" : "Proportion of patients in south London with first-episode psychosis attributable to use of high potency cannabis: a case-control study", "type" : "article-journal", "volume" : "2" }, "uris" : [ "http://www.mendeley.com/documents/?uuid=41645929-62ee-4116-acf8-f8b384d21a66" ] } ], "mendeley" : { "formattedCitation" : "(Kirkbride et al. 2012; Hall 2015; Degenhardt et al. 2013; Di Forti et al. 2015)", "plainTextFormattedCitation" : "(Kirkbride et al. 2012; Hall 2015; Degenhardt et al. 2013; Di Forti et al. 2015)", "previouslyFormattedCitation" : "(Kirkbride et al. 2012; Hall 2015; Degenhardt et al. 2013; Di Forti et al. 2015)" }, "properties" : { "noteIndex" : 0 }, "schema" : "https://github.com/citation-style-language/schema/raw/master/csl-citation.json" }</w:instrText>
      </w:r>
      <w:r w:rsidR="005C46C1" w:rsidRPr="00AC2C72">
        <w:fldChar w:fldCharType="separate"/>
      </w:r>
      <w:r w:rsidR="005C46C1" w:rsidRPr="00AC2C72">
        <w:rPr>
          <w:noProof/>
          <w:lang w:val="fr-FR"/>
        </w:rPr>
        <w:t>(Kirkbride et al. 2012; Hall 2015; Degenhardt et al. 2013; Di Forti et al. 2015)</w:t>
      </w:r>
      <w:r w:rsidR="005C46C1" w:rsidRPr="00AC2C72">
        <w:fldChar w:fldCharType="end"/>
      </w:r>
      <w:r w:rsidR="00F662BA" w:rsidRPr="00AC2C72">
        <w:rPr>
          <w:lang w:val="fr-FR"/>
        </w:rPr>
        <w:t xml:space="preserve">. </w:t>
      </w:r>
    </w:p>
    <w:p w14:paraId="7718D73D" w14:textId="3895F794" w:rsidR="004F0165" w:rsidRPr="00AC2C72" w:rsidRDefault="005C46C1">
      <w:pPr>
        <w:pStyle w:val="ListParagraph"/>
        <w:numPr>
          <w:ilvl w:val="0"/>
          <w:numId w:val="11"/>
        </w:numPr>
      </w:pPr>
      <w:r w:rsidRPr="00AC2C72">
        <w:t xml:space="preserve">A key limitation of </w:t>
      </w:r>
      <w:r w:rsidR="00957F08" w:rsidRPr="00AC2C72">
        <w:t>some</w:t>
      </w:r>
      <w:r w:rsidRPr="00AC2C72">
        <w:t xml:space="preserve"> model</w:t>
      </w:r>
      <w:r w:rsidR="00957F08" w:rsidRPr="00AC2C72">
        <w:t>s</w:t>
      </w:r>
      <w:r w:rsidRPr="00AC2C72">
        <w:t xml:space="preserve"> is that a ‘do nothing’ </w:t>
      </w:r>
      <w:r w:rsidR="00BD53D3" w:rsidRPr="00AC2C72">
        <w:t xml:space="preserve">a ‘weak control’ </w:t>
      </w:r>
      <w:r w:rsidRPr="00AC2C72">
        <w:t xml:space="preserve">comparator was used, whereas in fact this may not be the case in the real world. </w:t>
      </w:r>
      <w:r w:rsidR="00BD53D3" w:rsidRPr="00AC2C72">
        <w:t xml:space="preserve">This may make the intervention appear more cost </w:t>
      </w:r>
      <w:r w:rsidR="00F36764" w:rsidRPr="00AC2C72">
        <w:t>effective</w:t>
      </w:r>
      <w:r w:rsidR="00957F08" w:rsidRPr="00AC2C72">
        <w:t xml:space="preserve">. Whereas a study that </w:t>
      </w:r>
      <w:r w:rsidR="004F0165" w:rsidRPr="00AC2C72">
        <w:t xml:space="preserve">is </w:t>
      </w:r>
      <w:r w:rsidR="00957F08" w:rsidRPr="00AC2C72">
        <w:t xml:space="preserve">compared to the best alternative would be considered a ‘strong control’ and more closely represent the real world. </w:t>
      </w:r>
      <w:r w:rsidR="00F36764" w:rsidRPr="00AC2C72">
        <w:t>However for many preventative interventions there may not be a true ‘treatment as usual’ comparator.</w:t>
      </w:r>
    </w:p>
    <w:p w14:paraId="53BA6AD5" w14:textId="59770065" w:rsidR="001D04B7" w:rsidRPr="00AC2C72" w:rsidRDefault="00604F28">
      <w:pPr>
        <w:pStyle w:val="ListParagraph"/>
        <w:numPr>
          <w:ilvl w:val="0"/>
          <w:numId w:val="11"/>
        </w:numPr>
      </w:pPr>
      <w:r w:rsidRPr="00AC2C72">
        <w:t xml:space="preserve">Most studies had a short follow-up period; this makes it difficult to assess if the effects of the interventions were sustained over time. </w:t>
      </w:r>
      <w:r w:rsidR="0092289F" w:rsidRPr="00AC2C72">
        <w:t>T</w:t>
      </w:r>
      <w:r w:rsidR="00B10CDA" w:rsidRPr="00AC2C72">
        <w:t xml:space="preserve">he model’s results in terms of costs and outcomes were extrapolated </w:t>
      </w:r>
      <w:r w:rsidR="004F0165" w:rsidRPr="00AC2C72">
        <w:t>over</w:t>
      </w:r>
      <w:r w:rsidR="0092289F" w:rsidRPr="00AC2C72">
        <w:t xml:space="preserve"> different time horizons. H</w:t>
      </w:r>
      <w:r w:rsidR="00B10CDA" w:rsidRPr="00AC2C72">
        <w:t xml:space="preserve">owever, </w:t>
      </w:r>
      <w:r w:rsidR="0092289F" w:rsidRPr="00AC2C72">
        <w:t>several of the differing scenarios were based on assumptions of the length of treatment effect</w:t>
      </w:r>
      <w:r w:rsidRPr="00AC2C72">
        <w:t xml:space="preserve"> and t</w:t>
      </w:r>
      <w:r w:rsidR="00B62C15" w:rsidRPr="00AC2C72">
        <w:t xml:space="preserve">here was one follow-up study for the </w:t>
      </w:r>
      <w:r w:rsidR="00F36764" w:rsidRPr="00AC2C72">
        <w:t xml:space="preserve">Focus on Families </w:t>
      </w:r>
      <w:r w:rsidR="00B62C15" w:rsidRPr="00AC2C72">
        <w:t xml:space="preserve">intervention with a study by </w:t>
      </w:r>
      <w:r w:rsidR="00B62C15" w:rsidRPr="00AC2C72">
        <w:fldChar w:fldCharType="begin" w:fldLock="1"/>
      </w:r>
      <w:r w:rsidR="00B62C15" w:rsidRPr="00AC2C72">
        <w:instrText>ADDIN CSL_CITATION { "citationItems" : [ { "id" : "ITEM-1", "itemData" : { "DOI" : "10.1111/j.1360-0443.2008.02360.x", "ISSN" : "1360-0443", "PMID" : "18855808", "abstract" : "AIMS: This study examines the efficacy of the Focus on Families project (currently called Families Facing the Future), a preventive intervention to reduce substance use disorders among children in families with a parent in methadone treatment.\n\nDESIGN: One hundred and thirty families were assigned randomly to a methadone clinic treatment-as-usual control condition or treatment-as-usual plus the Focus on Families intervention between 1991 and 1993. Setting Participants were recruited from two methadone clinics in the Pacific Northwest.\n\nPARTICIPANTS: This study examines the development of substance use disorders among the 177 children (56.84% male) involved in the program using data from a long-term follow-up in 2005, when these participants ranged in age from 15 to 29 years.\n\nINTERVENTION: The intervention was delivered through group parent-training workshops at the methadone clinics and through individualized home-based services. The intervention taught parenting skills and skills for avoiding relapse to drug abuse.\n\nMEASUREMENTS: At long-term follow-up, substance use disorders were measured by the Composite International Diagnostic Interview (CIDI). Survival analyses were used to assess intervention versus control differences in the hazard of developing substance use disorders.\n\nFINDINGS: Overall, intervention and control participants did not differ significantly in risk of developing substance use disorders. However, there was evidence of a significant difference in intervention effect by gender. There was a significant reduction in the risk of developing a substance use disorder for intervention group males compared to control group males (hazard ratio = 0.53, P = 0.03), while intervention versus control differences among females were non-significant and favored the control condition.\n\nCONCLUSIONS: Results from this study suggest that helping parents in recovery focus on both reducing their drug use and improving their parenting skills may have long-term effects on reducing substance use disorders among their male children. However, the overall long-term benefits of this program are not supported by the results for female children.", "author" : [ { "dropping-particle" : "", "family" : "Haggerty", "given" : "Kevin P", "non-dropping-particle" : "", "parse-names" : false, "suffix" : "" }, { "dropping-particle" : "", "family" : "Skinner", "given" : "Martie", "non-dropping-particle" : "", "parse-names" : false, "suffix" : "" }, { "dropping-particle" : "", "family" : "Fleming", "given" : "Charles B", "non-dropping-particle" : "", "parse-names" : false, "suffix" : "" }, { "dropping-particle" : "", "family" : "Gainey", "given" : "Randy R", "non-dropping-particle" : "", "parse-names" : false, "suffix" : "" }, { "dropping-particle" : "", "family" : "Catalano", "given" : "Richard F", "non-dropping-particle" : "", "parse-names" : false, "suffix" : "" } ], "container-title" : "Addiction (Abingdon, England)", "id" : "ITEM-1", "issue" : "12", "issued" : { "date-parts" : [ [ "2008", "12" ] ] }, "page" : "2008-16", "title" : "Long-term effects of the Focus on Families project on substance use disorders among children of parents in methadone treatment.", "type" : "article-journal", "volume" : "103" }, "uris" : [ "http://www.mendeley.com/documents/?uuid=c642dc9c-33d5-4f6c-bab3-c6fffd55988f" ] } ], "mendeley" : { "formattedCitation" : "(Haggerty et al. 2008)", "manualFormatting" : "Haggerty et al. (2008)", "plainTextFormattedCitation" : "(Haggerty et al. 2008)", "previouslyFormattedCitation" : "(Haggerty et al. 2008)" }, "properties" : { "noteIndex" : 0 }, "schema" : "https://github.com/citation-style-language/schema/raw/master/csl-citation.json" }</w:instrText>
      </w:r>
      <w:r w:rsidR="00B62C15" w:rsidRPr="00AC2C72">
        <w:fldChar w:fldCharType="separate"/>
      </w:r>
      <w:r w:rsidR="00B62C15" w:rsidRPr="00AC2C72">
        <w:rPr>
          <w:noProof/>
        </w:rPr>
        <w:t>Haggerty et al. (2008)</w:t>
      </w:r>
      <w:r w:rsidR="00B62C15" w:rsidRPr="00AC2C72">
        <w:fldChar w:fldCharType="end"/>
      </w:r>
      <w:r w:rsidR="0092289F" w:rsidRPr="00AC2C72">
        <w:t xml:space="preserve">. </w:t>
      </w:r>
      <w:r w:rsidR="00F36764" w:rsidRPr="00AC2C72">
        <w:t xml:space="preserve">It is notable that this single intervention with long term follow up did not show any evidence of a longer term effect beyond the 12 month follow up of the original </w:t>
      </w:r>
      <w:r w:rsidR="00F4157F">
        <w:fldChar w:fldCharType="begin" w:fldLock="1"/>
      </w:r>
      <w:r w:rsidR="00F4157F">
        <w:instrText>ADDIN CSL_CITATION { "citationItems" : [ { "id" : "ITEM-1", "itemData" : { "DOI" : "10.1086/250095", "ISBN" : "3258059322", "ISSN" : "00157120", "PMID" : "17979356", "abstract" : "The first of two exploratory studies investigated the conflict management approaches of 310 South Korean leaders. Each recalled the most recent dispute they had encountered either between two subordinates or between a subordinate and a person outside the group (i.e., an outsider).Subsequently, they reported the techniques used to mange the dispute. As predicted, the leaders were more assertive in managing subordinate-subordinate conflicts. Unexpectedly, they also pressed their own subordinates quite forcefully in the subordinate-outsider disputes. The second study investigated subordinates' interventions in their leaders' disputes. In these conflicts, subordinates adopted a low-key shuttle diplomacy; meeting separately with the parties, listening to their opinions, transmitting these to the other side, and calling for each side's empathy and understanding.", "author" : [ { "dropping-particle" : "", "family" : "Catalano", "given" : "Richard F", "non-dropping-particle" : "", "parse-names" : false, "suffix" : "" }, { "dropping-particle" : "", "family" : "Gainey", "given" : "Randy R", "non-dropping-particle" : "", "parse-names" : false, "suffix" : "" }, { "dropping-particle" : "", "family" : "Fleming", "given" : "Charles B", "non-dropping-particle" : "", "parse-names" : false, "suffix" : "" }, { "dropping-particle" : "", "family" : "Haggerty", "given" : "Kevin P", "non-dropping-particle" : "", "parse-names" : false, "suffix" : "" }, { "dropping-particle" : "", "family" : "Johnson", "given" : "Norman O.", "non-dropping-particle" : "", "parse-names" : false, "suffix" : "" } ], "container-title" : "International Journal of Conflict Management", "id" : "ITEM-1", "issue" : "2", "issued" : { "date-parts" : [ [ "1999" ] ] }, "page" : "130-153", "title" : "An experimental intervention with families of substance abusers: one-year follow-up of the focus on families project", "type" : "article-journal", "volume" : "10" }, "uris" : [ "http://www.mendeley.com/documents/?uuid=8e223de9-51fa-4991-94d9-b3b4f73cc7f0" ] } ], "mendeley" : { "formattedCitation" : "(Catalano et al. 1999)", "plainTextFormattedCitation" : "(Catalano et al. 1999)", "previouslyFormattedCitation" : "(Catalano et al. 1999)" }, "properties" : { "noteIndex" : 0 }, "schema" : "https://github.com/citation-style-language/schema/raw/master/csl-citation.json" }</w:instrText>
      </w:r>
      <w:r w:rsidR="00F4157F">
        <w:fldChar w:fldCharType="separate"/>
      </w:r>
      <w:r w:rsidR="00F4157F" w:rsidRPr="00F4157F">
        <w:rPr>
          <w:noProof/>
        </w:rPr>
        <w:t>(Catalano et al. 1999)</w:t>
      </w:r>
      <w:r w:rsidR="00F4157F">
        <w:fldChar w:fldCharType="end"/>
      </w:r>
      <w:r w:rsidR="00F36764" w:rsidRPr="00AC2C72">
        <w:t xml:space="preserve"> study.</w:t>
      </w:r>
    </w:p>
    <w:p w14:paraId="7DF74FF5" w14:textId="77777777" w:rsidR="005770F4" w:rsidRPr="00AC2C72" w:rsidRDefault="005770F4">
      <w:pPr>
        <w:pStyle w:val="ListParagraph"/>
      </w:pPr>
    </w:p>
    <w:p w14:paraId="392CB3AA" w14:textId="08261365" w:rsidR="00BE6B23" w:rsidRPr="009D3873" w:rsidRDefault="00BE6B23" w:rsidP="00AC19CA">
      <w:pPr>
        <w:pStyle w:val="Heading2"/>
      </w:pPr>
      <w:bookmarkStart w:id="34" w:name="_Toc452035638"/>
      <w:r w:rsidRPr="009D3873">
        <w:t>Model Description and Results</w:t>
      </w:r>
      <w:bookmarkEnd w:id="34"/>
    </w:p>
    <w:p w14:paraId="0286CAFE" w14:textId="77777777" w:rsidR="009D3873" w:rsidRPr="009D3873" w:rsidRDefault="009D3873" w:rsidP="000975B3">
      <w:pPr>
        <w:pStyle w:val="ListParagraph"/>
      </w:pPr>
    </w:p>
    <w:p w14:paraId="02F5591A" w14:textId="06015481" w:rsidR="00BE6B23" w:rsidRPr="00AC2C72" w:rsidRDefault="00443940" w:rsidP="00CC7EC2">
      <w:r w:rsidRPr="00AC2C72">
        <w:t xml:space="preserve">This section </w:t>
      </w:r>
      <w:r w:rsidR="000F7396" w:rsidRPr="00AC2C72">
        <w:t xml:space="preserve">describes the models and </w:t>
      </w:r>
      <w:r w:rsidRPr="00AC2C72">
        <w:t>reports the results of the cost-e</w:t>
      </w:r>
      <w:r w:rsidR="000F7396" w:rsidRPr="00AC2C72">
        <w:t>ffectiveness analysis as described in section 4. This</w:t>
      </w:r>
      <w:r w:rsidRPr="00AC2C72">
        <w:t xml:space="preserve"> </w:t>
      </w:r>
      <w:r w:rsidR="000F7396" w:rsidRPr="00AC2C72">
        <w:t>section</w:t>
      </w:r>
      <w:r w:rsidRPr="00AC2C72">
        <w:t xml:space="preserve"> report</w:t>
      </w:r>
      <w:r w:rsidR="000F7396" w:rsidRPr="00AC2C72">
        <w:t>s</w:t>
      </w:r>
      <w:r w:rsidRPr="00AC2C72">
        <w:t xml:space="preserve"> </w:t>
      </w:r>
      <w:r w:rsidR="00C82B34" w:rsidRPr="00AC2C72">
        <w:t xml:space="preserve">the </w:t>
      </w:r>
      <w:r w:rsidR="000F7396" w:rsidRPr="00AC2C72">
        <w:t xml:space="preserve">data inputs used, model functionality and limitations, </w:t>
      </w:r>
      <w:r w:rsidRPr="00AC2C72">
        <w:t xml:space="preserve">estimates of the cost per </w:t>
      </w:r>
      <w:r w:rsidR="00753F75" w:rsidRPr="00AC2C72">
        <w:t>outcome of interest</w:t>
      </w:r>
      <w:r w:rsidR="000F7396" w:rsidRPr="00AC2C72">
        <w:t xml:space="preserve"> and the</w:t>
      </w:r>
      <w:r w:rsidRPr="00AC2C72">
        <w:t xml:space="preserve"> results of sensitivity analysis</w:t>
      </w:r>
      <w:r w:rsidR="000F7396" w:rsidRPr="00AC2C72">
        <w:t>.</w:t>
      </w:r>
    </w:p>
    <w:p w14:paraId="1967F3D8" w14:textId="24EF97A5" w:rsidR="00BE6B23" w:rsidRPr="00D21C25" w:rsidRDefault="00862D5E" w:rsidP="00AD2788">
      <w:pPr>
        <w:pStyle w:val="Heading3"/>
      </w:pPr>
      <w:bookmarkStart w:id="35" w:name="_Toc452035639"/>
      <w:r w:rsidRPr="00D21C25">
        <w:t xml:space="preserve">5.1 </w:t>
      </w:r>
      <w:r w:rsidR="00D65CD3">
        <w:t>Models</w:t>
      </w:r>
      <w:r w:rsidR="00D65CD3" w:rsidRPr="00D21C25">
        <w:t xml:space="preserve"> </w:t>
      </w:r>
      <w:r w:rsidR="00872EA0" w:rsidRPr="00D21C25">
        <w:t>focu</w:t>
      </w:r>
      <w:r w:rsidR="00B82C88">
        <w:t>s</w:t>
      </w:r>
      <w:r w:rsidR="00872EA0" w:rsidRPr="00D21C25">
        <w:t>sing</w:t>
      </w:r>
      <w:r w:rsidR="00492505" w:rsidRPr="00D21C25">
        <w:t xml:space="preserve"> on cannabis use</w:t>
      </w:r>
      <w:bookmarkEnd w:id="35"/>
      <w:r w:rsidR="00492505" w:rsidRPr="00D21C25">
        <w:t xml:space="preserve"> </w:t>
      </w:r>
    </w:p>
    <w:p w14:paraId="62256FEA" w14:textId="77777777" w:rsidR="000505C6" w:rsidRDefault="000505C6"/>
    <w:p w14:paraId="7BF470DE" w14:textId="7DAB8E53" w:rsidR="00441707" w:rsidRDefault="00441707" w:rsidP="003D56F0">
      <w:pPr>
        <w:pStyle w:val="Heading6"/>
      </w:pPr>
      <w:r>
        <w:t>Psychosis</w:t>
      </w:r>
      <w:r w:rsidR="00C37492">
        <w:t xml:space="preserve"> among cannabis users</w:t>
      </w:r>
    </w:p>
    <w:p w14:paraId="03049F3B" w14:textId="77777777" w:rsidR="00B84364" w:rsidRPr="00494C12" w:rsidRDefault="00B84364"/>
    <w:p w14:paraId="3E5821F1" w14:textId="6925F74B" w:rsidR="008817E1" w:rsidRPr="00AC2C72" w:rsidRDefault="00236C34">
      <w:r>
        <w:t>R</w:t>
      </w:r>
      <w:r w:rsidR="008817E1" w:rsidRPr="00AC2C72">
        <w:t>ates of developing psychosis among cannabis users and non-users are widely debated and vary considerably within the literature. There are several case-control studies which attemp</w:t>
      </w:r>
      <w:r w:rsidR="004A5253">
        <w:t>t to estimate this, however these studies</w:t>
      </w:r>
      <w:r w:rsidR="008817E1" w:rsidRPr="00AC2C72">
        <w:t xml:space="preserve"> are potentially constrained by differ</w:t>
      </w:r>
      <w:r w:rsidR="0080344A">
        <w:t xml:space="preserve">ences in unobservable variables </w:t>
      </w:r>
      <w:r w:rsidR="008817E1" w:rsidRPr="00AC2C72">
        <w:fldChar w:fldCharType="begin" w:fldLock="1"/>
      </w:r>
      <w:r w:rsidR="000A3D41">
        <w:instrText>ADDIN CSL_CITATION { "citationItems" : [ { "id" : "ITEM-1", "itemData" : { "DOI" : "10.1111/j.1360-0443.2008.02360.x", "ISSN" : "1360-0443", "PMID" : "18855808", "abstract" : "AIMS: This study examines the efficacy of the Focus on Families project (currently called Families Facing the Future), a preventive intervention to reduce substance use disorders among children in families with a parent in methadone treatment.\n\nDESIGN: One hundred and thirty families were assigned randomly to a methadone clinic treatment-as-usual control condition or treatment-as-usual plus the Focus on Families intervention between 1991 and 1993. Setting Participants were recruited from two methadone clinics in the Pacific Northwest.\n\nPARTICIPANTS: This study examines the development of substance use disorders among the 177 children (56.84% male) involved in the program using data from a long-term follow-up in 2005, when these participants ranged in age from 15 to 29 years.\n\nINTERVENTION: The intervention was delivered through group parent-training workshops at the methadone clinics and through individualized home-based services. The intervention taught parenting skills and skills for avoiding relapse to drug abuse.\n\nMEASUREMENTS: At long-term follow-up, substance use disorders were measured by the Composite International Diagnostic Interview (CIDI). Survival analyses were used to assess intervention versus control differences in the hazard of developing substance use disorders.\n\nFINDINGS: Overall, intervention and control participants did not differ significantly in risk of developing substance use disorders. However, there was evidence of a significant difference in intervention effect by gender. There was a significant reduction in the risk of developing a substance use disorder for intervention group males compared to control group males (hazard ratio = 0.53, P = 0.03), while intervention versus control differences among females were non-significant and favored the control condition.\n\nCONCLUSIONS: Results from this study suggest that helping parents in recovery focus on both reducing their drug use and improving their parenting skills may have long-term effects on reducing substance use disorders among their male children. However, the overall long-term benefits of this program are not supported by the results for female children.", "author" : [ { "dropping-particle" : "", "family" : "Haggerty", "given" : "Kevin P", "non-dropping-particle" : "", "parse-names" : false, "suffix" : "" }, { "dropping-particle" : "", "family" : "Skinner", "given" : "Martie", "non-dropping-particle" : "", "parse-names" : false, "suffix" : "" }, { "dropping-particle" : "", "family" : "Fleming", "given" : "Charles B", "non-dropping-particle" : "", "parse-names" : false, "suffix" : "" }, { "dropping-particle" : "", "family" : "Gainey", "given" : "Randy R", "non-dropping-particle" : "", "parse-names" : false, "suffix" : "" }, { "dropping-particle" : "", "family" : "Catalano", "given" : "Richard F", "non-dropping-particle" : "", "parse-names" : false, "suffix" : "" } ], "container-title" : "Addiction (Abingdon, England)", "id" : "ITEM-1", "issue" : "12", "issued" : { "date-parts" : [ [ "2008", "12" ] ] }, "page" : "2008-16", "title" : "Long-term effects of the Focus on Families project on substance use disorders among children of parents in methadone treatment.", "type" : "article-journal", "volume" : "103" }, "uris" : [ "http://www.mendeley.com/documents/?uuid=c642dc9c-33d5-4f6c-bab3-c6fffd55988f" ] }, { "id" : "ITEM-2", "itemData" : { "DOI" : "10.1016/S0140-6736(07)61162-3", "ISSN" : "1474-547X", "PMID" : "17662880", "author" : [ { "dropping-particle" : "", "family" : "Moore", "given" : "Theresa H M", "non-dropping-particle" : "", "parse-names" : false, "suffix" : "" }, { "dropping-particle" : "", "family" : "Zammit", "given" : "Stanley", "non-dropping-particle" : "", "parse-names" : false, "suffix" : "" }, { "dropping-particle" : "", "family" : "Lingford-hughes", "given" : "Anne", "non-dropping-particle" : "", "parse-names" : false, "suffix" : "" }, { "dropping-particle" : "", "family" : "Barnes", "given" : "Thomas R E", "non-dropping-particle" : "", "parse-names" : false, "suffix" : "" }, { "dropping-particle" : "", "family" : "Jones", "given" : "Peter B", "non-dropping-particle" : "", "parse-names" : false, "suffix" : "" }, { "dropping-particle" : "", "family" : "Burke", "given" : "Margaret", "non-dropping-particle" : "", "parse-names" : false, "suffix" : "" }, { "dropping-particle" : "", "family" : "Lewis", "given" : "Glyn", "non-dropping-particle" : "", "parse-names" : false, "suffix" : "" } ], "container-title" : "The Lancet", "id" : "ITEM-2", "issued" : { "date-parts" : [ [ "2006" ] ] }, "page" : "319-328", "title" : "Cannabis use and risk of psychotic or affective mental health outcomes : a systematic review", "type" : "article-journal" }, "uris" : [ "http://www.mendeley.com/documents/?uuid=ddf52160-71a0-433e-b823-b3ccef2aa3fc" ] }, { "id" : "ITEM-3", "itemData" : { "DOI" : "10.1111/add.12703", "ISSN" : "09652140", "author" : [ { "dropping-particle" : "", "family" : "Hall", "given" : "Wayne", "non-dropping-particle" : "", "parse-names" : false, "suffix" : "" } ], "container-title" : "Addiction", "id" : "ITEM-3", "issue" : "1", "issued" : { "date-parts" : [ [ "2015" ] ] }, "page" : "19-35", "title" : "What has research over the past two decades revealed about the adverse health effects of recreational cannabis use?", "type" : "article-journal", "volume" : "110" }, "uris" : [ "http://www.mendeley.com/documents/?uuid=d8521fb8-e570-4c21-94ce-0d664aafbf93" ] }, { "id" : "ITEM-4", "itemData" : { "DOI" : "10.1371/journal.pone.0076635", "ISSN" : "1932-6203", "author" : [ { "dropping-particle" : "", "family" : "Degenhardt", "given" : "Louisa", "non-dropping-particle" : "", "parse-names" : false, "suffix" : "" }, { "dropping-particle" : "", "family" : "Ferrari", "given" : "Alize J.", "non-dropping-particle" : "", "parse-names" : false, "suffix" : "" }, { "dropping-particle" : "", "family" : "Calabria", "given" : "Bianca", "non-dropping-particle" : "", "parse-names" : false, "suffix" : "" }, { "dropping-particle" : "", "family" : "Hall", "given" : "Wayne D.", "non-dropping-particle" : "", "parse-names" : false, "suffix" : "" }, { "dropping-particle" : "", "family" : "Norman", "given" : "Rosana E.", "non-dropping-particle" : "", "parse-names" : false, "suffix" : "" }, { "dropping-particle" : "", "family" : "McGrath", "given" : "John", "non-dropping-particle" : "", "parse-names" : false, "suffix" : "" }, { "dropping-particle" : "", "family" : "Flaxman", "given" : "Abraham D.", "non-dropping-particle" : "", "parse-names" : false, "suffix" : "" }, { "dropping-particle" : "", "family" : "Engell", "given" : "Rebecca E.", "non-dropping-particle" : "", "parse-names" : false, "suffix" : "" }, { "dropping-particle" : "", "family" : "Freedman", "given" : "Greg D.", "non-dropping-particle" : "", "parse-names" : false, "suffix" : "" }, { "dropping-particle" : "", "family" : "Whiteford", "given" : "Harvey A.", "non-dropping-particle" : "", "parse-names" : false, "suffix" : "" }, { "dropping-particle" : "", "family" : "Vos", "given" : "Theo", "non-dropping-particle" : "", "parse-names" : false, "suffix" : "" } ], "container-title" : "PLoS ONE", "id" : "ITEM-4", "issue" : "10", "issued" : { "date-parts" : [ [ "2013" ] ] }, "page" : "e76635", "title" : "The Global Epidemiology and Contribution of Cannabis Use and Dependence to the Global Burden of Disease: Results from the GBD 2010 Study", "type" : "article-journal", "volume" : "8" }, "uris" : [ "http://www.mendeley.com/documents/?uuid=dcb4857d-5a9d-414e-9230-e77f7c240e87" ] }, { "id" : "ITEM-5", "itemData" : { "DOI" : "10.3310/hta19560", "ISSN" : "1366-5278", "author" : [ { "dropping-particle" : "", "family" : "Cooper", "given" : "Katy", "non-dropping-particle" : "", "parse-names" : false, "suffix" : "" }, { "dropping-particle" : "", "family" : "Chatters", "given" : "Robin", "non-dropping-particle" : "", "parse-names" : false, "suffix" : "" }, { "dropping-particle" : "", "family" : "Kaltenthaler", "given" : "Eva", "non-dropping-particle" : "", "parse-names" : false, "suffix" : "" }, { "dropping-particle" : "", "family" : "Wong", "given" : "Ruth", "non-dropping-particle" : "", "parse-names" : false, "suffix" : "" } ], "container-title" : "Health Technology Assessment", "id" : "ITEM-5", "issue" : "56", "issued" : { "date-parts" : [ [ "2015" ] ] }, "page" : "1-130", "title" : "Psychological and psychosocial interventions for cannabis cessation in adults: a systematic review short report", "type" : "article-journal", "volume" : "19" }, "uris" : [ "http://www.mendeley.com/documents/?uuid=7255b5be-63ee-49c3-92ce-6b3a4605ba44" ] } ], "mendeley" : { "formattedCitation" : "(Haggerty et al. 2008; Moore et al. 2006; Hall 2015; Degenhardt et al. 2013; Cooper et al. 2015)", "plainTextFormattedCitation" : "(Haggerty et al. 2008; Moore et al. 2006; Hall 2015; Degenhardt et al. 2013; Cooper et al. 2015)", "previouslyFormattedCitation" : "(Haggerty et al. 2008; Moore et al. 2006; Hall 2015; Degenhardt et al. 2013; Cooper et al. 2015)" }, "properties" : { "noteIndex" : 0 }, "schema" : "https://github.com/citation-style-language/schema/raw/master/csl-citation.json" }</w:instrText>
      </w:r>
      <w:r w:rsidR="008817E1" w:rsidRPr="00AC2C72">
        <w:fldChar w:fldCharType="separate"/>
      </w:r>
      <w:r w:rsidR="00962964" w:rsidRPr="00962964">
        <w:rPr>
          <w:noProof/>
        </w:rPr>
        <w:t>(Haggerty et al. 2008; Moore et al. 2006; Hall 2015; Degenhardt et al. 2013; Cooper et al. 2015)</w:t>
      </w:r>
      <w:r w:rsidR="008817E1" w:rsidRPr="00AC2C72">
        <w:fldChar w:fldCharType="end"/>
      </w:r>
      <w:r w:rsidR="0080344A">
        <w:t>.</w:t>
      </w:r>
      <w:r w:rsidR="008817E1" w:rsidRPr="00AC2C72">
        <w:t xml:space="preserve"> In our model we use a value reported by </w:t>
      </w:r>
      <w:r w:rsidR="00F4157F">
        <w:fldChar w:fldCharType="begin" w:fldLock="1"/>
      </w:r>
      <w:r w:rsidR="00F4157F">
        <w:instrText>ADDIN CSL_CITATION { "citationItems" : [ { "id" : "ITEM-1", "itemData" : { "DOI" : "10.1111/add.12703", "ISSN" : "09652140", "author" : [ { "dropping-particle" : "", "family" : "Hall", "given" : "Wayne", "non-dropping-particle" : "", "parse-names" : false, "suffix" : "" } ], "container-title" : "Addiction", "id" : "ITEM-1", "issue" : "1", "issued" : { "date-parts" : [ [ "2015" ] ] }, "page" : "19-35", "title" : "What has research over the past two decades revealed about the adverse health effects of recreational cannabis use?", "type" : "article-journal", "volume" : "110" }, "uris" : [ "http://www.mendeley.com/documents/?uuid=d8521fb8-e570-4c21-94ce-0d664aafbf93" ] } ], "mendeley" : { "formattedCitation" : "(Hall 2015)", "manualFormatting" : "Hall (2015)", "plainTextFormattedCitation" : "(Hall 2015)", "previouslyFormattedCitation" : "(Hall 2015)" }, "properties" : { "noteIndex" : 0 }, "schema" : "https://github.com/citation-style-language/schema/raw/master/csl-citation.json" }</w:instrText>
      </w:r>
      <w:r w:rsidR="00F4157F">
        <w:fldChar w:fldCharType="separate"/>
      </w:r>
      <w:r w:rsidR="00F4157F" w:rsidRPr="00F4157F">
        <w:rPr>
          <w:noProof/>
        </w:rPr>
        <w:t xml:space="preserve">Hall </w:t>
      </w:r>
      <w:r w:rsidR="00F4157F">
        <w:rPr>
          <w:noProof/>
        </w:rPr>
        <w:t>(</w:t>
      </w:r>
      <w:r w:rsidR="00F4157F" w:rsidRPr="00F4157F">
        <w:rPr>
          <w:noProof/>
        </w:rPr>
        <w:t>2015)</w:t>
      </w:r>
      <w:r w:rsidR="00F4157F">
        <w:fldChar w:fldCharType="end"/>
      </w:r>
      <w:r w:rsidR="008817E1" w:rsidRPr="00AC2C72">
        <w:t xml:space="preserve"> which suggests a rate of psychosis of 7 in 1000 for non-cannabis users and 14 in 1000 for cannabis users, an effective doubling of a marginal effect</w:t>
      </w:r>
      <w:r w:rsidR="004A5253">
        <w:rPr>
          <w:color w:val="000000" w:themeColor="text1"/>
        </w:rPr>
        <w:t xml:space="preserve"> </w:t>
      </w:r>
      <w:r w:rsidR="008817E1" w:rsidRPr="00AC2C72">
        <w:rPr>
          <w:color w:val="000000" w:themeColor="text1"/>
        </w:rPr>
        <w:fldChar w:fldCharType="begin" w:fldLock="1"/>
      </w:r>
      <w:r w:rsidR="00962964">
        <w:rPr>
          <w:color w:val="000000" w:themeColor="text1"/>
        </w:rPr>
        <w:instrText>ADDIN CSL_CITATION { "citationItems" : [ { "id" : "ITEM-1", "itemData" : { "DOI" : "10.1111/add.12703", "ISSN" : "09652140", "author" : [ { "dropping-particle" : "", "family" : "Hall", "given" : "Wayne", "non-dropping-particle" : "", "parse-names" : false, "suffix" : "" } ], "container-title" : "Addiction", "id" : "ITEM-1", "issue" : "1", "issued" : { "date-parts" : [ [ "2015" ] ] }, "page" : "19-35", "title" : "What has research over the past two decades revealed about the adverse health effects of recreational cannabis use?", "type" : "article-journal", "volume" : "110" }, "uris" : [ "http://www.mendeley.com/documents/?uuid=d8521fb8-e570-4c21-94ce-0d664aafbf93" ] } ], "mendeley" : { "formattedCitation" : "(Hall 2015)", "plainTextFormattedCitation" : "(Hall 2015)", "previouslyFormattedCitation" : "(Hall 2015)" }, "properties" : { "noteIndex" : 0 }, "schema" : "https://github.com/citation-style-language/schema/raw/master/csl-citation.json" }</w:instrText>
      </w:r>
      <w:r w:rsidR="008817E1" w:rsidRPr="00AC2C72">
        <w:rPr>
          <w:color w:val="000000" w:themeColor="text1"/>
        </w:rPr>
        <w:fldChar w:fldCharType="separate"/>
      </w:r>
      <w:r w:rsidR="00962964" w:rsidRPr="00962964">
        <w:rPr>
          <w:noProof/>
          <w:color w:val="000000" w:themeColor="text1"/>
        </w:rPr>
        <w:t>(Hall 2015)</w:t>
      </w:r>
      <w:r w:rsidR="008817E1" w:rsidRPr="00AC2C72">
        <w:rPr>
          <w:color w:val="000000" w:themeColor="text1"/>
        </w:rPr>
        <w:fldChar w:fldCharType="end"/>
      </w:r>
      <w:r w:rsidR="004A5253">
        <w:rPr>
          <w:color w:val="000000" w:themeColor="text1"/>
        </w:rPr>
        <w:t xml:space="preserve">. </w:t>
      </w:r>
      <w:r w:rsidR="008817E1" w:rsidRPr="00AC2C72">
        <w:rPr>
          <w:color w:val="000000" w:themeColor="text1"/>
        </w:rPr>
        <w:t xml:space="preserve">We have treated with the risk of psychosis as a one off risk as we do not have either intervention or epidemiological data to treat it as a dose-dependent risk. </w:t>
      </w:r>
      <w:r w:rsidR="008817E1" w:rsidRPr="00AC2C72">
        <w:t xml:space="preserve">It should be noted that this risk is expected to have only a small effect on psychosis incidence rates, given that not all individuals who develop </w:t>
      </w:r>
      <w:r w:rsidR="008817E1" w:rsidRPr="00AC2C72">
        <w:lastRenderedPageBreak/>
        <w:t xml:space="preserve">psychosis have used cannabis, and given that the absolute incidence of psychotic disorders is low. Therefore, such a risk factor with a high relative risk (e.g. </w:t>
      </w:r>
      <w:r w:rsidR="00E32C6B" w:rsidRPr="00AC2C72">
        <w:t xml:space="preserve">relative risk </w:t>
      </w:r>
      <w:r w:rsidR="008817E1" w:rsidRPr="00AC2C72">
        <w:t xml:space="preserve">of 2), may lead to only small changes in incidence, which may be difficult to detect. Cannabis is reported to exacerbate the impact of psychosis development in those who would have </w:t>
      </w:r>
      <w:r w:rsidR="00E32C6B" w:rsidRPr="00AC2C72">
        <w:t xml:space="preserve">developed psychosis </w:t>
      </w:r>
      <w:r w:rsidR="008817E1" w:rsidRPr="00AC2C72">
        <w:t>in the absence of cannabis use anyway. There is limited data available for the UK and it is difficult to determine whether the rates of substance-induced psychoses reflect a genuine change or is more due to</w:t>
      </w:r>
      <w:r w:rsidR="004C66F9">
        <w:t xml:space="preserve"> changes in diagnostic practice </w:t>
      </w:r>
      <w:r w:rsidR="008817E1" w:rsidRPr="00AC2C72">
        <w:fldChar w:fldCharType="begin" w:fldLock="1"/>
      </w:r>
      <w:r w:rsidR="00962964">
        <w:instrText>ADDIN CSL_CITATION { "citationItems" : [ { "id" : "ITEM-1", "itemData" : { "DOI" : "10.1371/journal.pone.0031660", "author" : [ { "dropping-particle" : "", "family" : "Kirkbride", "given" : "JB", "non-dropping-particle" : "", "parse-names" : false, "suffix" : "" }, { "dropping-particle" : "", "family" : "Errazuriz", "given" : "A", "non-dropping-particle" : "", "parse-names" : false, "suffix" : "" }, { "dropping-particle" : "", "family" : "Croudace", "given" : "TJ", "non-dropping-particle" : "", "parse-names" : false, "suffix" : "" }, { "dropping-particle" : "", "family" : "Morgan", "given" : "C", "non-dropping-particle" : "", "parse-names" : false, "suffix" : "" }, { "dropping-particle" : "", "family" : "Jackson", "given" : "D", "non-dropping-particle" : "", "parse-names" : false, "suffix" : "" }, { "dropping-particle" : "", "family" : "McCrone", "given" : "P", "non-dropping-particle" : "", "parse-names" : false, "suffix" : "" }, { "dropping-particle" : "", "family" : "Murray", "given" : "RM", "non-dropping-particle" : "", "parse-names" : false, "suffix" : "" }, { "dropping-particle" : "", "family" : "Jones", "given" : "PB", "non-dropping-particle" : "", "parse-names" : false, "suffix" : "" } ], "id" : "ITEM-1", "issued" : { "date-parts" : [ [ "2012" ] ] }, "number-of-pages" : "1-258", "title" : "Systematic Review of the Incidence and Prevalence of Schizophrenia and Other Psychoses in England", "type" : "report" }, "uris" : [ "http://www.mendeley.com/documents/?uuid=9ce7f34b-0900-4cd1-812f-33ddb0de7a13" ] } ], "mendeley" : { "formattedCitation" : "(Kirkbride et al. 2012)", "plainTextFormattedCitation" : "(Kirkbride et al. 2012)", "previouslyFormattedCitation" : "(Kirkbride et al. 2012)" }, "properties" : { "noteIndex" : 0 }, "schema" : "https://github.com/citation-style-language/schema/raw/master/csl-citation.json" }</w:instrText>
      </w:r>
      <w:r w:rsidR="008817E1" w:rsidRPr="00AC2C72">
        <w:fldChar w:fldCharType="separate"/>
      </w:r>
      <w:r w:rsidR="00962964" w:rsidRPr="00962964">
        <w:rPr>
          <w:noProof/>
        </w:rPr>
        <w:t>(Kirkbride et al. 2012)</w:t>
      </w:r>
      <w:r w:rsidR="008817E1" w:rsidRPr="00AC2C72">
        <w:fldChar w:fldCharType="end"/>
      </w:r>
      <w:r w:rsidR="004C66F9">
        <w:t>.</w:t>
      </w:r>
    </w:p>
    <w:p w14:paraId="561AF55D" w14:textId="77777777" w:rsidR="008817E1" w:rsidRDefault="008817E1"/>
    <w:p w14:paraId="0DCC9172" w14:textId="708CDDFF" w:rsidR="00441707" w:rsidRDefault="00441707">
      <w:pPr>
        <w:pStyle w:val="Heading6"/>
      </w:pPr>
      <w:r w:rsidRPr="00AC2C72">
        <w:t xml:space="preserve">Costs </w:t>
      </w:r>
    </w:p>
    <w:p w14:paraId="1A1EB557" w14:textId="77777777" w:rsidR="00B84364" w:rsidRDefault="00B84364" w:rsidP="003D56F0"/>
    <w:p w14:paraId="5E68AB9F" w14:textId="77777777" w:rsidR="008B04D6" w:rsidRPr="00AC2C72" w:rsidRDefault="008B04D6">
      <w:r>
        <w:t>A</w:t>
      </w:r>
      <w:r w:rsidRPr="00AC2C72">
        <w:t>ll healthcare and crime costs are recorded on a per annum basis.</w:t>
      </w:r>
    </w:p>
    <w:p w14:paraId="4272A74F" w14:textId="77777777" w:rsidR="008B04D6" w:rsidRDefault="008B04D6"/>
    <w:p w14:paraId="00068FD9" w14:textId="74DCB779" w:rsidR="008B04D6" w:rsidRDefault="00CC7EC2">
      <w:r>
        <w:fldChar w:fldCharType="begin"/>
      </w:r>
      <w:r>
        <w:instrText xml:space="preserve"> REF _Ref451504686 \h </w:instrText>
      </w:r>
      <w:r>
        <w:fldChar w:fldCharType="separate"/>
      </w:r>
      <w:r>
        <w:t xml:space="preserve">Figure </w:t>
      </w:r>
      <w:r>
        <w:rPr>
          <w:noProof/>
        </w:rPr>
        <w:t>4</w:t>
      </w:r>
      <w:r>
        <w:fldChar w:fldCharType="end"/>
      </w:r>
      <w:r w:rsidR="008B04D6">
        <w:fldChar w:fldCharType="begin"/>
      </w:r>
      <w:r w:rsidR="008B04D6">
        <w:instrText xml:space="preserve"> REF _Ref448418110 \h  \* MERGEFORMAT </w:instrText>
      </w:r>
      <w:r w:rsidR="008B04D6">
        <w:fldChar w:fldCharType="end"/>
      </w:r>
      <w:r w:rsidR="008B04D6">
        <w:t xml:space="preserve"> provides a monetary breakdown of the estimated social cost of one year of cannabis use based on </w:t>
      </w:r>
      <w:r w:rsidR="008B04D6">
        <w:fldChar w:fldCharType="begin" w:fldLock="1"/>
      </w:r>
      <w:r w:rsidR="008B04D6">
        <w:instrText>ADDIN CSL_CITATION { "citationItems" : [ { "id" : "ITEM-1", "itemData" : { "DOI" : "10.1086/250095", "ISBN" : "3258059322", "ISSN" : "00157120", "PMID" : "17979356", "abstract" : "The first of two exploratory studies investigated the conflict management approaches of 310 South Korean leaders. Each recalled the most recent dispute they had encountered either between two subordinates or between a subordinate and a person outside the group (i.e., an outsider).Subsequently, they reported the techniques used to mange the dispute. As predicted, the leaders were more assertive in managing subordinate-subordinate conflicts. Unexpectedly, they also pressed their own subordinates quite forcefully in the subordinate-outsider disputes. The second study investigated subordinates' interventions in their leaders' disputes. In these conflicts, subordinates adopted a low-key shuttle diplomacy; meeting separately with the parties, listening to their opinions, transmitting these to the other side, and calling for each side's empathy and understanding.", "author" : [ { "dropping-particle" : "", "family" : "Catalano", "given" : "Richard F", "non-dropping-particle" : "", "parse-names" : false, "suffix" : "" }, { "dropping-particle" : "", "family" : "Gainey", "given" : "Randy R", "non-dropping-particle" : "", "parse-names" : false, "suffix" : "" }, { "dropping-particle" : "", "family" : "Fleming", "given" : "Charles B", "non-dropping-particle" : "", "parse-names" : false, "suffix" : "" }, { "dropping-particle" : "", "family" : "Haggerty", "given" : "Kevin P", "non-dropping-particle" : "", "parse-names" : false, "suffix" : "" }, { "dropping-particle" : "", "family" : "Johnson", "given" : "Norman O.", "non-dropping-particle" : "", "parse-names" : false, "suffix" : "" } ], "container-title" : "International Journal of Conflict Management", "id" : "ITEM-1", "issue" : "2", "issued" : { "date-parts" : [ [ "1999" ] ] }, "page" : "130-153", "title" : "An experimental intervention with families of substance abusers: one-year follow-up of the focus on families project", "type" : "article-journal", "volume" : "10" }, "uris" : [ "http://www.mendeley.com/documents/?uuid=8e223de9-51fa-4991-94d9-b3b4f73cc7f0" ] } ], "mendeley" : { "formattedCitation" : "(Catalano et al. 1999)", "manualFormatting" : "Catalano et al. (1999)", "plainTextFormattedCitation" : "(Catalano et al. 1999)", "previouslyFormattedCitation" : "(Catalano et al. 1999)" }, "properties" : { "noteIndex" : 0 }, "schema" : "https://github.com/citation-style-language/schema/raw/master/csl-citation.json" }</w:instrText>
      </w:r>
      <w:r w:rsidR="008B04D6">
        <w:fldChar w:fldCharType="separate"/>
      </w:r>
      <w:r w:rsidR="008B04D6" w:rsidRPr="000A3D41">
        <w:rPr>
          <w:noProof/>
        </w:rPr>
        <w:t xml:space="preserve">Catalano et al. </w:t>
      </w:r>
      <w:r w:rsidR="008B04D6">
        <w:rPr>
          <w:noProof/>
        </w:rPr>
        <w:t>(</w:t>
      </w:r>
      <w:r w:rsidR="008B04D6" w:rsidRPr="000A3D41">
        <w:rPr>
          <w:noProof/>
        </w:rPr>
        <w:t>1999)</w:t>
      </w:r>
      <w:r w:rsidR="008B04D6">
        <w:fldChar w:fldCharType="end"/>
      </w:r>
    </w:p>
    <w:p w14:paraId="7EFA1169" w14:textId="77777777" w:rsidR="008B04D6" w:rsidRDefault="008B04D6"/>
    <w:p w14:paraId="76B60F01" w14:textId="77777777" w:rsidR="008B04D6" w:rsidRDefault="008B04D6">
      <w:pPr>
        <w:pStyle w:val="Caption"/>
      </w:pPr>
      <w:bookmarkStart w:id="36" w:name="_Ref451504686"/>
      <w:r>
        <w:t xml:space="preserve">Figure </w:t>
      </w:r>
      <w:fldSimple w:instr=" SEQ Figure \* ARABIC ">
        <w:r w:rsidR="0087365D">
          <w:rPr>
            <w:noProof/>
          </w:rPr>
          <w:t>4</w:t>
        </w:r>
      </w:fldSimple>
      <w:bookmarkEnd w:id="36"/>
      <w:r>
        <w:t>. Social costs of one year of cannabis use, from model based on Catalano et al. (1999)./ Total = £99.79</w:t>
      </w:r>
    </w:p>
    <w:p w14:paraId="416A90CD" w14:textId="77777777" w:rsidR="008B04D6" w:rsidRPr="00AC2C72" w:rsidRDefault="008B04D6">
      <w:r>
        <w:rPr>
          <w:noProof/>
        </w:rPr>
        <w:drawing>
          <wp:inline distT="0" distB="0" distL="0" distR="0" wp14:anchorId="3041D07B" wp14:editId="67E7C783">
            <wp:extent cx="6000750" cy="2373852"/>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05492" cy="2375728"/>
                    </a:xfrm>
                    <a:prstGeom prst="rect">
                      <a:avLst/>
                    </a:prstGeom>
                    <a:noFill/>
                  </pic:spPr>
                </pic:pic>
              </a:graphicData>
            </a:graphic>
          </wp:inline>
        </w:drawing>
      </w:r>
    </w:p>
    <w:p w14:paraId="7DE9E3CA" w14:textId="77777777" w:rsidR="008B04D6" w:rsidRDefault="008B04D6"/>
    <w:p w14:paraId="3C0D5191" w14:textId="77777777" w:rsidR="00441707" w:rsidRDefault="00441707"/>
    <w:p w14:paraId="065AC3C9" w14:textId="4E8C62A8" w:rsidR="00DA06BA" w:rsidRDefault="00DA06BA" w:rsidP="003D56F0">
      <w:pPr>
        <w:pStyle w:val="Heading7"/>
      </w:pPr>
      <w:r w:rsidRPr="008B04D6">
        <w:t>Psychosis-related costs</w:t>
      </w:r>
    </w:p>
    <w:p w14:paraId="271F8DAB" w14:textId="77777777" w:rsidR="00B84364" w:rsidRPr="00CC7EC2" w:rsidRDefault="00B84364"/>
    <w:p w14:paraId="3B9BA3F8" w14:textId="55C679B3" w:rsidR="008817E1" w:rsidRPr="00AC2C72" w:rsidRDefault="008817E1">
      <w:r w:rsidRPr="00AC2C72">
        <w:t xml:space="preserve">The model includes data relating to the expected costs of psychosis (relating to health service costs, informal care costs and employment costs) in addition to non-psychosis-related crime costs. </w:t>
      </w:r>
      <w:r w:rsidR="00236C34">
        <w:t>We</w:t>
      </w:r>
      <w:r w:rsidRPr="00AC2C72">
        <w:t xml:space="preserve"> have updated and re-calculated expected annual economic costs of non-affective psychosis in the UK based on a report from the department of health by </w:t>
      </w:r>
      <w:r w:rsidRPr="00AC2C72">
        <w:fldChar w:fldCharType="begin" w:fldLock="1"/>
      </w:r>
      <w:r w:rsidR="00962964">
        <w:instrText>ADDIN CSL_CITATION { "citationItems" : [ { "id" : "ITEM-1", "itemData" : { "DOI" : "10.1371/journal.pone.0031660", "author" : [ { "dropping-particle" : "", "family" : "Kirkbride", "given" : "JB", "non-dropping-particle" : "", "parse-names" : false, "suffix" : "" }, { "dropping-particle" : "", "family" : "Errazuriz", "given" : "A", "non-dropping-particle" : "", "parse-names" : false, "suffix" : "" }, { "dropping-particle" : "", "family" : "Croudace", "given" : "TJ", "non-dropping-particle" : "", "parse-names" : false, "suffix" : "" }, { "dropping-particle" : "", "family" : "Morgan", "given" : "C", "non-dropping-particle" : "", "parse-names" : false, "suffix" : "" }, { "dropping-particle" : "", "family" : "Jackson", "given" : "D", "non-dropping-particle" : "", "parse-names" : false, "suffix" : "" }, { "dropping-particle" : "", "family" : "McCrone", "given" : "P", "non-dropping-particle" : "", "parse-names" : false, "suffix" : "" }, { "dropping-particle" : "", "family" : "Murray", "given" : "RM", "non-dropping-particle" : "", "parse-names" : false, "suffix" : "" }, { "dropping-particle" : "", "family" : "Jones", "given" : "PB", "non-dropping-particle" : "", "parse-names" : false, "suffix" : "" } ], "id" : "ITEM-1", "issued" : { "date-parts" : [ [ "2012" ] ] }, "number-of-pages" : "1-258", "title" : "Systematic Review of the Incidence and Prevalence of Schizophrenia and Other Psychoses in England", "type" : "report" }, "uris" : [ "http://www.mendeley.com/documents/?uuid=9ce7f34b-0900-4cd1-812f-33ddb0de7a13" ] } ], "mendeley" : { "formattedCitation" : "(Kirkbride et al. 2012)", "manualFormatting" : "Kirkbride et al., 2012", "plainTextFormattedCitation" : "(Kirkbride et al. 2012)", "previouslyFormattedCitation" : "(Kirkbride et al. 2012)" }, "properties" : { "noteIndex" : 0 }, "schema" : "https://github.com/citation-style-language/schema/raw/master/csl-citation.json" }</w:instrText>
      </w:r>
      <w:r w:rsidRPr="00AC2C72">
        <w:fldChar w:fldCharType="separate"/>
      </w:r>
      <w:r w:rsidRPr="00AC2C72">
        <w:rPr>
          <w:noProof/>
        </w:rPr>
        <w:t>Kirkbride et al., 2012</w:t>
      </w:r>
      <w:r w:rsidRPr="00AC2C72">
        <w:fldChar w:fldCharType="end"/>
      </w:r>
      <w:r w:rsidRPr="00AC2C72">
        <w:t>. UK population and prevalence estimates were updated and cost estim</w:t>
      </w:r>
      <w:r w:rsidR="004C66F9">
        <w:t xml:space="preserve">ates were subsequently inflated </w:t>
      </w:r>
      <w:r w:rsidRPr="00AC2C72">
        <w:fldChar w:fldCharType="begin" w:fldLock="1"/>
      </w:r>
      <w:r w:rsidR="00962964">
        <w:instrText>ADDIN CSL_CITATION { "citationItems" : [ { "id" : "ITEM-1", "itemData" : { "abstract" : "Population and migration statistics for the UK\u2019s four nations. Also contains national identity, life expectancy and migration statistics.", "author" : [ { "dropping-particle" : "", "family" : "ONS", "given" : "", "non-dropping-particle" : "", "parse-names" : false, "suffix" : "" } ], "id" : "ITEM-1", "issued" : { "date-parts" : [ [ "2015" ] ] }, "language" : "eng", "title" : "UK Statistics - Population and migration", "type" : "article" }, "uris" : [ "http://www.mendeley.com/documents/?uuid=dc9d82cd-71a8-4d4e-acc5-9785d71379ca" ] }, { "id" : "ITEM-2", "itemData" : { "URL" : "http://eppi.ioe.ac.uk/costconversion/Default.aspx", "accessed" : { "date-parts" : [ [ "2016", "1", "6" ] ] }, "author" : [ { "dropping-particle" : "", "family" : "CCEMG", "given" : "", "non-dropping-particle" : "", "parse-names" : false, "suffix" : "" } ], "id" : "ITEM-2", "issued" : { "date-parts" : [ [ "2015" ] ] }, "title" : "CCEMG - EPPI-Centre Cost Converter v.1.4", "type" : "webpage" }, "uris" : [ "http://www.mendeley.com/documents/?uuid=b4e49bb0-2a0c-4b85-b09e-f90e1897e5c1" ] } ], "mendeley" : { "formattedCitation" : "(ONS 2015; CCEMG 2015)", "plainTextFormattedCitation" : "(ONS 2015; CCEMG 2015)", "previouslyFormattedCitation" : "(ONS 2015; CCEMG 2015)" }, "properties" : { "noteIndex" : 0 }, "schema" : "https://github.com/citation-style-language/schema/raw/master/csl-citation.json" }</w:instrText>
      </w:r>
      <w:r w:rsidRPr="00AC2C72">
        <w:fldChar w:fldCharType="separate"/>
      </w:r>
      <w:r w:rsidR="00962964" w:rsidRPr="00962964">
        <w:rPr>
          <w:noProof/>
        </w:rPr>
        <w:t>(ONS 2015; CCEMG 2015)</w:t>
      </w:r>
      <w:r w:rsidRPr="00AC2C72">
        <w:fldChar w:fldCharType="end"/>
      </w:r>
      <w:r w:rsidR="004C66F9">
        <w:t>.</w:t>
      </w:r>
      <w:r w:rsidRPr="00AC2C72">
        <w:t xml:space="preserve"> Health service costs refer solely to costs borne by the NHS while informal care costs refer to private costs borne by carers who may often be family members.</w:t>
      </w:r>
    </w:p>
    <w:p w14:paraId="5CEE3430" w14:textId="77777777" w:rsidR="008817E1" w:rsidRPr="00AC2C72" w:rsidRDefault="008817E1"/>
    <w:p w14:paraId="32876133" w14:textId="77777777" w:rsidR="00DA06BA" w:rsidRDefault="0032469B">
      <w:r w:rsidRPr="00AC2C72">
        <w:lastRenderedPageBreak/>
        <w:t xml:space="preserve">With a broader societal perspective, the estimated cost of days of employment lost represents the largest potential economic burden associated with non-affective psychosis. </w:t>
      </w:r>
    </w:p>
    <w:p w14:paraId="354C5DB3" w14:textId="77777777" w:rsidR="00DA06BA" w:rsidRPr="00AC2C72" w:rsidRDefault="00DA06BA"/>
    <w:p w14:paraId="4DB35BA4" w14:textId="3A379C53" w:rsidR="00DA06BA" w:rsidRDefault="00DA06BA" w:rsidP="003D56F0">
      <w:pPr>
        <w:pStyle w:val="Heading7"/>
      </w:pPr>
      <w:r w:rsidRPr="008B04D6">
        <w:t xml:space="preserve">Crime </w:t>
      </w:r>
      <w:r w:rsidR="008B04D6">
        <w:t>c</w:t>
      </w:r>
      <w:r w:rsidRPr="008B04D6">
        <w:t>osts</w:t>
      </w:r>
    </w:p>
    <w:p w14:paraId="6493B90E" w14:textId="77777777" w:rsidR="00B84364" w:rsidRPr="00494C12" w:rsidRDefault="00B84364" w:rsidP="003D56F0"/>
    <w:p w14:paraId="3A4F47D1" w14:textId="672D7319" w:rsidR="0032469B" w:rsidRDefault="0032469B">
      <w:r w:rsidRPr="00AC2C72">
        <w:t>We have used an average cost of criminal arrest of £500 for cannabis-related arrests; however this does not include the private costs associated with arrest, including the longer-term expected consequences of having a criminal record. We have assumed a simplified risk of being arrested for cannabis related crimes being directly proportional to cannabis use; in reality this relationship may be more complex. It may be that people involved in producing and selling cannabis, who may not be users, are those most likely to be encounter a cannabis-related arrest.</w:t>
      </w:r>
      <w:r w:rsidR="00CD0B76">
        <w:t xml:space="preserve"> </w:t>
      </w:r>
    </w:p>
    <w:p w14:paraId="046A0C2B" w14:textId="77777777" w:rsidR="00DA06BA" w:rsidRDefault="00DA06BA"/>
    <w:p w14:paraId="1B5F4DF2" w14:textId="77777777" w:rsidR="0032469B" w:rsidRDefault="0032469B" w:rsidP="003D56F0">
      <w:pPr>
        <w:pStyle w:val="Heading7"/>
      </w:pPr>
      <w:r w:rsidRPr="008B04D6">
        <w:t>Costs related to road traffic accidents (RTA)</w:t>
      </w:r>
    </w:p>
    <w:p w14:paraId="122F4334" w14:textId="77777777" w:rsidR="00B84364" w:rsidRPr="00494C12" w:rsidRDefault="00B84364" w:rsidP="003D56F0"/>
    <w:p w14:paraId="3BB9BB8D" w14:textId="584AEE45" w:rsidR="00F4470A" w:rsidRDefault="0032469B">
      <w:r w:rsidRPr="00AC2C72">
        <w:t>Estimates of</w:t>
      </w:r>
      <w:r w:rsidR="00AC2C72" w:rsidRPr="00AC2C72">
        <w:t xml:space="preserve"> the</w:t>
      </w:r>
      <w:r w:rsidRPr="00AC2C72">
        <w:t xml:space="preserve"> increased risk of </w:t>
      </w:r>
      <w:r w:rsidR="00AC2C72" w:rsidRPr="00AC2C72">
        <w:t xml:space="preserve">road traffic accidents </w:t>
      </w:r>
      <w:r w:rsidR="00EB1785">
        <w:t xml:space="preserve">for individuals who are </w:t>
      </w:r>
      <w:r w:rsidRPr="00AC2C72">
        <w:t>under the influence of cannabis range</w:t>
      </w:r>
      <w:r w:rsidR="00DA06BA">
        <w:t>d</w:t>
      </w:r>
      <w:r w:rsidRPr="00AC2C72">
        <w:t xml:space="preserve"> from </w:t>
      </w:r>
      <w:r w:rsidR="00AC2C72" w:rsidRPr="00AC2C72">
        <w:t>an odds ratio of</w:t>
      </w:r>
      <w:r w:rsidRPr="00AC2C72">
        <w:t xml:space="preserve"> 1.22 to 18.9. However </w:t>
      </w:r>
      <w:r w:rsidR="00EB1785">
        <w:t xml:space="preserve">the </w:t>
      </w:r>
      <w:r w:rsidRPr="00AC2C72">
        <w:t>studies which suggested these estimates had different criteria for calculating the risk estimate and contro</w:t>
      </w:r>
      <w:r w:rsidR="00396405">
        <w:t xml:space="preserve">lling for potential confounders </w:t>
      </w:r>
      <w:r w:rsidRPr="00AC2C72">
        <w:fldChar w:fldCharType="begin" w:fldLock="1"/>
      </w:r>
      <w:r w:rsidR="00396405">
        <w:instrText>ADDIN CSL_CITATION { "citationItems" : [ { "id" : "ITEM-1", "itemData" : { "ISBN" : "1943-247X (Print)\\r1943-2461 (Linking)", "ISSN" : "1943-2461", "PMID" : "22105404", "abstract" : "In 1999, in France, before considering modifications in drug legislation, the government requested a study of the effect of illicit drugs on the risk of road crashes. It implemented a systematic screening of illicit drugs for all drivers involved in fatal crashes between October 2001 and September 2003. Within the European DRUID project, the study was restricted to car drivers.The project reported here is a responsibility analysis and, as such, it belongs to the framework of case-control studies; the outcome of interest is \"being responsible for a fatal crash\". It was assessed with a method adapted from Robertson and Drummer. Cases are the 4,946 car drivers who are responsible for the crash; controls are the 1,986 car drivers selected from the non-responsible car drivers, in a way that makes the control group similar to the general driving population.The effect of cannabis on fatal crash responsibility is significant after adjustment for age, sex and alcohol: adjusted odds ratio is 1.89 [1.43-2.51]. The dose-response effect is significant (p=0.0001). For alcohol (\u22650.1 g/l), the adjusted odds ratio for responsibility is 8.39 [6.95-10.11]. No interaction was found between alcohol and cannabis. For amphetamine, cocaine and opiates, adjusted odds ratios were not significantly different from 1. However the statistical power is low.The study finds similar odds ratios for alcohol as previously published. For cannabis, the significant odds ratio together with the significant dose-response effect indicates a causal relationship between cannabis and road crashes. A multiplicative effect between cannabis and alcohol was noted.", "author" : [ { "dropping-particle" : "", "family" : "Gadegbeku", "given" : "Blandine", "non-dropping-particle" : "", "parse-names" : false, "suffix" : "" }, { "dropping-particle" : "", "family" : "Amoros", "given" : "Emmanuelle", "non-dropping-particle" : "", "parse-names" : false, "suffix" : "" }, { "dropping-particle" : "", "family" : "Laumon", "given" : "Bernard", "non-dropping-particle" : "", "parse-names" : false, "suffix" : "" } ], "container-title" : "Annals of advances in automotive medicine / Annual Scientific Conference ... Association for the Advancement of Automotive Medicine. Association for the Advancement of Automotive Medicine. Scientific Conference", "id" : "ITEM-1", "issue" : "October", "issued" : { "date-parts" : [ [ "2011" ] ] }, "page" : "293-300", "title" : "Responsibility study: main illicit psychoactive substances among car drivers involved in fatal road crashes.", "type" : "article-journal", "volume" : "55" }, "uris" : [ "http://www.mendeley.com/documents/?uuid=1fdbcfe5-9c5a-49c9-b0c6-a8b09ff3771c" ] }, { "id" : "ITEM-2", "itemData" : { "DOI" : "10.1373/clinchem.2012.194381", "ISBN" : "00099147 (ISSN)", "ISSN" : "00099147", "PMID" : "23220273", "abstract" : "BACKGROUND: Cannabis is the most prevalent illicit drug identified in impaired drivers. The effects of cannabis on driving continue to be debated, making prosecution and legislation difficult. Historically, delays in sample collection, evaluating the inactive \u0394(9)-tetrahydrocannabinol (THC) metabolite 11-nor-9-carboxy-THC, and polydrug use have complicated epidemiologic evaluations of driver impairment after cannabis use.\\n\\nCONTENT: We review and evaluate the current literature on cannabis' effects on driving, highlighting the epidemiologic and experimental data. Epidemiologic data show that the risk of involvement in a motor vehicle accident (MVA) increases approximately 2-fold after cannabis smoking. The adjusted risk of driver culpability also increases substantially, particularly with increased blood THC concentrations. Studies that have used urine as the biological matrix have not shown an association between cannabis and crash risk. Experimental data show that drivers attempt to compensate by driving more slowly after smoking cannabis, but control deteriorates with increasing task complexity. Cannabis smoking increases lane weaving and impaired cognitive function. Critical-tracking tests, reaction times, divided-attention tasks, and lane-position variability all show cannabis-induced impairment. Despite purported tolerance in frequent smokers, complex tasks still show impairment. Combining cannabis with alcohol enhances impairment, especially lane weaving.\\n\\nSUMMARY: Differences in study designs frequently account for inconsistencies in results between studies. Participant-selection bias and confounding factors attenuate ostensible cannabis effects, but the association with MVA often retains significance. Evidence suggests recent smoking and/or blood THC concentrations 2-5 ng/mL are associated with substantial driving impairment, particularly in occasional smokers. Future cannabis-and-driving research should emphasize challenging tasks, such as divided attention, and include occasional and chronic daily cannabis smokers.", "author" : [ { "dropping-particle" : "", "family" : "Hartman", "given" : "Rebecca L.", "non-dropping-particle" : "", "parse-names" : false, "suffix" : "" }, { "dropping-particle" : "", "family" : "Huestis", "given" : "Marilyn a.", "non-dropping-particle" : "", "parse-names" : false, "suffix" : "" } ], "container-title" : "Clinical Chemistry", "id" : "ITEM-2", "issue" : "3", "issued" : { "date-parts" : [ [ "2013" ] ] }, "page" : "478-492", "title" : "Cannabis effects on driving skills", "type" : "article-journal", "volume" : "59" }, "uris" : [ "http://www.mendeley.com/documents/?uuid=de532085-7572-4bf5-a5ad-59e31ad2988d" ] } ], "mendeley" : { "formattedCitation" : "(Gadegbeku et al. 2011; Hartman &amp; Huestis 2013)", "manualFormatting" : "(Gadegbeku et al 2011; Hartman &amp; Huestis 2013)", "plainTextFormattedCitation" : "(Gadegbeku et al. 2011; Hartman &amp; Huestis 2013)", "previouslyFormattedCitation" : "(Gadegbeku et al. 2011; Hartman &amp; Huestis 2013)" }, "properties" : { "noteIndex" : 0 }, "schema" : "https://github.com/citation-style-language/schema/raw/master/csl-citation.json" }</w:instrText>
      </w:r>
      <w:r w:rsidRPr="00AC2C72">
        <w:fldChar w:fldCharType="separate"/>
      </w:r>
      <w:r w:rsidR="00396405">
        <w:rPr>
          <w:noProof/>
        </w:rPr>
        <w:t>(Gadegbeku et al</w:t>
      </w:r>
      <w:r w:rsidR="00962964" w:rsidRPr="00962964">
        <w:rPr>
          <w:noProof/>
        </w:rPr>
        <w:t xml:space="preserve"> 2011; Hartman &amp; Huestis 2013)</w:t>
      </w:r>
      <w:r w:rsidRPr="00AC2C72">
        <w:fldChar w:fldCharType="end"/>
      </w:r>
      <w:r w:rsidR="00940B3D">
        <w:t xml:space="preserve">. </w:t>
      </w:r>
      <w:r w:rsidRPr="00AC2C72">
        <w:t>Drugs are likely to be under-recorded as a contributory factor, since there is no systematic testing for evidence of drug use by those involved</w:t>
      </w:r>
      <w:r w:rsidR="00EB1785">
        <w:t xml:space="preserve"> in RTAs</w:t>
      </w:r>
      <w:r w:rsidRPr="00AC2C72">
        <w:t xml:space="preserve">. The mid-estimate costing for </w:t>
      </w:r>
      <w:r w:rsidR="00EB1785">
        <w:t xml:space="preserve">the proportion of </w:t>
      </w:r>
      <w:r w:rsidRPr="00AC2C72">
        <w:t>all RTA</w:t>
      </w:r>
      <w:r w:rsidR="00EB1785">
        <w:t>s</w:t>
      </w:r>
      <w:r w:rsidRPr="00AC2C72">
        <w:t xml:space="preserve"> which were cannabis-induced was taken from </w:t>
      </w:r>
      <w:r w:rsidR="00F4157F">
        <w:fldChar w:fldCharType="begin" w:fldLock="1"/>
      </w:r>
      <w:r w:rsidR="00396405">
        <w:instrText>ADDIN CSL_CITATION { "citationItems" : [ { "id" : "ITEM-1", "itemData" : { "abstract" : "This study sets out the potential costs and benefits of a move to a licensed, taxed and regulated cannabis market in England and Wales. It identifies at least 17 sources of social cost/benefit and gives indicative estimates of annual net external benefit for 13 of them. We stress the important role of product regulation as a means of controlling the chemical properties of the cannabis product. Research in neuroscience has demonstrated the harmful effects of one cannabis constituent (THC) and the protective role of another (CBD). Given the strong upward trend in THC and downward trend in CBD in the illegal cannabis market, the possibility of product regulation is a potential advantage of a licensed and regulated system of supply. Three alternative scenarios are used, based on different assumptions about the responsiveness of demand to the policy change. We find that net benefits are likely to be positive and modest in size, except in the case of highly responsive demand (where, however, there is a great deal of uncertainty associated with the estimates). By far the largest effect is projected to be the net budgetary improvement for government, from new tax revenue and reduced policing and criminal justice costs.", "author" : [ { "dropping-particle" : "", "family" : "Pudney", "given" : "Stephen", "non-dropping-particle" : "", "parse-names" : false, "suffix" : "" }, { "dropping-particle" : "", "family" : "Bryan", "given" : "Mark", "non-dropping-particle" : "", "parse-names" : false, "suffix" : "" }, { "dropping-particle" : "", "family" : "DelBono", "given" : "Emilia", "non-dropping-particle" : "", "parse-names" : false, "suffix" : "" } ], "id" : "ITEM-1", "issued" : { "date-parts" : [ [ "2013" ] ] }, "title" : "Licensing and regulation of the cannabis market in England and Wales: Towards a cost-benefit analysis", "type" : "report" }, "uris" : [ "http://www.mendeley.com/documents/?uuid=44c02b84-c96d-4880-acb8-af97dbe6b419" ] } ], "mendeley" : { "formattedCitation" : "(Pudney et al. 2013)", "manualFormatting" : "Pudney et al (2013)", "plainTextFormattedCitation" : "(Pudney et al. 2013)", "previouslyFormattedCitation" : "(Pudney et al. 2013)" }, "properties" : { "noteIndex" : 0 }, "schema" : "https://github.com/citation-style-language/schema/raw/master/csl-citation.json" }</w:instrText>
      </w:r>
      <w:r w:rsidR="00F4157F">
        <w:fldChar w:fldCharType="separate"/>
      </w:r>
      <w:r w:rsidR="00396405">
        <w:rPr>
          <w:noProof/>
        </w:rPr>
        <w:t>Pudney et al</w:t>
      </w:r>
      <w:r w:rsidR="00F4157F" w:rsidRPr="00F4157F">
        <w:rPr>
          <w:noProof/>
        </w:rPr>
        <w:t xml:space="preserve"> </w:t>
      </w:r>
      <w:r w:rsidR="00F4157F">
        <w:rPr>
          <w:noProof/>
        </w:rPr>
        <w:t>(</w:t>
      </w:r>
      <w:r w:rsidR="00F4157F" w:rsidRPr="00F4157F">
        <w:rPr>
          <w:noProof/>
        </w:rPr>
        <w:t>2013)</w:t>
      </w:r>
      <w:r w:rsidR="00F4157F">
        <w:fldChar w:fldCharType="end"/>
      </w:r>
      <w:r w:rsidRPr="00AC2C72">
        <w:t xml:space="preserve"> and used in the model.</w:t>
      </w:r>
      <w:r w:rsidR="00264C50" w:rsidRPr="00AC2C72">
        <w:t xml:space="preserve"> Since the PHAC were not convinced that cannabis associated RTAs were caused by cannabis use, they were included only as a separate scenario in the sensitivity analyses, not in the base case. </w:t>
      </w:r>
    </w:p>
    <w:p w14:paraId="5B29ADBF" w14:textId="77777777" w:rsidR="00264C50" w:rsidRDefault="00264C50" w:rsidP="003D56F0"/>
    <w:p w14:paraId="69B53745" w14:textId="68162F6D" w:rsidR="00DA06BA" w:rsidRDefault="00DA06BA" w:rsidP="003D56F0">
      <w:pPr>
        <w:pStyle w:val="Heading6"/>
      </w:pPr>
      <w:r>
        <w:t>QALY loss associated with cannabis use</w:t>
      </w:r>
    </w:p>
    <w:p w14:paraId="3A31D1B2" w14:textId="77777777" w:rsidR="00B84364" w:rsidRPr="00494C12" w:rsidRDefault="00B84364" w:rsidP="003D56F0"/>
    <w:p w14:paraId="550631E6" w14:textId="77777777" w:rsidR="00DA06BA" w:rsidRPr="00AC2C72" w:rsidRDefault="00DA06BA" w:rsidP="00CC7EC2">
      <w:r w:rsidRPr="00AC2C72">
        <w:t xml:space="preserve">The impact of interventions on health-related quality of life has been accounted for by a reduction in QALYs, resulting from a utility decrement for psychosis. In doing so we assume that psychosis symptoms cause </w:t>
      </w:r>
      <w:r>
        <w:t>on average</w:t>
      </w:r>
      <w:r w:rsidRPr="00AC2C72">
        <w:t xml:space="preserve"> 5 years of QALY decrements and that this quality of life (utility) decrement was on average 0.32 per annum.</w:t>
      </w:r>
    </w:p>
    <w:p w14:paraId="0356CB9B" w14:textId="77777777" w:rsidR="00264C50" w:rsidRPr="00AC2C72" w:rsidRDefault="00264C50">
      <w:pPr>
        <w:pStyle w:val="ListParagraph"/>
      </w:pPr>
    </w:p>
    <w:p w14:paraId="33CDA1EC" w14:textId="77777777" w:rsidR="00264C50" w:rsidRDefault="00264C50">
      <w:pPr>
        <w:pStyle w:val="Heading6"/>
      </w:pPr>
      <w:r w:rsidRPr="00AC2C72">
        <w:t>Other outcomes that could possibly be included the model but with insufficient evidence or data</w:t>
      </w:r>
    </w:p>
    <w:p w14:paraId="3D233509" w14:textId="77777777" w:rsidR="00B84364" w:rsidRPr="00494C12" w:rsidRDefault="00B84364" w:rsidP="003D56F0"/>
    <w:p w14:paraId="3BF6A18B" w14:textId="7BEF4A13" w:rsidR="00264C50" w:rsidRDefault="00264C50">
      <w:r w:rsidRPr="00AC2C72">
        <w:t xml:space="preserve">It should be noted that the current costs of drug treatment are substantial as the majority of presentations (73%) to drug treatment for young people are for cannabis use. The costs of drug treatment for cannabis in England and Wales were estimated as £53million nationally for 2013/14 in a paper looking at the implications of a regulated cannabis market that was endorsed by a UK Treasury analysis in 2015 </w:t>
      </w:r>
      <w:r w:rsidRPr="00AC2C72">
        <w:lastRenderedPageBreak/>
        <w:fldChar w:fldCharType="begin" w:fldLock="1"/>
      </w:r>
      <w:r w:rsidRPr="00AC2C72">
        <w:instrText>ADDIN CSL_CITATION { "citationItems" : [ { "id" : "ITEM-1", "itemData" : { "author" : [ { "dropping-particle" : "", "family" : "Transform", "given" : "", "non-dropping-particle" : "", "parse-names" : false, "suffix" : "" } ], "id" : "ITEM-1", "issued" : { "date-parts" : [ [ "2015" ] ] }, "title" : "Potential fiscal impacts of introducing a regulated cannabis market in the UK", "type" : "report" }, "uris" : [ "http://www.mendeley.com/documents/?uuid=3a8443ce-503b-40a6-b4a8-315284ca477b" ] }, { "id" : "ITEM-2", "itemData" : { "abstract" : "This study sets out the potential costs and benefits of a move to a licensed, taxed and regulated cannabis market in England and Wales. It identifies at least 17 sources of social cost/benefit and gives indicative estimates of annual net external benefit for 13 of them. We stress the important role of product regulation as a means of controlling the chemical properties of the cannabis product. Research in neuroscience has demonstrated the harmful effects of one cannabis constituent (THC) and the protective role of another (CBD). Given the strong upward trend in THC and downward trend in CBD in the illegal cannabis market, the possibility of product regulation is a potential advantage of a licensed and regulated system of supply. Three alternative scenarios are used, based on different assumptions about the responsiveness of demand to the policy change. We find that net benefits are likely to be positive and modest in size, except in the case of highly responsive demand (where, however, there is a great deal of uncertainty associated with the estimates). By far the largest effect is projected to be the net budgetary improvement for government, from new tax revenue and reduced policing and criminal justice costs.", "author" : [ { "dropping-particle" : "", "family" : "Pudney", "given" : "Stephen", "non-dropping-particle" : "", "parse-names" : false, "suffix" : "" }, { "dropping-particle" : "", "family" : "Bryan", "given" : "Mark", "non-dropping-particle" : "", "parse-names" : false, "suffix" : "" }, { "dropping-particle" : "", "family" : "DelBono", "given" : "Emilia", "non-dropping-particle" : "", "parse-names" : false, "suffix" : "" } ], "id" : "ITEM-2", "issued" : { "date-parts" : [ [ "2013" ] ] }, "title" : "Licensing and regulation of the cannabis market in England and Wales: Towards a cost-benefit analysis", "type" : "report" }, "uris" : [ "http://www.mendeley.com/documents/?uuid=44c02b84-c96d-4880-acb8-af97dbe6b419" ] } ], "mendeley" : { "formattedCitation" : "(Transform 2015; Pudney et al. 2013)", "plainTextFormattedCitation" : "(Transform 2015; Pudney et al. 2013)", "previouslyFormattedCitation" : "(Transform 2015; Pudney et al. 2013)" }, "properties" : { "noteIndex" : 0 }, "schema" : "https://github.com/citation-style-language/schema/raw/master/csl-citation.json" }</w:instrText>
      </w:r>
      <w:r w:rsidRPr="00AC2C72">
        <w:fldChar w:fldCharType="separate"/>
      </w:r>
      <w:r w:rsidRPr="00AC2C72">
        <w:rPr>
          <w:noProof/>
        </w:rPr>
        <w:t>(Transform 2015; Pudney et al. 2013)</w:t>
      </w:r>
      <w:r w:rsidRPr="00AC2C72">
        <w:fldChar w:fldCharType="end"/>
      </w:r>
      <w:r w:rsidRPr="00AC2C72">
        <w:t>.</w:t>
      </w:r>
      <w:r w:rsidRPr="00AC2C72">
        <w:rPr>
          <w:vertAlign w:val="superscript"/>
        </w:rPr>
        <w:t xml:space="preserve"> </w:t>
      </w:r>
      <w:r w:rsidRPr="00AC2C72">
        <w:t xml:space="preserve">Other outcomes of interest may be productivity costs from IQ deficits </w:t>
      </w:r>
      <w:r w:rsidR="00AC2C72" w:rsidRPr="00AC2C72">
        <w:t>associated with</w:t>
      </w:r>
      <w:r w:rsidRPr="00AC2C72">
        <w:t xml:space="preserve"> cannabis use.</w:t>
      </w:r>
      <w:r w:rsidR="000A3D41">
        <w:t xml:space="preserve"> </w:t>
      </w:r>
    </w:p>
    <w:p w14:paraId="70900015" w14:textId="77777777" w:rsidR="008B04D6" w:rsidRDefault="008B04D6"/>
    <w:p w14:paraId="7081DA36" w14:textId="77777777" w:rsidR="008B04D6" w:rsidRDefault="008B04D6" w:rsidP="003D56F0">
      <w:pPr>
        <w:pStyle w:val="Heading7"/>
      </w:pPr>
      <w:r w:rsidRPr="00AC2C72">
        <w:t xml:space="preserve">Gateway Theory and Reverse Gateway </w:t>
      </w:r>
    </w:p>
    <w:p w14:paraId="409D4087" w14:textId="77777777" w:rsidR="008B04D6" w:rsidRPr="00494C12" w:rsidRDefault="008B04D6"/>
    <w:p w14:paraId="6BC15F12" w14:textId="77777777" w:rsidR="008B04D6" w:rsidRDefault="008B04D6">
      <w:r w:rsidRPr="00AC2C72">
        <w:t>If assumptions around cannabis use leading to o</w:t>
      </w:r>
      <w:r>
        <w:t>ther more dangerous drug use (“g</w:t>
      </w:r>
      <w:r w:rsidRPr="00AC2C72">
        <w:t xml:space="preserve">ateway theory”), or on the impact of becoming a tobacco smoker </w:t>
      </w:r>
      <w:r>
        <w:t>(“r</w:t>
      </w:r>
      <w:r w:rsidRPr="00AC2C72">
        <w:t>everse gateway”) were included, then this may make the intervention more cost effective, but no credible evidence was found to support their inclusion within the model.</w:t>
      </w:r>
    </w:p>
    <w:p w14:paraId="7469222F" w14:textId="77777777" w:rsidR="008B04D6" w:rsidRDefault="008B04D6"/>
    <w:p w14:paraId="00514D74" w14:textId="11A61DAE" w:rsidR="008B04D6" w:rsidRDefault="008B04D6" w:rsidP="003D56F0">
      <w:pPr>
        <w:pStyle w:val="Heading7"/>
      </w:pPr>
      <w:r>
        <w:t>Targeting the intervention</w:t>
      </w:r>
      <w:r w:rsidR="00832F9A">
        <w:t>s</w:t>
      </w:r>
    </w:p>
    <w:p w14:paraId="4A150FAA" w14:textId="77777777" w:rsidR="008B04D6" w:rsidRPr="00494C12" w:rsidRDefault="008B04D6" w:rsidP="00CC7EC2"/>
    <w:p w14:paraId="2506D343" w14:textId="51CB9B28" w:rsidR="008B04D6" w:rsidRPr="00AC2C72" w:rsidRDefault="008B04D6" w:rsidP="00AD2788">
      <w:r>
        <w:t>I</w:t>
      </w:r>
      <w:r w:rsidRPr="00AC2C72">
        <w:t>f the intervention</w:t>
      </w:r>
      <w:r w:rsidR="00832F9A">
        <w:t>s</w:t>
      </w:r>
      <w:r w:rsidRPr="00AC2C72">
        <w:t xml:space="preserve"> could be better targeted at groups who have a higher chance of using cannabis or experiencing adverse outcomes resulting from cannabis use, then these too would be likely to render the intervention more cost effective. The intervention</w:t>
      </w:r>
      <w:r w:rsidR="00832F9A">
        <w:t>s</w:t>
      </w:r>
      <w:r w:rsidRPr="00AC2C72">
        <w:t xml:space="preserve"> may come out as more successful if a broader perspective of outcomes was included, but this analysis has looked only at the outcomes associated with drug use. </w:t>
      </w:r>
    </w:p>
    <w:p w14:paraId="16CF80AE" w14:textId="77777777" w:rsidR="008B04D6" w:rsidRPr="00AC2C72" w:rsidRDefault="008B04D6"/>
    <w:p w14:paraId="4F6A8BF4" w14:textId="1CEBF98C" w:rsidR="00862D5E" w:rsidRPr="00D21C25" w:rsidRDefault="00862D5E" w:rsidP="00CC7EC2">
      <w:pPr>
        <w:pStyle w:val="Heading3"/>
      </w:pPr>
      <w:bookmarkStart w:id="37" w:name="_Toc452035640"/>
      <w:r w:rsidRPr="00D21C25">
        <w:t xml:space="preserve">5.1.1 </w:t>
      </w:r>
      <w:r w:rsidR="00F52DA3" w:rsidRPr="00D21C25">
        <w:t xml:space="preserve">Model </w:t>
      </w:r>
      <w:r w:rsidR="00BE6EE1">
        <w:t>of</w:t>
      </w:r>
      <w:r w:rsidR="009D222A">
        <w:t xml:space="preserve"> </w:t>
      </w:r>
      <w:r w:rsidRPr="00D21C25">
        <w:t xml:space="preserve">Focus on Families </w:t>
      </w:r>
      <w:r w:rsidR="00BE6EE1">
        <w:t>intervention based</w:t>
      </w:r>
      <w:r w:rsidR="00BE6EE1" w:rsidRPr="00D21C25">
        <w:t xml:space="preserve"> </w:t>
      </w:r>
      <w:r w:rsidRPr="00D21C25">
        <w:t>on Catalano</w:t>
      </w:r>
      <w:r w:rsidR="00BC40A3" w:rsidRPr="00D21C25">
        <w:t xml:space="preserve"> et al (1999)</w:t>
      </w:r>
      <w:bookmarkEnd w:id="37"/>
    </w:p>
    <w:p w14:paraId="074C3BB3" w14:textId="337AC5F6" w:rsidR="00C82B34" w:rsidRDefault="00C82B34" w:rsidP="00AD2788"/>
    <w:p w14:paraId="291E9950" w14:textId="78145F79" w:rsidR="00CF5A06" w:rsidRDefault="00CF5A06" w:rsidP="003D56F0">
      <w:pPr>
        <w:pStyle w:val="Heading6"/>
      </w:pPr>
      <w:r>
        <w:t>Study</w:t>
      </w:r>
    </w:p>
    <w:p w14:paraId="79B38C25" w14:textId="77777777" w:rsidR="00CF5A06" w:rsidRPr="00CF5A06" w:rsidRDefault="00CF5A06"/>
    <w:p w14:paraId="4233929D" w14:textId="376A9179" w:rsidR="00DA2A6A" w:rsidRPr="00AC2C72" w:rsidRDefault="00C817EB">
      <w:r w:rsidRPr="00AC2C72">
        <w:t>This d</w:t>
      </w:r>
      <w:r w:rsidR="00DA2A6A" w:rsidRPr="00AC2C72">
        <w:t>ecision analytic model was informed by results from</w:t>
      </w:r>
      <w:r w:rsidR="00F4157F">
        <w:t xml:space="preserve"> </w:t>
      </w:r>
      <w:r w:rsidR="00F4157F">
        <w:fldChar w:fldCharType="begin" w:fldLock="1"/>
      </w:r>
      <w:r w:rsidR="00917E8A">
        <w:instrText>ADDIN CSL_CITATION { "citationItems" : [ { "id" : "ITEM-1", "itemData" : { "DOI" : "10.1086/250095", "ISBN" : "3258059322", "ISSN" : "00157120", "PMID" : "17979356", "abstract" : "The first of two exploratory studies investigated the conflict management approaches of 310 South Korean leaders. Each recalled the most recent dispute they had encountered either between two subordinates or between a subordinate and a person outside the group (i.e., an outsider).Subsequently, they reported the techniques used to mange the dispute. As predicted, the leaders were more assertive in managing subordinate-subordinate conflicts. Unexpectedly, they also pressed their own subordinates quite forcefully in the subordinate-outsider disputes. The second study investigated subordinates' interventions in their leaders' disputes. In these conflicts, subordinates adopted a low-key shuttle diplomacy; meeting separately with the parties, listening to their opinions, transmitting these to the other side, and calling for each side's empathy and understanding.", "author" : [ { "dropping-particle" : "", "family" : "Catalano", "given" : "Richard F", "non-dropping-particle" : "", "parse-names" : false, "suffix" : "" }, { "dropping-particle" : "", "family" : "Gainey", "given" : "Randy R", "non-dropping-particle" : "", "parse-names" : false, "suffix" : "" }, { "dropping-particle" : "", "family" : "Fleming", "given" : "Charles B", "non-dropping-particle" : "", "parse-names" : false, "suffix" : "" }, { "dropping-particle" : "", "family" : "Haggerty", "given" : "Kevin P", "non-dropping-particle" : "", "parse-names" : false, "suffix" : "" }, { "dropping-particle" : "", "family" : "Johnson", "given" : "Norman O.", "non-dropping-particle" : "", "parse-names" : false, "suffix" : "" } ], "container-title" : "International Journal of Conflict Management", "id" : "ITEM-1", "issue" : "2", "issued" : { "date-parts" : [ [ "1999" ] ] }, "page" : "130-153", "title" : "An experimental intervention with families of substance abusers: one-year follow-up of the focus on families project", "type" : "article-journal", "volume" : "10" }, "uris" : [ "http://www.mendeley.com/documents/?uuid=8e223de9-51fa-4991-94d9-b3b4f73cc7f0" ] } ], "mendeley" : { "formattedCitation" : "(Catalano et al. 1999)", "manualFormatting" : "Catalano et al. (1999)", "plainTextFormattedCitation" : "(Catalano et al. 1999)", "previouslyFormattedCitation" : "(Catalano et al. 1999)" }, "properties" : { "noteIndex" : 0 }, "schema" : "https://github.com/citation-style-language/schema/raw/master/csl-citation.json" }</w:instrText>
      </w:r>
      <w:r w:rsidR="00F4157F">
        <w:fldChar w:fldCharType="separate"/>
      </w:r>
      <w:r w:rsidR="00F4157F" w:rsidRPr="00F4157F">
        <w:rPr>
          <w:noProof/>
        </w:rPr>
        <w:t xml:space="preserve">Catalano et al. </w:t>
      </w:r>
      <w:r w:rsidR="00917E8A">
        <w:rPr>
          <w:noProof/>
        </w:rPr>
        <w:t>(</w:t>
      </w:r>
      <w:r w:rsidR="00F4157F" w:rsidRPr="00F4157F">
        <w:rPr>
          <w:noProof/>
        </w:rPr>
        <w:t>1999)</w:t>
      </w:r>
      <w:r w:rsidR="00F4157F">
        <w:fldChar w:fldCharType="end"/>
      </w:r>
      <w:r w:rsidRPr="00AC2C72">
        <w:t>;</w:t>
      </w:r>
      <w:r w:rsidR="00DA2A6A" w:rsidRPr="00AC2C72">
        <w:t xml:space="preserve"> </w:t>
      </w:r>
      <w:r w:rsidRPr="00AC2C72">
        <w:t>“a</w:t>
      </w:r>
      <w:r w:rsidR="00DA2A6A" w:rsidRPr="00AC2C72">
        <w:t xml:space="preserve">n experimental intervention with families of substance abusers: one-year follow-up of </w:t>
      </w:r>
      <w:r w:rsidR="00932929" w:rsidRPr="00AC2C72">
        <w:t>the focus on families project</w:t>
      </w:r>
      <w:r w:rsidRPr="00AC2C72">
        <w:t>”</w:t>
      </w:r>
      <w:r w:rsidR="00932929" w:rsidRPr="00AC2C72">
        <w:t xml:space="preserve"> and</w:t>
      </w:r>
      <w:r w:rsidR="00DA2A6A" w:rsidRPr="00AC2C72">
        <w:t xml:space="preserve"> results from</w:t>
      </w:r>
      <w:r w:rsidR="00F4157F">
        <w:t xml:space="preserve"> </w:t>
      </w:r>
      <w:r w:rsidR="00F4157F">
        <w:fldChar w:fldCharType="begin" w:fldLock="1"/>
      </w:r>
      <w:r w:rsidR="00F4157F">
        <w:instrText>ADDIN CSL_CITATION { "citationItems" : [ { "id" : "ITEM-1", "itemData" : { "DOI" : "10.1111/j.1360-0443.2008.02360.x", "ISSN" : "1360-0443", "PMID" : "18855808", "abstract" : "AIMS: This study examines the efficacy of the Focus on Families project (currently called Families Facing the Future), a preventive intervention to reduce substance use disorders among children in families with a parent in methadone treatment.\n\nDESIGN: One hundred and thirty families were assigned randomly to a methadone clinic treatment-as-usual control condition or treatment-as-usual plus the Focus on Families intervention between 1991 and 1993. Setting Participants were recruited from two methadone clinics in the Pacific Northwest.\n\nPARTICIPANTS: This study examines the development of substance use disorders among the 177 children (56.84% male) involved in the program using data from a long-term follow-up in 2005, when these participants ranged in age from 15 to 29 years.\n\nINTERVENTION: The intervention was delivered through group parent-training workshops at the methadone clinics and through individualized home-based services. The intervention taught parenting skills and skills for avoiding relapse to drug abuse.\n\nMEASUREMENTS: At long-term follow-up, substance use disorders were measured by the Composite International Diagnostic Interview (CIDI). Survival analyses were used to assess intervention versus control differences in the hazard of developing substance use disorders.\n\nFINDINGS: Overall, intervention and control participants did not differ significantly in risk of developing substance use disorders. However, there was evidence of a significant difference in intervention effect by gender. There was a significant reduction in the risk of developing a substance use disorder for intervention group males compared to control group males (hazard ratio = 0.53, P = 0.03), while intervention versus control differences among females were non-significant and favored the control condition.\n\nCONCLUSIONS: Results from this study suggest that helping parents in recovery focus on both reducing their drug use and improving their parenting skills may have long-term effects on reducing substance use disorders among their male children. However, the overall long-term benefits of this program are not supported by the results for female children.", "author" : [ { "dropping-particle" : "", "family" : "Haggerty", "given" : "Kevin P", "non-dropping-particle" : "", "parse-names" : false, "suffix" : "" }, { "dropping-particle" : "", "family" : "Skinner", "given" : "Martie", "non-dropping-particle" : "", "parse-names" : false, "suffix" : "" }, { "dropping-particle" : "", "family" : "Fleming", "given" : "Charles B", "non-dropping-particle" : "", "parse-names" : false, "suffix" : "" }, { "dropping-particle" : "", "family" : "Gainey", "given" : "Randy R", "non-dropping-particle" : "", "parse-names" : false, "suffix" : "" }, { "dropping-particle" : "", "family" : "Catalano", "given" : "Richard F", "non-dropping-particle" : "", "parse-names" : false, "suffix" : "" } ], "container-title" : "Addiction (Abingdon, England)", "id" : "ITEM-1", "issue" : "12", "issued" : { "date-parts" : [ [ "2008", "12" ] ] }, "page" : "2008-16", "title" : "Long-term effects of the Focus on Families project on substance use disorders among children of parents in methadone treatment.", "type" : "article-journal", "volume" : "103" }, "uris" : [ "http://www.mendeley.com/documents/?uuid=c642dc9c-33d5-4f6c-bab3-c6fffd55988f" ] } ], "mendeley" : { "formattedCitation" : "(Haggerty et al. 2008)", "manualFormatting" : "Haggerty et al. (2008)", "plainTextFormattedCitation" : "(Haggerty et al. 2008)", "previouslyFormattedCitation" : "(Haggerty et al. 2008)" }, "properties" : { "noteIndex" : 0 }, "schema" : "https://github.com/citation-style-language/schema/raw/master/csl-citation.json" }</w:instrText>
      </w:r>
      <w:r w:rsidR="00F4157F">
        <w:fldChar w:fldCharType="separate"/>
      </w:r>
      <w:r w:rsidR="00F4157F" w:rsidRPr="00F4157F">
        <w:rPr>
          <w:noProof/>
        </w:rPr>
        <w:t xml:space="preserve">Haggerty et al. </w:t>
      </w:r>
      <w:r w:rsidR="00F4157F">
        <w:rPr>
          <w:noProof/>
        </w:rPr>
        <w:t>(</w:t>
      </w:r>
      <w:r w:rsidR="00F4157F" w:rsidRPr="00F4157F">
        <w:rPr>
          <w:noProof/>
        </w:rPr>
        <w:t>2008)</w:t>
      </w:r>
      <w:r w:rsidR="00F4157F">
        <w:fldChar w:fldCharType="end"/>
      </w:r>
      <w:r w:rsidRPr="00AC2C72">
        <w:t>;</w:t>
      </w:r>
      <w:r w:rsidR="00DA2A6A" w:rsidRPr="00AC2C72">
        <w:t xml:space="preserve"> </w:t>
      </w:r>
      <w:r w:rsidRPr="00AC2C72">
        <w:t>“</w:t>
      </w:r>
      <w:r w:rsidR="00DA2A6A" w:rsidRPr="00AC2C72">
        <w:t>Long-term effects of the Focus on Families project on substance use disorders among children of</w:t>
      </w:r>
      <w:r w:rsidR="00917E8A">
        <w:t xml:space="preserve"> parents in methadone treatment</w:t>
      </w:r>
      <w:r w:rsidRPr="00AC2C72">
        <w:t>”</w:t>
      </w:r>
      <w:r w:rsidR="00917E8A">
        <w:t xml:space="preserve"> </w:t>
      </w:r>
      <w:r w:rsidR="00932929" w:rsidRPr="00AC2C72">
        <w:fldChar w:fldCharType="begin" w:fldLock="1"/>
      </w:r>
      <w:r w:rsidR="0083622E" w:rsidRPr="00AC2C72">
        <w:instrText>ADDIN CSL_CITATION { "citationItems" : [ { "id" : "ITEM-1", "itemData" : { "DOI" : "10.1111/j.1360-0443.2008.02360.x", "ISSN" : "1360-0443", "PMID" : "18855808", "abstract" : "AIMS: This study examines the efficacy of the Focus on Families project (currently called Families Facing the Future), a preventive intervention to reduce substance use disorders among children in families with a parent in methadone treatment.\n\nDESIGN: One hundred and thirty families were assigned randomly to a methadone clinic treatment-as-usual control condition or treatment-as-usual plus the Focus on Families intervention between 1991 and 1993. Setting Participants were recruited from two methadone clinics in the Pacific Northwest.\n\nPARTICIPANTS: This study examines the development of substance use disorders among the 177 children (56.84% male) involved in the program using data from a long-term follow-up in 2005, when these participants ranged in age from 15 to 29 years.\n\nINTERVENTION: The intervention was delivered through group parent-training workshops at the methadone clinics and through individualized home-based services. The intervention taught parenting skills and skills for avoiding relapse to drug abuse.\n\nMEASUREMENTS: At long-term follow-up, substance use disorders were measured by the Composite International Diagnostic Interview (CIDI). Survival analyses were used to assess intervention versus control differences in the hazard of developing substance use disorders.\n\nFINDINGS: Overall, intervention and control participants did not differ significantly in risk of developing substance use disorders. However, there was evidence of a significant difference in intervention effect by gender. There was a significant reduction in the risk of developing a substance use disorder for intervention group males compared to control group males (hazard ratio = 0.53, P = 0.03), while intervention versus control differences among females were non-significant and favored the control condition.\n\nCONCLUSIONS: Results from this study suggest that helping parents in recovery focus on both reducing their drug use and improving their parenting skills may have long-term effects on reducing substance use disorders among their male children. However, the overall long-term benefits of this program are not supported by the results for female children.", "author" : [ { "dropping-particle" : "", "family" : "Haggerty", "given" : "Kevin P", "non-dropping-particle" : "", "parse-names" : false, "suffix" : "" }, { "dropping-particle" : "", "family" : "Skinner", "given" : "Martie", "non-dropping-particle" : "", "parse-names" : false, "suffix" : "" }, { "dropping-particle" : "", "family" : "Fleming", "given" : "Charles B", "non-dropping-particle" : "", "parse-names" : false, "suffix" : "" }, { "dropping-particle" : "", "family" : "Gainey", "given" : "Randy R", "non-dropping-particle" : "", "parse-names" : false, "suffix" : "" }, { "dropping-particle" : "", "family" : "Catalano", "given" : "Richard F", "non-dropping-particle" : "", "parse-names" : false, "suffix" : "" } ], "container-title" : "Addiction (Abingdon, England)", "id" : "ITEM-1", "issue" : "12", "issued" : { "date-parts" : [ [ "2008", "12" ] ] }, "page" : "2008-16", "title" : "Long-term effects of the Focus on Families project on substance use disorders among children of parents in methadone treatment.", "type" : "article-journal", "volume" : "103" }, "uris" : [ "http://www.mendeley.com/documents/?uuid=c642dc9c-33d5-4f6c-bab3-c6fffd55988f" ] } ], "mendeley" : { "formattedCitation" : "(Haggerty et al. 2008)", "plainTextFormattedCitation" : "(Haggerty et al. 2008)", "previouslyFormattedCitation" : "(Haggerty et al. 2008)" }, "properties" : { "noteIndex" : 0 }, "schema" : "https://github.com/citation-style-language/schema/raw/master/csl-citation.json" }</w:instrText>
      </w:r>
      <w:r w:rsidR="00932929" w:rsidRPr="00AC2C72">
        <w:fldChar w:fldCharType="separate"/>
      </w:r>
      <w:r w:rsidR="00F4157F" w:rsidRPr="00F4157F">
        <w:rPr>
          <w:noProof/>
        </w:rPr>
        <w:t>(Haggerty et al. 2008)</w:t>
      </w:r>
      <w:r w:rsidR="00932929" w:rsidRPr="00AC2C72">
        <w:fldChar w:fldCharType="end"/>
      </w:r>
      <w:r w:rsidR="00940B3D">
        <w:t xml:space="preserve">. </w:t>
      </w:r>
    </w:p>
    <w:p w14:paraId="4F8C5CB7" w14:textId="77777777" w:rsidR="00932929" w:rsidRPr="00CC7EC2" w:rsidRDefault="00932929"/>
    <w:p w14:paraId="0F9672B2" w14:textId="0E5B8F79" w:rsidR="0001013B" w:rsidRPr="00CC7EC2" w:rsidRDefault="000505C6" w:rsidP="003D56F0">
      <w:pPr>
        <w:pStyle w:val="Heading6"/>
      </w:pPr>
      <w:r w:rsidRPr="00AD2788">
        <w:t>Population</w:t>
      </w:r>
    </w:p>
    <w:p w14:paraId="5B645878" w14:textId="77777777" w:rsidR="000505C6" w:rsidRPr="000505C6" w:rsidRDefault="000505C6"/>
    <w:p w14:paraId="26A25B07" w14:textId="231763BF" w:rsidR="000505C6" w:rsidRDefault="000505C6">
      <w:r w:rsidRPr="00AC2C72">
        <w:t>Epidemiological data relating to the proportion of young people whose par</w:t>
      </w:r>
      <w:r>
        <w:t xml:space="preserve">ents use drugs was informed by </w:t>
      </w:r>
      <w:r>
        <w:fldChar w:fldCharType="begin" w:fldLock="1"/>
      </w:r>
      <w:r>
        <w:instrText>ADDIN CSL_CITATION { "citationItems" : [ { "id" : "ITEM-1", "itemData" : { "author" : [ { "dropping-particle" : "", "family" : "ACMD (Advisory Council on the Misuse of Drugs).", "given" : "", "non-dropping-particle" : "", "parse-names" : false, "suffix" : "" } ], "id" : "ITEM-1", "issue" : "February", "issued" : { "date-parts" : [ [ "2007" ] ] }, "title" : "Hidden Harm Three Years On: Realities, Challenges and Opportunities.", "type" : "report" }, "uris" : [ "http://www.mendeley.com/documents/?uuid=7f09b9c5-bc98-48f4-8501-a7740a070988" ] } ], "mendeley" : { "formattedCitation" : "(ACMD (Advisory Council on the Misuse of Drugs). 2007)", "manualFormatting" : "ACMD (2007)", "plainTextFormattedCitation" : "(ACMD (Advisory Council on the Misuse of Drugs). 2007)", "previouslyFormattedCitation" : "(ACMD (Advisory Council on the Misuse of Drugs). 2007)" }, "properties" : { "noteIndex" : 0 }, "schema" : "https://github.com/citation-style-language/schema/raw/master/csl-citation.json" }</w:instrText>
      </w:r>
      <w:r>
        <w:fldChar w:fldCharType="separate"/>
      </w:r>
      <w:r>
        <w:rPr>
          <w:noProof/>
        </w:rPr>
        <w:t>ACMD (</w:t>
      </w:r>
      <w:r w:rsidRPr="00EB28AA">
        <w:rPr>
          <w:noProof/>
        </w:rPr>
        <w:t>2007)</w:t>
      </w:r>
      <w:r>
        <w:fldChar w:fldCharType="end"/>
      </w:r>
      <w:r w:rsidR="0001013B">
        <w:t xml:space="preserve"> and the intervention was modelled </w:t>
      </w:r>
      <w:r w:rsidR="00CC7EC2">
        <w:t xml:space="preserve">for </w:t>
      </w:r>
      <w:r w:rsidR="0001013B">
        <w:t xml:space="preserve">this population of </w:t>
      </w:r>
      <w:r w:rsidR="00CC7EC2">
        <w:t>399,339 10-15 year olds whose parents use drugs.</w:t>
      </w:r>
    </w:p>
    <w:p w14:paraId="6583E288" w14:textId="77777777" w:rsidR="0001013B" w:rsidRPr="000505C6" w:rsidRDefault="0001013B"/>
    <w:p w14:paraId="26C864ED" w14:textId="699BD77E" w:rsidR="0068600E" w:rsidRPr="00AC2C72" w:rsidRDefault="00926755">
      <w:pPr>
        <w:pStyle w:val="Heading6"/>
      </w:pPr>
      <w:r>
        <w:t>D</w:t>
      </w:r>
      <w:r w:rsidR="0068600E" w:rsidRPr="00AC2C72">
        <w:t>ecision tree</w:t>
      </w:r>
    </w:p>
    <w:p w14:paraId="70D49DDA" w14:textId="77777777" w:rsidR="0068600E" w:rsidRPr="00AC2C72" w:rsidRDefault="0068600E"/>
    <w:p w14:paraId="1B623851" w14:textId="0F39030E" w:rsidR="00926755" w:rsidRDefault="00551DDB">
      <w:r w:rsidRPr="00AC2C72">
        <w:t>The simple tree</w:t>
      </w:r>
      <w:r w:rsidR="000A3D41">
        <w:t>,</w:t>
      </w:r>
      <w:r w:rsidRPr="00AC2C72">
        <w:t xml:space="preserve"> </w:t>
      </w:r>
      <w:r w:rsidR="000A3D41">
        <w:fldChar w:fldCharType="begin"/>
      </w:r>
      <w:r w:rsidR="000A3D41">
        <w:instrText xml:space="preserve"> REF _Ref448418304 \h </w:instrText>
      </w:r>
      <w:r w:rsidR="00940B3D">
        <w:instrText xml:space="preserve"> \* MERGEFORMAT </w:instrText>
      </w:r>
      <w:r w:rsidR="000A3D41">
        <w:fldChar w:fldCharType="separate"/>
      </w:r>
      <w:r w:rsidR="0087365D" w:rsidRPr="00AC2C72">
        <w:t xml:space="preserve">Figure </w:t>
      </w:r>
      <w:r w:rsidR="0087365D">
        <w:rPr>
          <w:noProof/>
        </w:rPr>
        <w:t>5</w:t>
      </w:r>
      <w:r w:rsidR="000A3D41">
        <w:fldChar w:fldCharType="end"/>
      </w:r>
      <w:r w:rsidR="000A3D41">
        <w:t xml:space="preserve"> </w:t>
      </w:r>
      <w:r w:rsidRPr="00AC2C72">
        <w:t xml:space="preserve">describes the </w:t>
      </w:r>
      <w:r w:rsidR="001D1282" w:rsidRPr="00AC2C72">
        <w:t>individual</w:t>
      </w:r>
      <w:r w:rsidR="00B5500E" w:rsidRPr="00AC2C72">
        <w:t xml:space="preserve"> pathway with the FOF intervention. There are two arms in the model, those who receive the FO</w:t>
      </w:r>
      <w:r w:rsidR="00B3302E" w:rsidRPr="00AC2C72">
        <w:t>F intervention and those who do</w:t>
      </w:r>
      <w:r w:rsidR="00DD44BC" w:rsidRPr="00AC2C72">
        <w:t xml:space="preserve"> not. </w:t>
      </w:r>
    </w:p>
    <w:p w14:paraId="4BB8FCF1" w14:textId="77777777" w:rsidR="00D00623" w:rsidRDefault="00D00623"/>
    <w:p w14:paraId="6F271D4F" w14:textId="77777777" w:rsidR="00926755" w:rsidRDefault="00926755">
      <w:r w:rsidRPr="00AC2C72">
        <w:lastRenderedPageBreak/>
        <w:t xml:space="preserve">Results from </w:t>
      </w:r>
      <w:r>
        <w:fldChar w:fldCharType="begin" w:fldLock="1"/>
      </w:r>
      <w:r>
        <w:instrText>ADDIN CSL_CITATION { "citationItems" : [ { "id" : "ITEM-1", "itemData" : { "DOI" : "10.1086/250095", "ISBN" : "3258059322", "ISSN" : "00157120", "PMID" : "17979356", "abstract" : "The first of two exploratory studies investigated the conflict management approaches of 310 South Korean leaders. Each recalled the most recent dispute they had encountered either between two subordinates or between a subordinate and a person outside the group (i.e., an outsider).Subsequently, they reported the techniques used to mange the dispute. As predicted, the leaders were more assertive in managing subordinate-subordinate conflicts. Unexpectedly, they also pressed their own subordinates quite forcefully in the subordinate-outsider disputes. The second study investigated subordinates' interventions in their leaders' disputes. In these conflicts, subordinates adopted a low-key shuttle diplomacy; meeting separately with the parties, listening to their opinions, transmitting these to the other side, and calling for each side's empathy and understanding.", "author" : [ { "dropping-particle" : "", "family" : "Catalano", "given" : "Richard F", "non-dropping-particle" : "", "parse-names" : false, "suffix" : "" }, { "dropping-particle" : "", "family" : "Gainey", "given" : "Randy R", "non-dropping-particle" : "", "parse-names" : false, "suffix" : "" }, { "dropping-particle" : "", "family" : "Fleming", "given" : "Charles B", "non-dropping-particle" : "", "parse-names" : false, "suffix" : "" }, { "dropping-particle" : "", "family" : "Haggerty", "given" : "Kevin P", "non-dropping-particle" : "", "parse-names" : false, "suffix" : "" }, { "dropping-particle" : "", "family" : "Johnson", "given" : "Norman O.", "non-dropping-particle" : "", "parse-names" : false, "suffix" : "" } ], "container-title" : "International Journal of Conflict Management", "id" : "ITEM-1", "issue" : "2", "issued" : { "date-parts" : [ [ "1999" ] ] }, "page" : "130-153", "title" : "An experimental intervention with families of substance abusers: one-year follow-up of the focus on families project", "type" : "article-journal", "volume" : "10" }, "uris" : [ "http://www.mendeley.com/documents/?uuid=8e223de9-51fa-4991-94d9-b3b4f73cc7f0" ] } ], "mendeley" : { "formattedCitation" : "(Catalano et al. 1999)", "manualFormatting" : "Catalano et al. (1999)", "plainTextFormattedCitation" : "(Catalano et al. 1999)", "previouslyFormattedCitation" : "(Catalano et al. 1999)" }, "properties" : { "noteIndex" : 0 }, "schema" : "https://github.com/citation-style-language/schema/raw/master/csl-citation.json" }</w:instrText>
      </w:r>
      <w:r>
        <w:fldChar w:fldCharType="separate"/>
      </w:r>
      <w:r w:rsidRPr="00F4157F">
        <w:rPr>
          <w:noProof/>
        </w:rPr>
        <w:t xml:space="preserve">Catalano et al. </w:t>
      </w:r>
      <w:r>
        <w:rPr>
          <w:noProof/>
        </w:rPr>
        <w:t>(</w:t>
      </w:r>
      <w:r w:rsidRPr="00F4157F">
        <w:rPr>
          <w:noProof/>
        </w:rPr>
        <w:t>1999)</w:t>
      </w:r>
      <w:r>
        <w:fldChar w:fldCharType="end"/>
      </w:r>
      <w:r w:rsidRPr="00AC2C72">
        <w:t xml:space="preserve"> demonstrate an intervention effect over a period of 12 months. </w:t>
      </w:r>
      <w:r>
        <w:fldChar w:fldCharType="begin" w:fldLock="1"/>
      </w:r>
      <w:r>
        <w:instrText>ADDIN CSL_CITATION { "citationItems" : [ { "id" : "ITEM-1", "itemData" : { "DOI" : "10.1111/j.1360-0443.2008.02360.x", "ISSN" : "1360-0443", "PMID" : "18855808", "abstract" : "AIMS: This study examines the efficacy of the Focus on Families project (currently called Families Facing the Future), a preventive intervention to reduce substance use disorders among children in families with a parent in methadone treatment.\n\nDESIGN: One hundred and thirty families were assigned randomly to a methadone clinic treatment-as-usual control condition or treatment-as-usual plus the Focus on Families intervention between 1991 and 1993. Setting Participants were recruited from two methadone clinics in the Pacific Northwest.\n\nPARTICIPANTS: This study examines the development of substance use disorders among the 177 children (56.84% male) involved in the program using data from a long-term follow-up in 2005, when these participants ranged in age from 15 to 29 years.\n\nINTERVENTION: The intervention was delivered through group parent-training workshops at the methadone clinics and through individualized home-based services. The intervention taught parenting skills and skills for avoiding relapse to drug abuse.\n\nMEASUREMENTS: At long-term follow-up, substance use disorders were measured by the Composite International Diagnostic Interview (CIDI). Survival analyses were used to assess intervention versus control differences in the hazard of developing substance use disorders.\n\nFINDINGS: Overall, intervention and control participants did not differ significantly in risk of developing substance use disorders. However, there was evidence of a significant difference in intervention effect by gender. There was a significant reduction in the risk of developing a substance use disorder for intervention group males compared to control group males (hazard ratio = 0.53, P = 0.03), while intervention versus control differences among females were non-significant and favored the control condition.\n\nCONCLUSIONS: Results from this study suggest that helping parents in recovery focus on both reducing their drug use and improving their parenting skills may have long-term effects on reducing substance use disorders among their male children. However, the overall long-term benefits of this program are not supported by the results for female children.", "author" : [ { "dropping-particle" : "", "family" : "Haggerty", "given" : "Kevin P", "non-dropping-particle" : "", "parse-names" : false, "suffix" : "" }, { "dropping-particle" : "", "family" : "Skinner", "given" : "Martie", "non-dropping-particle" : "", "parse-names" : false, "suffix" : "" }, { "dropping-particle" : "", "family" : "Fleming", "given" : "Charles B", "non-dropping-particle" : "", "parse-names" : false, "suffix" : "" }, { "dropping-particle" : "", "family" : "Gainey", "given" : "Randy R", "non-dropping-particle" : "", "parse-names" : false, "suffix" : "" }, { "dropping-particle" : "", "family" : "Catalano", "given" : "Richard F", "non-dropping-particle" : "", "parse-names" : false, "suffix" : "" } ], "container-title" : "Addiction (Abingdon, England)", "id" : "ITEM-1", "issue" : "12", "issued" : { "date-parts" : [ [ "2008", "12" ] ] }, "page" : "2008-16", "title" : "Long-term effects of the Focus on Families project on substance use disorders among children of parents in methadone treatment.", "type" : "article-journal", "volume" : "103" }, "uris" : [ "http://www.mendeley.com/documents/?uuid=c642dc9c-33d5-4f6c-bab3-c6fffd55988f" ] } ], "mendeley" : { "formattedCitation" : "(Haggerty et al. 2008)", "manualFormatting" : "Haggerty et al. (2008)", "plainTextFormattedCitation" : "(Haggerty et al. 2008)", "previouslyFormattedCitation" : "(Haggerty et al. 2008)" }, "properties" : { "noteIndex" : 0 }, "schema" : "https://github.com/citation-style-language/schema/raw/master/csl-citation.json" }</w:instrText>
      </w:r>
      <w:r>
        <w:fldChar w:fldCharType="separate"/>
      </w:r>
      <w:r w:rsidRPr="00EB28AA">
        <w:rPr>
          <w:noProof/>
        </w:rPr>
        <w:t xml:space="preserve">Haggerty et al. </w:t>
      </w:r>
      <w:r>
        <w:rPr>
          <w:noProof/>
        </w:rPr>
        <w:t>(</w:t>
      </w:r>
      <w:r w:rsidRPr="00EB28AA">
        <w:rPr>
          <w:noProof/>
        </w:rPr>
        <w:t>2008)</w:t>
      </w:r>
      <w:r>
        <w:fldChar w:fldCharType="end"/>
      </w:r>
      <w:r>
        <w:t xml:space="preserve"> </w:t>
      </w:r>
      <w:r w:rsidRPr="00AC2C72">
        <w:t xml:space="preserve">is a follow-up of the </w:t>
      </w:r>
      <w:r>
        <w:fldChar w:fldCharType="begin" w:fldLock="1"/>
      </w:r>
      <w:r>
        <w:instrText>ADDIN CSL_CITATION { "citationItems" : [ { "id" : "ITEM-1", "itemData" : { "DOI" : "10.1086/250095", "ISBN" : "3258059322", "ISSN" : "00157120", "PMID" : "17979356", "abstract" : "The first of two exploratory studies investigated the conflict management approaches of 310 South Korean leaders. Each recalled the most recent dispute they had encountered either between two subordinates or between a subordinate and a person outside the group (i.e., an outsider).Subsequently, they reported the techniques used to mange the dispute. As predicted, the leaders were more assertive in managing subordinate-subordinate conflicts. Unexpectedly, they also pressed their own subordinates quite forcefully in the subordinate-outsider disputes. The second study investigated subordinates' interventions in their leaders' disputes. In these conflicts, subordinates adopted a low-key shuttle diplomacy; meeting separately with the parties, listening to their opinions, transmitting these to the other side, and calling for each side's empathy and understanding.", "author" : [ { "dropping-particle" : "", "family" : "Catalano", "given" : "Richard F", "non-dropping-particle" : "", "parse-names" : false, "suffix" : "" }, { "dropping-particle" : "", "family" : "Gainey", "given" : "Randy R", "non-dropping-particle" : "", "parse-names" : false, "suffix" : "" }, { "dropping-particle" : "", "family" : "Fleming", "given" : "Charles B", "non-dropping-particle" : "", "parse-names" : false, "suffix" : "" }, { "dropping-particle" : "", "family" : "Haggerty", "given" : "Kevin P", "non-dropping-particle" : "", "parse-names" : false, "suffix" : "" }, { "dropping-particle" : "", "family" : "Johnson", "given" : "Norman O.", "non-dropping-particle" : "", "parse-names" : false, "suffix" : "" } ], "container-title" : "International Journal of Conflict Management", "id" : "ITEM-1", "issue" : "2", "issued" : { "date-parts" : [ [ "1999" ] ] }, "page" : "130-153", "title" : "An experimental intervention with families of substance abusers: one-year follow-up of the focus on families project", "type" : "article-journal", "volume" : "10" }, "uris" : [ "http://www.mendeley.com/documents/?uuid=8e223de9-51fa-4991-94d9-b3b4f73cc7f0" ] } ], "mendeley" : { "formattedCitation" : "(Catalano et al. 1999)", "manualFormatting" : "Catalano et al. (1999)", "plainTextFormattedCitation" : "(Catalano et al. 1999)", "previouslyFormattedCitation" : "(Catalano et al. 1999)" }, "properties" : { "noteIndex" : 0 }, "schema" : "https://github.com/citation-style-language/schema/raw/master/csl-citation.json" }</w:instrText>
      </w:r>
      <w:r>
        <w:fldChar w:fldCharType="separate"/>
      </w:r>
      <w:r w:rsidRPr="00EB28AA">
        <w:rPr>
          <w:noProof/>
        </w:rPr>
        <w:t xml:space="preserve">Catalano et al. </w:t>
      </w:r>
      <w:r>
        <w:rPr>
          <w:noProof/>
        </w:rPr>
        <w:t>(</w:t>
      </w:r>
      <w:r w:rsidRPr="00EB28AA">
        <w:rPr>
          <w:noProof/>
        </w:rPr>
        <w:t>1999)</w:t>
      </w:r>
      <w:r>
        <w:fldChar w:fldCharType="end"/>
      </w:r>
      <w:r>
        <w:t xml:space="preserve"> </w:t>
      </w:r>
      <w:r w:rsidRPr="00AC2C72">
        <w:t>study and the results show that the beneficial effects of the focus on families (FOF) intervention is restricted to short-term benefits of 12 months. Therefore, the benefits in terms of economic and health are limited to 12 months in the model. The target population of this intervention is group 5 who are children and young people whose parents use drug.</w:t>
      </w:r>
    </w:p>
    <w:p w14:paraId="53940605" w14:textId="77777777" w:rsidR="00D00623" w:rsidRPr="00AC2C72" w:rsidRDefault="00D00623">
      <w:pPr>
        <w:rPr>
          <w:color w:val="FF0000"/>
        </w:rPr>
      </w:pPr>
    </w:p>
    <w:p w14:paraId="27B8B885" w14:textId="1936D687" w:rsidR="000C3E86" w:rsidRPr="00AC2C72" w:rsidRDefault="00DD44BC">
      <w:r w:rsidRPr="00AC2C72">
        <w:t>For the each of the first 12 months, those in the FOF intervention arm have differing probabilities of using cannabis</w:t>
      </w:r>
      <w:r w:rsidR="00531A8E" w:rsidRPr="00AC2C72">
        <w:t xml:space="preserve"> versus those in the control arm</w:t>
      </w:r>
      <w:r w:rsidRPr="00AC2C72">
        <w:t xml:space="preserve">. </w:t>
      </w:r>
      <w:r w:rsidR="001D1282" w:rsidRPr="00AC2C72">
        <w:t xml:space="preserve">Beyond 12 months of the study, each individual in the intervention or control </w:t>
      </w:r>
      <w:r w:rsidR="00B3302E" w:rsidRPr="00AC2C72">
        <w:t>cohorts have</w:t>
      </w:r>
      <w:r w:rsidR="001D1282" w:rsidRPr="00AC2C72">
        <w:t xml:space="preserve"> the same probability of using cannabis in the future.</w:t>
      </w:r>
      <w:r w:rsidR="000C3E86" w:rsidRPr="00AC2C72">
        <w:t xml:space="preserve"> </w:t>
      </w:r>
      <w:r w:rsidR="00E00E86">
        <w:t>We</w:t>
      </w:r>
      <w:r w:rsidR="000C3E86" w:rsidRPr="00AC2C72">
        <w:t xml:space="preserve"> have</w:t>
      </w:r>
      <w:r w:rsidR="007034E3" w:rsidRPr="00AC2C72">
        <w:t xml:space="preserve"> </w:t>
      </w:r>
      <w:r w:rsidR="000C3E86" w:rsidRPr="00AC2C72">
        <w:t>n</w:t>
      </w:r>
      <w:r w:rsidR="007034E3" w:rsidRPr="00AC2C72">
        <w:t>o</w:t>
      </w:r>
      <w:r w:rsidR="000C3E86" w:rsidRPr="00AC2C72">
        <w:t xml:space="preserve">t discounted </w:t>
      </w:r>
      <w:r w:rsidR="007034E3" w:rsidRPr="00AC2C72">
        <w:t>future values (costs and benef</w:t>
      </w:r>
      <w:r w:rsidR="00DB0676" w:rsidRPr="00AC2C72">
        <w:t>i</w:t>
      </w:r>
      <w:r w:rsidR="007034E3" w:rsidRPr="00AC2C72">
        <w:t xml:space="preserve">ts) </w:t>
      </w:r>
      <w:r w:rsidR="000C3E86" w:rsidRPr="00AC2C72">
        <w:t xml:space="preserve">as </w:t>
      </w:r>
      <w:r w:rsidR="007034E3" w:rsidRPr="00AC2C72">
        <w:t xml:space="preserve">the FOF </w:t>
      </w:r>
      <w:r w:rsidR="000C3E86" w:rsidRPr="00AC2C72">
        <w:t xml:space="preserve">intervention only has an effect over </w:t>
      </w:r>
      <w:r w:rsidR="007034E3" w:rsidRPr="00AC2C72">
        <w:t>a 12 month per</w:t>
      </w:r>
      <w:r w:rsidR="00DB0676" w:rsidRPr="00AC2C72">
        <w:t>i</w:t>
      </w:r>
      <w:r w:rsidR="007034E3" w:rsidRPr="00AC2C72">
        <w:t>od</w:t>
      </w:r>
      <w:r w:rsidR="000C3E86" w:rsidRPr="00AC2C72">
        <w:t xml:space="preserve">. </w:t>
      </w:r>
    </w:p>
    <w:p w14:paraId="682E8675" w14:textId="77777777" w:rsidR="00F52DA3" w:rsidRPr="00AC2C72" w:rsidRDefault="00F52DA3"/>
    <w:p w14:paraId="5D106FE9" w14:textId="36C1D1D5" w:rsidR="00AC2C72" w:rsidRPr="00AC2C72" w:rsidRDefault="00F52DA3">
      <w:pPr>
        <w:pStyle w:val="Caption"/>
      </w:pPr>
      <w:r w:rsidRPr="00AC2C72">
        <w:t>.</w:t>
      </w:r>
      <w:r w:rsidRPr="00AC2C72">
        <w:rPr>
          <w:b w:val="0"/>
        </w:rPr>
        <w:t xml:space="preserve"> </w:t>
      </w:r>
      <w:bookmarkStart w:id="38" w:name="_Ref448418304"/>
      <w:r w:rsidR="00AC2C72" w:rsidRPr="00AC2C72">
        <w:t xml:space="preserve">Figure </w:t>
      </w:r>
      <w:fldSimple w:instr=" SEQ Figure \* ARABIC ">
        <w:r w:rsidR="0087365D">
          <w:rPr>
            <w:noProof/>
          </w:rPr>
          <w:t>5</w:t>
        </w:r>
      </w:fldSimple>
      <w:bookmarkEnd w:id="38"/>
      <w:r w:rsidR="00AC2C72" w:rsidRPr="00AC2C72">
        <w:t>. Decision tree model for Focus on Families intervention.</w:t>
      </w:r>
    </w:p>
    <w:p w14:paraId="19D89DC6" w14:textId="6CA31F15" w:rsidR="0007003E" w:rsidRPr="00AC2C72" w:rsidRDefault="0080344A">
      <w:pPr>
        <w:rPr>
          <w:sz w:val="32"/>
          <w:szCs w:val="32"/>
        </w:rPr>
      </w:pPr>
      <w:r w:rsidRPr="0080344A">
        <w:rPr>
          <w:noProof/>
        </w:rPr>
        <w:drawing>
          <wp:inline distT="0" distB="0" distL="0" distR="0" wp14:anchorId="6E639C9A" wp14:editId="755CA499">
            <wp:extent cx="3355450" cy="3579499"/>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5533" cy="3579587"/>
                    </a:xfrm>
                    <a:prstGeom prst="rect">
                      <a:avLst/>
                    </a:prstGeom>
                    <a:noFill/>
                    <a:ln>
                      <a:noFill/>
                    </a:ln>
                  </pic:spPr>
                </pic:pic>
              </a:graphicData>
            </a:graphic>
          </wp:inline>
        </w:drawing>
      </w:r>
      <w:r w:rsidR="00BC229B" w:rsidRPr="00AC2C72">
        <w:t xml:space="preserve"> </w:t>
      </w:r>
      <w:r w:rsidR="005915EC" w:rsidRPr="00AC2C72">
        <w:t xml:space="preserve"> </w:t>
      </w:r>
    </w:p>
    <w:p w14:paraId="748B97C3" w14:textId="77777777" w:rsidR="0068600E" w:rsidRPr="00AC2C72" w:rsidRDefault="0068600E"/>
    <w:p w14:paraId="1C76BC4A" w14:textId="370C69B2" w:rsidR="00C643B2" w:rsidRDefault="00C643B2"/>
    <w:p w14:paraId="54902FB5" w14:textId="2F839F11" w:rsidR="00C32ADA" w:rsidRPr="00AC2C72" w:rsidRDefault="00C32ADA">
      <w:pPr>
        <w:pStyle w:val="Heading6"/>
      </w:pPr>
      <w:r>
        <w:t>Results</w:t>
      </w:r>
    </w:p>
    <w:p w14:paraId="4581116E" w14:textId="77777777" w:rsidR="0043407D" w:rsidRDefault="0043407D">
      <w:pPr>
        <w:spacing w:after="200"/>
        <w:rPr>
          <w:b/>
          <w:bCs/>
          <w:color w:val="4F81BD" w:themeColor="accent1"/>
          <w:sz w:val="22"/>
        </w:rPr>
      </w:pPr>
      <w:r>
        <w:br w:type="page"/>
      </w:r>
    </w:p>
    <w:p w14:paraId="2A162A18" w14:textId="334DAA0A" w:rsidR="00BE6EE1" w:rsidRDefault="00BE6EE1">
      <w:pPr>
        <w:pStyle w:val="Caption"/>
      </w:pPr>
      <w:r>
        <w:lastRenderedPageBreak/>
        <w:t xml:space="preserve">Table </w:t>
      </w:r>
      <w:fldSimple w:instr=" SEQ Table \* ARABIC ">
        <w:r w:rsidR="00D00623">
          <w:rPr>
            <w:noProof/>
          </w:rPr>
          <w:t>4</w:t>
        </w:r>
      </w:fldSimple>
      <w:r>
        <w:t xml:space="preserve">. </w:t>
      </w:r>
      <w:r w:rsidR="00834057">
        <w:t>Results of economic model based on Catalano et al. (1999).</w:t>
      </w:r>
    </w:p>
    <w:p w14:paraId="1DD69754" w14:textId="4C3E9B6D" w:rsidR="00D20595" w:rsidRPr="006604B4" w:rsidRDefault="00D20595">
      <w:r w:rsidRPr="006604B4">
        <w:t>Base Case Scenario</w:t>
      </w:r>
    </w:p>
    <w:tbl>
      <w:tblPr>
        <w:tblStyle w:val="TableGrid"/>
        <w:tblW w:w="0" w:type="auto"/>
        <w:tblLayout w:type="fixed"/>
        <w:tblLook w:val="04A0" w:firstRow="1" w:lastRow="0" w:firstColumn="1" w:lastColumn="0" w:noHBand="0" w:noVBand="1"/>
      </w:tblPr>
      <w:tblGrid>
        <w:gridCol w:w="1384"/>
        <w:gridCol w:w="1703"/>
        <w:gridCol w:w="1146"/>
        <w:gridCol w:w="1961"/>
        <w:gridCol w:w="1285"/>
        <w:gridCol w:w="1763"/>
      </w:tblGrid>
      <w:tr w:rsidR="00BE6EE1" w:rsidRPr="003D56F0" w14:paraId="6F215B6E" w14:textId="77777777" w:rsidTr="003D56F0">
        <w:tc>
          <w:tcPr>
            <w:tcW w:w="1384" w:type="dxa"/>
          </w:tcPr>
          <w:p w14:paraId="0EE76BA6" w14:textId="77777777" w:rsidR="00BE6EE1" w:rsidRPr="003D56F0" w:rsidRDefault="00BE6EE1" w:rsidP="00627432">
            <w:pPr>
              <w:rPr>
                <w:sz w:val="18"/>
                <w:szCs w:val="18"/>
                <w:lang w:val="fr-FR"/>
              </w:rPr>
            </w:pPr>
          </w:p>
        </w:tc>
        <w:tc>
          <w:tcPr>
            <w:tcW w:w="1703" w:type="dxa"/>
          </w:tcPr>
          <w:p w14:paraId="5F196C8F" w14:textId="77777777" w:rsidR="00BE6EE1" w:rsidRPr="003D56F0" w:rsidRDefault="00BE6EE1" w:rsidP="000B4925">
            <w:pPr>
              <w:rPr>
                <w:sz w:val="18"/>
                <w:szCs w:val="18"/>
              </w:rPr>
            </w:pPr>
            <w:r w:rsidRPr="003D56F0">
              <w:rPr>
                <w:sz w:val="18"/>
                <w:szCs w:val="18"/>
                <w:lang w:val="fr-FR"/>
              </w:rPr>
              <w:br/>
            </w:r>
            <w:r w:rsidRPr="003D56F0">
              <w:rPr>
                <w:rStyle w:val="Strong"/>
                <w:color w:val="000000"/>
                <w:sz w:val="18"/>
                <w:szCs w:val="18"/>
              </w:rPr>
              <w:t>Total costs (£)</w:t>
            </w:r>
          </w:p>
          <w:p w14:paraId="6D669F0F" w14:textId="77777777" w:rsidR="00BE6EE1" w:rsidRPr="003D56F0" w:rsidRDefault="00BE6EE1" w:rsidP="003D56F0">
            <w:pPr>
              <w:rPr>
                <w:sz w:val="18"/>
                <w:szCs w:val="18"/>
                <w:lang w:val="en-US"/>
              </w:rPr>
            </w:pPr>
          </w:p>
        </w:tc>
        <w:tc>
          <w:tcPr>
            <w:tcW w:w="1146" w:type="dxa"/>
          </w:tcPr>
          <w:p w14:paraId="14F0FEFC" w14:textId="77777777" w:rsidR="00BE6EE1" w:rsidRPr="003D56F0" w:rsidRDefault="00BE6EE1" w:rsidP="003D56F0">
            <w:pPr>
              <w:rPr>
                <w:sz w:val="18"/>
                <w:szCs w:val="18"/>
              </w:rPr>
            </w:pPr>
            <w:r w:rsidRPr="003D56F0">
              <w:rPr>
                <w:sz w:val="18"/>
                <w:szCs w:val="18"/>
              </w:rPr>
              <w:br/>
            </w:r>
            <w:r w:rsidRPr="003D56F0">
              <w:rPr>
                <w:rStyle w:val="Strong"/>
                <w:color w:val="000000"/>
                <w:sz w:val="18"/>
                <w:szCs w:val="18"/>
              </w:rPr>
              <w:t>Total QALYs lost</w:t>
            </w:r>
          </w:p>
          <w:p w14:paraId="7C72B8AC" w14:textId="77777777" w:rsidR="00BE6EE1" w:rsidRPr="003D56F0" w:rsidRDefault="00BE6EE1" w:rsidP="003D56F0">
            <w:pPr>
              <w:rPr>
                <w:sz w:val="18"/>
                <w:szCs w:val="18"/>
                <w:lang w:val="en-US"/>
              </w:rPr>
            </w:pPr>
          </w:p>
        </w:tc>
        <w:tc>
          <w:tcPr>
            <w:tcW w:w="1961" w:type="dxa"/>
          </w:tcPr>
          <w:p w14:paraId="5823A85A" w14:textId="77777777" w:rsidR="00BE6EE1" w:rsidRPr="003D56F0" w:rsidRDefault="00BE6EE1" w:rsidP="003D56F0">
            <w:pPr>
              <w:rPr>
                <w:rStyle w:val="Strong"/>
                <w:color w:val="000000"/>
                <w:sz w:val="18"/>
                <w:szCs w:val="18"/>
                <w:shd w:val="clear" w:color="auto" w:fill="FFFFFF"/>
              </w:rPr>
            </w:pPr>
          </w:p>
          <w:p w14:paraId="6AFE66ED" w14:textId="77777777" w:rsidR="00BE6EE1" w:rsidRPr="003D56F0" w:rsidRDefault="00BE6EE1" w:rsidP="003D56F0">
            <w:pPr>
              <w:rPr>
                <w:rFonts w:eastAsia="Times New Roman"/>
                <w:sz w:val="18"/>
                <w:szCs w:val="18"/>
                <w:lang w:val="en-US"/>
              </w:rPr>
            </w:pPr>
            <w:r w:rsidRPr="003D56F0">
              <w:rPr>
                <w:rStyle w:val="Strong"/>
                <w:color w:val="000000"/>
                <w:sz w:val="18"/>
                <w:szCs w:val="18"/>
                <w:shd w:val="clear" w:color="auto" w:fill="FFFFFF"/>
              </w:rPr>
              <w:t>Incremental costs (£)</w:t>
            </w:r>
          </w:p>
        </w:tc>
        <w:tc>
          <w:tcPr>
            <w:tcW w:w="1285" w:type="dxa"/>
          </w:tcPr>
          <w:p w14:paraId="3CBF70F5" w14:textId="55E53EE9" w:rsidR="00BE6EE1" w:rsidRPr="003D56F0" w:rsidRDefault="00BE6EE1" w:rsidP="003D56F0">
            <w:pPr>
              <w:rPr>
                <w:sz w:val="18"/>
                <w:szCs w:val="18"/>
              </w:rPr>
            </w:pPr>
            <w:r w:rsidRPr="003D56F0">
              <w:rPr>
                <w:sz w:val="18"/>
                <w:szCs w:val="18"/>
              </w:rPr>
              <w:br/>
            </w:r>
            <w:r w:rsidRPr="003D56F0">
              <w:rPr>
                <w:rStyle w:val="Strong"/>
                <w:color w:val="000000"/>
                <w:sz w:val="18"/>
                <w:szCs w:val="18"/>
              </w:rPr>
              <w:t>Incremental QALYs</w:t>
            </w:r>
            <w:r w:rsidR="007D5168" w:rsidRPr="003D56F0">
              <w:rPr>
                <w:rStyle w:val="Strong"/>
                <w:color w:val="000000"/>
                <w:sz w:val="18"/>
                <w:szCs w:val="18"/>
              </w:rPr>
              <w:t xml:space="preserve"> gained</w:t>
            </w:r>
          </w:p>
          <w:p w14:paraId="175D3F33" w14:textId="77777777" w:rsidR="00BE6EE1" w:rsidRPr="003D56F0" w:rsidRDefault="00BE6EE1" w:rsidP="003D56F0">
            <w:pPr>
              <w:rPr>
                <w:sz w:val="18"/>
                <w:szCs w:val="18"/>
                <w:lang w:val="en-US"/>
              </w:rPr>
            </w:pPr>
          </w:p>
        </w:tc>
        <w:tc>
          <w:tcPr>
            <w:tcW w:w="1763" w:type="dxa"/>
          </w:tcPr>
          <w:p w14:paraId="6F4E32FC" w14:textId="77777777" w:rsidR="00BE6EE1" w:rsidRPr="003D56F0" w:rsidRDefault="00BE6EE1" w:rsidP="003D56F0">
            <w:pPr>
              <w:rPr>
                <w:rStyle w:val="Strong"/>
                <w:color w:val="000000"/>
                <w:sz w:val="18"/>
                <w:szCs w:val="18"/>
                <w:shd w:val="clear" w:color="auto" w:fill="FFFFFF"/>
              </w:rPr>
            </w:pPr>
          </w:p>
          <w:p w14:paraId="2606D4E0" w14:textId="77777777" w:rsidR="00BE6EE1" w:rsidRPr="003D56F0" w:rsidRDefault="00BE6EE1" w:rsidP="003D56F0">
            <w:pPr>
              <w:rPr>
                <w:rFonts w:eastAsia="Times New Roman"/>
                <w:sz w:val="18"/>
                <w:szCs w:val="18"/>
                <w:lang w:val="en-US"/>
              </w:rPr>
            </w:pPr>
            <w:r w:rsidRPr="003D56F0">
              <w:rPr>
                <w:rStyle w:val="Strong"/>
                <w:color w:val="000000"/>
                <w:sz w:val="18"/>
                <w:szCs w:val="18"/>
                <w:shd w:val="clear" w:color="auto" w:fill="FFFFFF"/>
              </w:rPr>
              <w:t>ICER (£) (QALYs)</w:t>
            </w:r>
          </w:p>
        </w:tc>
      </w:tr>
      <w:tr w:rsidR="00BE6EE1" w:rsidRPr="003D56F0" w14:paraId="61FFFAED" w14:textId="77777777" w:rsidTr="003D56F0">
        <w:trPr>
          <w:trHeight w:val="287"/>
        </w:trPr>
        <w:tc>
          <w:tcPr>
            <w:tcW w:w="1384" w:type="dxa"/>
            <w:vAlign w:val="bottom"/>
          </w:tcPr>
          <w:p w14:paraId="1A9C46ED" w14:textId="3578E554" w:rsidR="00BE6EE1" w:rsidRPr="003D56F0" w:rsidRDefault="00BE6EE1" w:rsidP="003D56F0">
            <w:pPr>
              <w:rPr>
                <w:sz w:val="18"/>
                <w:szCs w:val="18"/>
                <w:lang w:val="en-US"/>
              </w:rPr>
            </w:pPr>
            <w:r w:rsidRPr="003D56F0">
              <w:rPr>
                <w:sz w:val="18"/>
                <w:szCs w:val="18"/>
                <w:lang w:val="fr-FR"/>
              </w:rPr>
              <w:t>Intervention</w:t>
            </w:r>
          </w:p>
        </w:tc>
        <w:tc>
          <w:tcPr>
            <w:tcW w:w="1703" w:type="dxa"/>
            <w:vAlign w:val="bottom"/>
          </w:tcPr>
          <w:p w14:paraId="22E4020F" w14:textId="031D8275" w:rsidR="00BE6EE1" w:rsidRPr="003D56F0" w:rsidRDefault="00BE6EE1" w:rsidP="003D56F0">
            <w:pPr>
              <w:rPr>
                <w:rFonts w:eastAsia="Times New Roman"/>
                <w:color w:val="000000"/>
                <w:sz w:val="18"/>
                <w:szCs w:val="18"/>
                <w:lang w:val="en-US"/>
              </w:rPr>
            </w:pPr>
            <w:r w:rsidRPr="003D56F0">
              <w:rPr>
                <w:sz w:val="18"/>
                <w:szCs w:val="18"/>
              </w:rPr>
              <w:t>£169,527,975</w:t>
            </w:r>
          </w:p>
        </w:tc>
        <w:tc>
          <w:tcPr>
            <w:tcW w:w="1146" w:type="dxa"/>
            <w:vAlign w:val="bottom"/>
          </w:tcPr>
          <w:p w14:paraId="61ECBC0A" w14:textId="2801534B" w:rsidR="00BE6EE1" w:rsidRPr="003D56F0" w:rsidRDefault="00BE6EE1" w:rsidP="003D56F0">
            <w:pPr>
              <w:rPr>
                <w:rFonts w:eastAsia="Times New Roman"/>
                <w:color w:val="000000"/>
                <w:sz w:val="18"/>
                <w:szCs w:val="18"/>
                <w:lang w:val="en-US"/>
              </w:rPr>
            </w:pPr>
            <w:r w:rsidRPr="003D56F0">
              <w:rPr>
                <w:sz w:val="18"/>
                <w:szCs w:val="18"/>
              </w:rPr>
              <w:t>6</w:t>
            </w:r>
            <w:r w:rsidR="007D5168" w:rsidRPr="003D56F0">
              <w:rPr>
                <w:sz w:val="18"/>
                <w:szCs w:val="18"/>
              </w:rPr>
              <w:t>.0</w:t>
            </w:r>
            <w:r w:rsidRPr="003D56F0">
              <w:rPr>
                <w:sz w:val="18"/>
                <w:szCs w:val="18"/>
              </w:rPr>
              <w:t xml:space="preserve"> </w:t>
            </w:r>
          </w:p>
        </w:tc>
        <w:tc>
          <w:tcPr>
            <w:tcW w:w="1961" w:type="dxa"/>
            <w:vMerge w:val="restart"/>
            <w:vAlign w:val="bottom"/>
          </w:tcPr>
          <w:p w14:paraId="03A0664C" w14:textId="646430EA" w:rsidR="00BE6EE1" w:rsidRPr="003D56F0" w:rsidRDefault="00BE6EE1" w:rsidP="003D56F0">
            <w:pPr>
              <w:rPr>
                <w:rFonts w:eastAsia="Times New Roman"/>
                <w:color w:val="000000"/>
                <w:sz w:val="18"/>
                <w:szCs w:val="18"/>
              </w:rPr>
            </w:pPr>
            <w:r w:rsidRPr="003D56F0">
              <w:rPr>
                <w:sz w:val="18"/>
                <w:szCs w:val="18"/>
              </w:rPr>
              <w:t xml:space="preserve">£168,914,632 </w:t>
            </w:r>
          </w:p>
        </w:tc>
        <w:tc>
          <w:tcPr>
            <w:tcW w:w="1285" w:type="dxa"/>
            <w:vMerge w:val="restart"/>
            <w:vAlign w:val="bottom"/>
          </w:tcPr>
          <w:p w14:paraId="3B812D2E" w14:textId="77777777" w:rsidR="00BE6EE1" w:rsidRPr="003D56F0" w:rsidRDefault="00BE6EE1" w:rsidP="003D56F0">
            <w:pPr>
              <w:rPr>
                <w:rFonts w:eastAsia="Times New Roman"/>
                <w:color w:val="000000"/>
                <w:sz w:val="18"/>
                <w:szCs w:val="18"/>
                <w:lang w:val="en-US"/>
              </w:rPr>
            </w:pPr>
            <w:r w:rsidRPr="003D56F0">
              <w:rPr>
                <w:sz w:val="18"/>
                <w:szCs w:val="18"/>
                <w:lang w:val="en-US"/>
              </w:rPr>
              <w:t>1.7</w:t>
            </w:r>
          </w:p>
        </w:tc>
        <w:tc>
          <w:tcPr>
            <w:tcW w:w="1763" w:type="dxa"/>
            <w:vMerge w:val="restart"/>
            <w:vAlign w:val="bottom"/>
          </w:tcPr>
          <w:p w14:paraId="05BA9558" w14:textId="72B56F39" w:rsidR="00BE6EE1" w:rsidRPr="003D56F0" w:rsidRDefault="00BE6EE1" w:rsidP="003D56F0">
            <w:pPr>
              <w:rPr>
                <w:rFonts w:eastAsia="Times New Roman"/>
                <w:color w:val="000000"/>
                <w:sz w:val="18"/>
                <w:szCs w:val="18"/>
                <w:lang w:val="en-US"/>
              </w:rPr>
            </w:pPr>
            <w:r w:rsidRPr="003D56F0">
              <w:rPr>
                <w:sz w:val="18"/>
                <w:szCs w:val="18"/>
              </w:rPr>
              <w:t xml:space="preserve">£99,254,920 </w:t>
            </w:r>
          </w:p>
        </w:tc>
      </w:tr>
      <w:tr w:rsidR="00BE6EE1" w:rsidRPr="003D56F0" w14:paraId="291FBFF7" w14:textId="77777777" w:rsidTr="003D56F0">
        <w:trPr>
          <w:trHeight w:val="347"/>
        </w:trPr>
        <w:tc>
          <w:tcPr>
            <w:tcW w:w="1384" w:type="dxa"/>
            <w:vAlign w:val="bottom"/>
          </w:tcPr>
          <w:p w14:paraId="213FAC45" w14:textId="7A029883" w:rsidR="00BE6EE1" w:rsidRPr="003D56F0" w:rsidRDefault="00BE6EE1" w:rsidP="003D56F0">
            <w:pPr>
              <w:rPr>
                <w:sz w:val="18"/>
                <w:szCs w:val="18"/>
                <w:lang w:val="en-US"/>
              </w:rPr>
            </w:pPr>
            <w:r w:rsidRPr="003D56F0">
              <w:rPr>
                <w:sz w:val="18"/>
                <w:szCs w:val="18"/>
                <w:lang w:val="en-US"/>
              </w:rPr>
              <w:t>Comparator</w:t>
            </w:r>
          </w:p>
        </w:tc>
        <w:tc>
          <w:tcPr>
            <w:tcW w:w="1703" w:type="dxa"/>
            <w:vAlign w:val="bottom"/>
          </w:tcPr>
          <w:p w14:paraId="5196F5E8" w14:textId="68759D39" w:rsidR="00BE6EE1" w:rsidRPr="003D56F0" w:rsidRDefault="00BE6EE1" w:rsidP="003D56F0">
            <w:pPr>
              <w:rPr>
                <w:rFonts w:eastAsia="Times New Roman"/>
                <w:color w:val="000000"/>
                <w:sz w:val="18"/>
                <w:szCs w:val="18"/>
                <w:lang w:val="en-US"/>
              </w:rPr>
            </w:pPr>
            <w:r w:rsidRPr="003D56F0">
              <w:rPr>
                <w:sz w:val="18"/>
                <w:szCs w:val="18"/>
              </w:rPr>
              <w:t xml:space="preserve">£613,343 </w:t>
            </w:r>
          </w:p>
        </w:tc>
        <w:tc>
          <w:tcPr>
            <w:tcW w:w="1146" w:type="dxa"/>
            <w:vAlign w:val="bottom"/>
          </w:tcPr>
          <w:p w14:paraId="2764996D" w14:textId="77777777" w:rsidR="00BE6EE1" w:rsidRPr="003D56F0" w:rsidRDefault="00BE6EE1" w:rsidP="003D56F0">
            <w:pPr>
              <w:rPr>
                <w:rFonts w:eastAsia="Times New Roman"/>
                <w:color w:val="000000"/>
                <w:sz w:val="18"/>
                <w:szCs w:val="18"/>
                <w:lang w:val="en-US"/>
              </w:rPr>
            </w:pPr>
            <w:r w:rsidRPr="003D56F0">
              <w:rPr>
                <w:sz w:val="18"/>
                <w:szCs w:val="18"/>
                <w:lang w:val="en-US"/>
              </w:rPr>
              <w:t>7.7</w:t>
            </w:r>
          </w:p>
        </w:tc>
        <w:tc>
          <w:tcPr>
            <w:tcW w:w="1961" w:type="dxa"/>
            <w:vMerge/>
            <w:vAlign w:val="bottom"/>
          </w:tcPr>
          <w:p w14:paraId="595EC3C3" w14:textId="77777777" w:rsidR="00BE6EE1" w:rsidRPr="003D56F0" w:rsidRDefault="00BE6EE1" w:rsidP="003D56F0">
            <w:pPr>
              <w:rPr>
                <w:sz w:val="18"/>
                <w:szCs w:val="18"/>
              </w:rPr>
            </w:pPr>
          </w:p>
        </w:tc>
        <w:tc>
          <w:tcPr>
            <w:tcW w:w="1285" w:type="dxa"/>
            <w:vMerge/>
            <w:vAlign w:val="bottom"/>
          </w:tcPr>
          <w:p w14:paraId="2388EF86" w14:textId="77777777" w:rsidR="00BE6EE1" w:rsidRPr="003D56F0" w:rsidRDefault="00BE6EE1" w:rsidP="003D56F0">
            <w:pPr>
              <w:rPr>
                <w:sz w:val="18"/>
                <w:szCs w:val="18"/>
                <w:lang w:val="en-US"/>
              </w:rPr>
            </w:pPr>
          </w:p>
        </w:tc>
        <w:tc>
          <w:tcPr>
            <w:tcW w:w="1763" w:type="dxa"/>
            <w:vMerge/>
            <w:vAlign w:val="bottom"/>
          </w:tcPr>
          <w:p w14:paraId="5759BFCB" w14:textId="77777777" w:rsidR="00BE6EE1" w:rsidRPr="003D56F0" w:rsidRDefault="00BE6EE1" w:rsidP="003D56F0">
            <w:pPr>
              <w:rPr>
                <w:sz w:val="18"/>
                <w:szCs w:val="18"/>
                <w:lang w:val="en-US"/>
              </w:rPr>
            </w:pPr>
          </w:p>
        </w:tc>
      </w:tr>
    </w:tbl>
    <w:p w14:paraId="1F9314CC" w14:textId="77777777" w:rsidR="007938AB" w:rsidRDefault="007938AB" w:rsidP="00AD2788"/>
    <w:p w14:paraId="05B58065" w14:textId="110B2249" w:rsidR="000C3E86" w:rsidRPr="00AC2C72" w:rsidRDefault="007938AB">
      <w:r>
        <w:t>T</w:t>
      </w:r>
      <w:r w:rsidR="000C3E86" w:rsidRPr="00AC2C72">
        <w:t xml:space="preserve">his intervention </w:t>
      </w:r>
      <w:r w:rsidR="00031E42" w:rsidRPr="00AC2C72">
        <w:t>would not appear to</w:t>
      </w:r>
      <w:r w:rsidR="000C3E86" w:rsidRPr="00AC2C72">
        <w:t xml:space="preserve"> cost</w:t>
      </w:r>
      <w:r w:rsidR="00031E42" w:rsidRPr="00AC2C72">
        <w:t>-</w:t>
      </w:r>
      <w:r w:rsidR="000C3E86" w:rsidRPr="00AC2C72">
        <w:t xml:space="preserve">effective based on the </w:t>
      </w:r>
      <w:r w:rsidR="00031E42" w:rsidRPr="00AC2C72">
        <w:t xml:space="preserve">subsequent </w:t>
      </w:r>
      <w:r w:rsidR="000C3E86" w:rsidRPr="00AC2C72">
        <w:t xml:space="preserve">change </w:t>
      </w:r>
      <w:r w:rsidR="00C817EB" w:rsidRPr="00AC2C72">
        <w:t xml:space="preserve">in </w:t>
      </w:r>
      <w:r w:rsidR="000C3E86" w:rsidRPr="00AC2C72">
        <w:t>drug</w:t>
      </w:r>
      <w:r w:rsidR="003406BB" w:rsidRPr="00AC2C72">
        <w:t xml:space="preserve"> </w:t>
      </w:r>
      <w:r w:rsidR="000C3E86" w:rsidRPr="00AC2C72">
        <w:t xml:space="preserve">use outcomes. The intervention would </w:t>
      </w:r>
      <w:r w:rsidR="00031E42" w:rsidRPr="00AC2C72">
        <w:t xml:space="preserve">be required </w:t>
      </w:r>
      <w:r w:rsidR="000C3E86" w:rsidRPr="00AC2C72">
        <w:t xml:space="preserve">to cost less than £4 </w:t>
      </w:r>
      <w:r w:rsidR="00031E42" w:rsidRPr="00AC2C72">
        <w:t xml:space="preserve">in order </w:t>
      </w:r>
      <w:r w:rsidR="000C3E86" w:rsidRPr="00AC2C72">
        <w:t>to be cost</w:t>
      </w:r>
      <w:r w:rsidR="00031E42" w:rsidRPr="00AC2C72">
        <w:t>-</w:t>
      </w:r>
      <w:r w:rsidR="000C3E86" w:rsidRPr="00AC2C72">
        <w:t>effective</w:t>
      </w:r>
      <w:r w:rsidR="00031E42" w:rsidRPr="00AC2C72">
        <w:t xml:space="preserve"> </w:t>
      </w:r>
      <w:r w:rsidR="00685C48" w:rsidRPr="00AC2C72">
        <w:t>based on</w:t>
      </w:r>
      <w:r w:rsidR="00031E42" w:rsidRPr="00AC2C72">
        <w:t xml:space="preserve"> </w:t>
      </w:r>
      <w:r w:rsidR="000C3E86" w:rsidRPr="00AC2C72">
        <w:t>a willingness to pay threshold of £20,000/QALY.</w:t>
      </w:r>
      <w:r w:rsidR="00685C48" w:rsidRPr="00AC2C72">
        <w:t xml:space="preserve"> </w:t>
      </w:r>
      <w:r w:rsidR="000C3E86" w:rsidRPr="00AC2C72">
        <w:t xml:space="preserve">This </w:t>
      </w:r>
      <w:r w:rsidR="003406BB" w:rsidRPr="00AC2C72">
        <w:t>is because</w:t>
      </w:r>
      <w:r w:rsidR="000C3E86" w:rsidRPr="00AC2C72">
        <w:t xml:space="preserve"> the intervention only had a very marginal</w:t>
      </w:r>
      <w:r w:rsidR="00685C48" w:rsidRPr="00AC2C72">
        <w:t xml:space="preserve"> </w:t>
      </w:r>
      <w:r w:rsidR="000C3E86" w:rsidRPr="00AC2C72">
        <w:t xml:space="preserve">effect on </w:t>
      </w:r>
      <w:r w:rsidR="00685C48" w:rsidRPr="00AC2C72">
        <w:t xml:space="preserve">overall </w:t>
      </w:r>
      <w:r w:rsidR="000C3E86" w:rsidRPr="00AC2C72">
        <w:t>cannabis use</w:t>
      </w:r>
      <w:r w:rsidR="00685C48" w:rsidRPr="00AC2C72">
        <w:t xml:space="preserve"> in the short-term</w:t>
      </w:r>
      <w:r w:rsidR="000C3E86" w:rsidRPr="00AC2C72">
        <w:t xml:space="preserve">, </w:t>
      </w:r>
      <w:r w:rsidR="003406BB" w:rsidRPr="00AC2C72">
        <w:t>and there is</w:t>
      </w:r>
      <w:r w:rsidR="00685C48" w:rsidRPr="00AC2C72">
        <w:t xml:space="preserve"> a paucity of</w:t>
      </w:r>
      <w:r w:rsidR="000C3E86" w:rsidRPr="00AC2C72">
        <w:t xml:space="preserve"> evidence </w:t>
      </w:r>
      <w:r w:rsidR="00685C48" w:rsidRPr="00AC2C72">
        <w:t>linking cannabis</w:t>
      </w:r>
      <w:r w:rsidR="00B873C3" w:rsidRPr="00AC2C72">
        <w:t xml:space="preserve"> </w:t>
      </w:r>
      <w:r w:rsidR="00685C48" w:rsidRPr="00AC2C72">
        <w:t>use to</w:t>
      </w:r>
      <w:r w:rsidR="000C3E86" w:rsidRPr="00AC2C72">
        <w:t xml:space="preserve"> </w:t>
      </w:r>
      <w:r w:rsidR="000C3E86" w:rsidRPr="001B4E35">
        <w:rPr>
          <w:color w:val="000000" w:themeColor="text1"/>
        </w:rPr>
        <w:t>adverse outcomes</w:t>
      </w:r>
      <w:r w:rsidR="00685C48" w:rsidRPr="001B4E35">
        <w:rPr>
          <w:color w:val="000000" w:themeColor="text1"/>
        </w:rPr>
        <w:t>, with the exception of</w:t>
      </w:r>
      <w:r w:rsidR="000C3E86" w:rsidRPr="001B4E35">
        <w:rPr>
          <w:color w:val="000000" w:themeColor="text1"/>
        </w:rPr>
        <w:t xml:space="preserve"> </w:t>
      </w:r>
      <w:r w:rsidR="003406BB" w:rsidRPr="001B4E35">
        <w:rPr>
          <w:color w:val="000000" w:themeColor="text1"/>
        </w:rPr>
        <w:t xml:space="preserve">a </w:t>
      </w:r>
      <w:r w:rsidR="00685C48" w:rsidRPr="001B4E35">
        <w:rPr>
          <w:color w:val="000000" w:themeColor="text1"/>
        </w:rPr>
        <w:t xml:space="preserve">marginally </w:t>
      </w:r>
      <w:r w:rsidR="000C3E86" w:rsidRPr="001B4E35">
        <w:rPr>
          <w:color w:val="000000" w:themeColor="text1"/>
        </w:rPr>
        <w:t xml:space="preserve">increased risk of psychosis and </w:t>
      </w:r>
      <w:r w:rsidR="00E631DD" w:rsidRPr="001B4E35">
        <w:rPr>
          <w:color w:val="000000" w:themeColor="text1"/>
        </w:rPr>
        <w:t>criminal arrest</w:t>
      </w:r>
      <w:r w:rsidR="000C3E86" w:rsidRPr="001B4E35">
        <w:rPr>
          <w:color w:val="000000" w:themeColor="text1"/>
        </w:rPr>
        <w:t xml:space="preserve">. </w:t>
      </w:r>
      <w:r w:rsidR="00DB0676" w:rsidRPr="001B4E35">
        <w:rPr>
          <w:color w:val="000000" w:themeColor="text1"/>
        </w:rPr>
        <w:t>I</w:t>
      </w:r>
      <w:r w:rsidR="000275B9" w:rsidRPr="001B4E35">
        <w:rPr>
          <w:color w:val="000000" w:themeColor="text1"/>
        </w:rPr>
        <w:t>f a</w:t>
      </w:r>
      <w:r w:rsidR="000C3E86" w:rsidRPr="001B4E35">
        <w:rPr>
          <w:color w:val="000000" w:themeColor="text1"/>
        </w:rPr>
        <w:t>ssum</w:t>
      </w:r>
      <w:r w:rsidR="000275B9" w:rsidRPr="001B4E35">
        <w:rPr>
          <w:color w:val="000000" w:themeColor="text1"/>
        </w:rPr>
        <w:t>ptions around</w:t>
      </w:r>
      <w:r w:rsidR="000C3E86" w:rsidRPr="001B4E35">
        <w:rPr>
          <w:color w:val="000000" w:themeColor="text1"/>
        </w:rPr>
        <w:t xml:space="preserve"> cannabis</w:t>
      </w:r>
      <w:r w:rsidR="00014E75" w:rsidRPr="001B4E35">
        <w:rPr>
          <w:color w:val="000000" w:themeColor="text1"/>
        </w:rPr>
        <w:t xml:space="preserve"> </w:t>
      </w:r>
      <w:r w:rsidR="000C3E86" w:rsidRPr="001B4E35">
        <w:rPr>
          <w:color w:val="000000" w:themeColor="text1"/>
        </w:rPr>
        <w:t xml:space="preserve">use </w:t>
      </w:r>
      <w:r w:rsidR="000275B9" w:rsidRPr="001B4E35">
        <w:rPr>
          <w:color w:val="000000" w:themeColor="text1"/>
        </w:rPr>
        <w:t xml:space="preserve">leading to </w:t>
      </w:r>
      <w:r w:rsidR="000C3E86" w:rsidRPr="001B4E35">
        <w:rPr>
          <w:color w:val="000000" w:themeColor="text1"/>
        </w:rPr>
        <w:t>other more dangerous drug use (“Gateway theory”</w:t>
      </w:r>
      <w:r w:rsidR="00DB0676" w:rsidRPr="001B4E35">
        <w:rPr>
          <w:color w:val="000000" w:themeColor="text1"/>
          <w:vertAlign w:val="superscript"/>
        </w:rPr>
        <w:t>13</w:t>
      </w:r>
      <w:r w:rsidR="000C3E86" w:rsidRPr="001B4E35">
        <w:rPr>
          <w:color w:val="000000" w:themeColor="text1"/>
        </w:rPr>
        <w:t xml:space="preserve">), </w:t>
      </w:r>
      <w:r w:rsidR="000275B9" w:rsidRPr="001B4E35">
        <w:rPr>
          <w:color w:val="000000" w:themeColor="text1"/>
        </w:rPr>
        <w:t xml:space="preserve">or on </w:t>
      </w:r>
      <w:r w:rsidR="000C3E86" w:rsidRPr="001B4E35">
        <w:rPr>
          <w:color w:val="000000" w:themeColor="text1"/>
        </w:rPr>
        <w:t xml:space="preserve">the impact of becoming a tobacco smoker </w:t>
      </w:r>
      <w:r w:rsidR="00DB0676" w:rsidRPr="001B4E35">
        <w:rPr>
          <w:color w:val="000000" w:themeColor="text1"/>
        </w:rPr>
        <w:t>(“</w:t>
      </w:r>
      <w:r w:rsidR="00C348CA" w:rsidRPr="001B4E35">
        <w:rPr>
          <w:color w:val="000000" w:themeColor="text1"/>
        </w:rPr>
        <w:t>reverse gateway</w:t>
      </w:r>
      <w:r w:rsidR="00DB0676" w:rsidRPr="001B4E35">
        <w:rPr>
          <w:color w:val="000000" w:themeColor="text1"/>
        </w:rPr>
        <w:t>”</w:t>
      </w:r>
      <w:r w:rsidR="00674EF7" w:rsidRPr="001B4E35">
        <w:rPr>
          <w:color w:val="000000" w:themeColor="text1"/>
          <w:vertAlign w:val="superscript"/>
        </w:rPr>
        <w:t>14</w:t>
      </w:r>
      <w:r w:rsidR="00C348CA" w:rsidRPr="001B4E35">
        <w:rPr>
          <w:color w:val="000000" w:themeColor="text1"/>
        </w:rPr>
        <w:t xml:space="preserve">) </w:t>
      </w:r>
      <w:r w:rsidR="000275B9" w:rsidRPr="001B4E35">
        <w:rPr>
          <w:color w:val="000000" w:themeColor="text1"/>
        </w:rPr>
        <w:t xml:space="preserve">were </w:t>
      </w:r>
      <w:r w:rsidR="000C3E86" w:rsidRPr="001B4E35">
        <w:rPr>
          <w:color w:val="000000" w:themeColor="text1"/>
        </w:rPr>
        <w:t>included, then this may make the intervention more cost</w:t>
      </w:r>
      <w:r w:rsidR="00014E75" w:rsidRPr="001B4E35">
        <w:rPr>
          <w:color w:val="000000" w:themeColor="text1"/>
        </w:rPr>
        <w:t xml:space="preserve"> </w:t>
      </w:r>
      <w:r w:rsidR="000C3E86" w:rsidRPr="001B4E35">
        <w:rPr>
          <w:color w:val="000000" w:themeColor="text1"/>
        </w:rPr>
        <w:t xml:space="preserve">effective, but no </w:t>
      </w:r>
      <w:r w:rsidR="000275B9" w:rsidRPr="001B4E35">
        <w:rPr>
          <w:color w:val="000000" w:themeColor="text1"/>
        </w:rPr>
        <w:t xml:space="preserve">credible </w:t>
      </w:r>
      <w:r w:rsidR="000C3E86" w:rsidRPr="00AC2C72">
        <w:t xml:space="preserve">evidence was found </w:t>
      </w:r>
      <w:r w:rsidR="000275B9" w:rsidRPr="00AC2C72">
        <w:t xml:space="preserve">to support their inclusion within </w:t>
      </w:r>
      <w:r w:rsidR="000C3E86" w:rsidRPr="00AC2C72">
        <w:t xml:space="preserve">the model. </w:t>
      </w:r>
      <w:r w:rsidR="000275B9" w:rsidRPr="00AC2C72">
        <w:t>Finally, i</w:t>
      </w:r>
      <w:r w:rsidR="000C3E86" w:rsidRPr="00AC2C72">
        <w:t xml:space="preserve">f </w:t>
      </w:r>
      <w:r w:rsidR="000275B9" w:rsidRPr="00AC2C72">
        <w:t xml:space="preserve">the </w:t>
      </w:r>
      <w:r w:rsidR="000C3E86" w:rsidRPr="00AC2C72">
        <w:t xml:space="preserve">intervention could be </w:t>
      </w:r>
      <w:r w:rsidR="00C348CA" w:rsidRPr="00AC2C72">
        <w:t xml:space="preserve">better </w:t>
      </w:r>
      <w:r w:rsidR="000C3E86" w:rsidRPr="00AC2C72">
        <w:t xml:space="preserve">targeted at groups who have a higher chance of using cannabis or </w:t>
      </w:r>
      <w:r w:rsidR="000275B9" w:rsidRPr="00AC2C72">
        <w:t>experiencing</w:t>
      </w:r>
      <w:r w:rsidR="000C3E86" w:rsidRPr="00AC2C72">
        <w:t xml:space="preserve"> adverse outcomes </w:t>
      </w:r>
      <w:r w:rsidR="000275B9" w:rsidRPr="00AC2C72">
        <w:t>resulting from cannabis</w:t>
      </w:r>
      <w:r w:rsidR="003406BB" w:rsidRPr="00AC2C72">
        <w:t xml:space="preserve"> </w:t>
      </w:r>
      <w:r w:rsidR="000275B9" w:rsidRPr="00AC2C72">
        <w:t>use</w:t>
      </w:r>
      <w:r w:rsidR="000C3E86" w:rsidRPr="00AC2C72">
        <w:t>, then th</w:t>
      </w:r>
      <w:r w:rsidR="000275B9" w:rsidRPr="00AC2C72">
        <w:t>ese too</w:t>
      </w:r>
      <w:r w:rsidR="000C3E86" w:rsidRPr="00AC2C72">
        <w:t xml:space="preserve"> would </w:t>
      </w:r>
      <w:r w:rsidR="000275B9" w:rsidRPr="00AC2C72">
        <w:t>be likely to render the intervention more cost</w:t>
      </w:r>
      <w:r w:rsidR="00014E75" w:rsidRPr="00AC2C72">
        <w:t xml:space="preserve"> </w:t>
      </w:r>
      <w:r w:rsidR="000275B9" w:rsidRPr="00AC2C72">
        <w:t>effective.</w:t>
      </w:r>
      <w:r w:rsidR="00D54BF8" w:rsidRPr="00AC2C72">
        <w:t xml:space="preserve"> The intervention may come out as more successful if a broader perspective of outcomes was included, but this analysis has looked only at the outcomes associated with drug use. </w:t>
      </w:r>
    </w:p>
    <w:p w14:paraId="65AE8A9E" w14:textId="77777777" w:rsidR="000C3E86" w:rsidRPr="00AC2C72" w:rsidRDefault="000C3E86" w:rsidP="003D56F0"/>
    <w:p w14:paraId="7408C389" w14:textId="77777777" w:rsidR="00C643B2" w:rsidRDefault="00C643B2">
      <w:pPr>
        <w:pStyle w:val="Heading6"/>
      </w:pPr>
      <w:r w:rsidRPr="00AC2C72">
        <w:t>One-way sensitivity analysis (Tornado diagram)</w:t>
      </w:r>
    </w:p>
    <w:p w14:paraId="22A664DC" w14:textId="77777777" w:rsidR="005006EE" w:rsidRPr="005006EE" w:rsidRDefault="005006EE"/>
    <w:p w14:paraId="0F424D71" w14:textId="5A6A3DE5" w:rsidR="00616632" w:rsidRPr="00AC2C72" w:rsidRDefault="00B65AB7">
      <w:r w:rsidRPr="00AC2C72">
        <w:t>As</w:t>
      </w:r>
      <w:r w:rsidR="000C3E86" w:rsidRPr="00AC2C72">
        <w:t xml:space="preserve"> the intervention is a multi-component intervention, we have varied costs </w:t>
      </w:r>
      <w:r w:rsidR="00494C12">
        <w:t>substantially</w:t>
      </w:r>
      <w:r w:rsidR="00494C12" w:rsidRPr="00AC2C72">
        <w:t xml:space="preserve"> </w:t>
      </w:r>
      <w:r w:rsidR="000C3E86" w:rsidRPr="00AC2C72">
        <w:t>in the sensitivity analysis from 25% to 125% to take into account the fact that the drug-specific elements of the intervention could possibly be isolated and replicated at a lower cost</w:t>
      </w:r>
      <w:r w:rsidR="00940B3D">
        <w:t xml:space="preserve">. </w:t>
      </w:r>
      <w:r w:rsidR="00286093" w:rsidRPr="00AC2C72">
        <w:t>Other input parameters have been varied by +/- 25%</w:t>
      </w:r>
      <w:r w:rsidR="000A3D41">
        <w:t xml:space="preserve"> (see </w:t>
      </w:r>
      <w:r w:rsidR="000A3D41">
        <w:fldChar w:fldCharType="begin"/>
      </w:r>
      <w:r w:rsidR="000A3D41">
        <w:instrText xml:space="preserve"> REF _Ref448418369 \h </w:instrText>
      </w:r>
      <w:r w:rsidR="00940B3D">
        <w:instrText xml:space="preserve"> \* MERGEFORMAT </w:instrText>
      </w:r>
      <w:r w:rsidR="000A3D41">
        <w:fldChar w:fldCharType="separate"/>
      </w:r>
      <w:r w:rsidR="0087365D" w:rsidRPr="00AC2C72">
        <w:t xml:space="preserve">Figure </w:t>
      </w:r>
      <w:r w:rsidR="0087365D">
        <w:rPr>
          <w:noProof/>
        </w:rPr>
        <w:t>6</w:t>
      </w:r>
      <w:r w:rsidR="000A3D41">
        <w:fldChar w:fldCharType="end"/>
      </w:r>
      <w:r w:rsidR="000A3D41">
        <w:t>)</w:t>
      </w:r>
      <w:r w:rsidR="00286093" w:rsidRPr="00AC2C72">
        <w:t xml:space="preserve">. </w:t>
      </w:r>
    </w:p>
    <w:p w14:paraId="46D0BA42" w14:textId="77777777" w:rsidR="00C817EB" w:rsidRPr="00AC2C72" w:rsidRDefault="00C817EB"/>
    <w:p w14:paraId="50865450" w14:textId="6BD47F44" w:rsidR="00C817EB" w:rsidRPr="00AC2C72" w:rsidRDefault="00C817EB">
      <w:r w:rsidRPr="00AC2C72">
        <w:t xml:space="preserve">The </w:t>
      </w:r>
      <w:r w:rsidR="00672289">
        <w:t>biggest driver of the results is the cost of Focus on Families.</w:t>
      </w:r>
      <w:r w:rsidRPr="00AC2C72">
        <w:t xml:space="preserve"> Because of the high cost of the intervention and short duration of effect, even if cannabis use was 100% for the control group, and 0% for the intervention group over 12 months, the net cost per QALY would still be around £55,000 so would not be cost effective.</w:t>
      </w:r>
      <w:r w:rsidR="00093305" w:rsidRPr="00AC2C72">
        <w:t xml:space="preserve"> </w:t>
      </w:r>
    </w:p>
    <w:p w14:paraId="6AD864D2" w14:textId="77777777" w:rsidR="005D1757" w:rsidRDefault="005D1757"/>
    <w:p w14:paraId="123F46E5" w14:textId="52233748" w:rsidR="00834057" w:rsidRDefault="00AC2C72">
      <w:pPr>
        <w:pStyle w:val="Caption"/>
      </w:pPr>
      <w:bookmarkStart w:id="39" w:name="_Ref448418369"/>
      <w:r w:rsidRPr="00AC2C72">
        <w:lastRenderedPageBreak/>
        <w:t xml:space="preserve">Figure </w:t>
      </w:r>
      <w:fldSimple w:instr=" SEQ Figure \* ARABIC ">
        <w:r w:rsidR="0087365D">
          <w:rPr>
            <w:noProof/>
          </w:rPr>
          <w:t>6</w:t>
        </w:r>
      </w:fldSimple>
      <w:bookmarkEnd w:id="39"/>
      <w:r w:rsidRPr="00AC2C72">
        <w:t xml:space="preserve">. Tornado diagram showing </w:t>
      </w:r>
      <w:r w:rsidR="00321F84">
        <w:t>difference</w:t>
      </w:r>
      <w:r w:rsidR="00075E1D">
        <w:t>s</w:t>
      </w:r>
      <w:r w:rsidR="00321F84">
        <w:t xml:space="preserve"> in </w:t>
      </w:r>
      <w:r w:rsidR="00834057">
        <w:t>net monetary benefit (NMB)</w:t>
      </w:r>
      <w:r w:rsidRPr="00AC2C72">
        <w:t xml:space="preserve"> of Focus on Families intervention</w:t>
      </w:r>
      <w:r w:rsidR="00321F84">
        <w:t xml:space="preserve"> with changes in model parameters.</w:t>
      </w:r>
      <w:r w:rsidR="00947F4F">
        <w:t xml:space="preserve"> </w:t>
      </w:r>
      <w:r w:rsidR="00834057">
        <w:t>NMB values each QALY at £20,000</w:t>
      </w:r>
      <w:r w:rsidR="00940B3D">
        <w:t xml:space="preserve">. </w:t>
      </w:r>
    </w:p>
    <w:p w14:paraId="3B80253A" w14:textId="2C0CAE6F" w:rsidR="00343081" w:rsidRPr="00343081" w:rsidRDefault="00343081" w:rsidP="003D56F0">
      <w:r w:rsidRPr="00273F49">
        <w:rPr>
          <w:noProof/>
        </w:rPr>
        <w:drawing>
          <wp:inline distT="0" distB="0" distL="0" distR="0" wp14:anchorId="0FC969B6" wp14:editId="0662DCB4">
            <wp:extent cx="5731510" cy="368109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681095"/>
                    </a:xfrm>
                    <a:prstGeom prst="rect">
                      <a:avLst/>
                    </a:prstGeom>
                  </pic:spPr>
                </pic:pic>
              </a:graphicData>
            </a:graphic>
          </wp:inline>
        </w:drawing>
      </w:r>
    </w:p>
    <w:p w14:paraId="70FAFA71" w14:textId="1B4B8FE6" w:rsidR="00AA3701" w:rsidRDefault="00AA3701"/>
    <w:p w14:paraId="2AD52342" w14:textId="4889D614" w:rsidR="00926755" w:rsidRDefault="00440A0B" w:rsidP="003D56F0">
      <w:pPr>
        <w:pStyle w:val="Heading6"/>
      </w:pPr>
      <w:r>
        <w:t xml:space="preserve">Discussion and </w:t>
      </w:r>
      <w:r w:rsidR="00926755">
        <w:t>Limitations</w:t>
      </w:r>
    </w:p>
    <w:p w14:paraId="5D0FD7C7" w14:textId="77777777" w:rsidR="00926755" w:rsidRPr="003D56F0" w:rsidRDefault="00926755"/>
    <w:p w14:paraId="7D395E84" w14:textId="4BC0BAB7" w:rsidR="00926755" w:rsidRPr="001C12B3" w:rsidRDefault="003C7FE4" w:rsidP="003D56F0">
      <w:pPr>
        <w:rPr>
          <w:b/>
        </w:rPr>
      </w:pPr>
      <w:r w:rsidRPr="003D56F0">
        <w:t>P</w:t>
      </w:r>
      <w:r w:rsidR="00926755" w:rsidRPr="003C7FE4">
        <w:t>sychosis cases and arrests associated with cannabis use are likely to happen later in an individual’s lifetime, but for this model we are assuming a cross-sectional effect. Another limitation is that the literature is still not unanimous about the evidence for a causal link between cannabis use and psychosis.</w:t>
      </w:r>
    </w:p>
    <w:p w14:paraId="0ADC48E9" w14:textId="43D5D42B" w:rsidR="007E11ED" w:rsidRPr="00D21C25" w:rsidRDefault="00301C45" w:rsidP="00CC7EC2">
      <w:pPr>
        <w:pStyle w:val="Heading3"/>
        <w:rPr>
          <w:lang w:val="en-US"/>
        </w:rPr>
      </w:pPr>
      <w:bookmarkStart w:id="40" w:name="_Toc452035641"/>
      <w:r w:rsidRPr="00D21C25">
        <w:t>5.</w:t>
      </w:r>
      <w:r w:rsidR="00BC40A3" w:rsidRPr="00D21C25">
        <w:t>1.2</w:t>
      </w:r>
      <w:r w:rsidRPr="00D21C25">
        <w:t xml:space="preserve"> </w:t>
      </w:r>
      <w:r w:rsidR="00BC40A3" w:rsidRPr="00D21C25">
        <w:t xml:space="preserve">Model </w:t>
      </w:r>
      <w:r w:rsidR="00BE6EE1">
        <w:t>of</w:t>
      </w:r>
      <w:r w:rsidR="00AC2C72">
        <w:t xml:space="preserve"> </w:t>
      </w:r>
      <w:r w:rsidR="00831EF1" w:rsidRPr="00D21C25">
        <w:rPr>
          <w:lang w:val="en-US"/>
        </w:rPr>
        <w:t>Web-Based Personalized Feedback</w:t>
      </w:r>
      <w:r w:rsidR="007E11ED" w:rsidRPr="00D21C25">
        <w:rPr>
          <w:lang w:val="en-US"/>
        </w:rPr>
        <w:t xml:space="preserve"> </w:t>
      </w:r>
      <w:r w:rsidR="00BC40A3" w:rsidRPr="00D21C25">
        <w:rPr>
          <w:lang w:val="en-US"/>
        </w:rPr>
        <w:t>based on Lee et al. (2010)</w:t>
      </w:r>
      <w:bookmarkEnd w:id="40"/>
    </w:p>
    <w:p w14:paraId="07562DB5" w14:textId="77777777" w:rsidR="00AC2C72" w:rsidRDefault="00AC2C72" w:rsidP="00AD2788">
      <w:pPr>
        <w:rPr>
          <w:lang w:val="en-US"/>
        </w:rPr>
      </w:pPr>
    </w:p>
    <w:p w14:paraId="000D73ED" w14:textId="67A371F4" w:rsidR="00AB3D8A" w:rsidRDefault="00AB3D8A" w:rsidP="003D56F0">
      <w:pPr>
        <w:pStyle w:val="Heading6"/>
        <w:rPr>
          <w:lang w:val="en-US"/>
        </w:rPr>
      </w:pPr>
      <w:r>
        <w:rPr>
          <w:lang w:val="en-US"/>
        </w:rPr>
        <w:t>Study</w:t>
      </w:r>
    </w:p>
    <w:p w14:paraId="1F24F3A3" w14:textId="77777777" w:rsidR="00AB3D8A" w:rsidRPr="00766E0F" w:rsidRDefault="00AB3D8A">
      <w:pPr>
        <w:rPr>
          <w:lang w:val="en-US"/>
        </w:rPr>
      </w:pPr>
    </w:p>
    <w:p w14:paraId="6AE8FC36" w14:textId="126521FC" w:rsidR="007E11ED" w:rsidRPr="00AC2C72" w:rsidRDefault="007E11ED">
      <w:pPr>
        <w:rPr>
          <w:b/>
        </w:rPr>
      </w:pPr>
      <w:r w:rsidRPr="00AC2C72">
        <w:t xml:space="preserve">This decision analytic model was informed by results from </w:t>
      </w:r>
      <w:r w:rsidRPr="00AC2C72">
        <w:rPr>
          <w:lang w:val="en-US"/>
        </w:rPr>
        <w:t>Lee, et al (2010)</w:t>
      </w:r>
      <w:r w:rsidRPr="00AC2C72">
        <w:rPr>
          <w:b/>
          <w:lang w:val="en-US"/>
        </w:rPr>
        <w:t xml:space="preserve"> </w:t>
      </w:r>
      <w:r w:rsidRPr="00AC2C72">
        <w:rPr>
          <w:lang w:val="en-US"/>
        </w:rPr>
        <w:t>“a brief, web-based personalized feedback selective intervention for college student marijuana use: a randomized clinical trial</w:t>
      </w:r>
      <w:r w:rsidR="00917E8A">
        <w:rPr>
          <w:lang w:val="en-US"/>
        </w:rPr>
        <w:t>.</w:t>
      </w:r>
      <w:r w:rsidRPr="00AC2C72">
        <w:rPr>
          <w:lang w:val="en-US"/>
        </w:rPr>
        <w:t>”</w:t>
      </w:r>
      <w:r w:rsidR="00917E8A" w:rsidRPr="00AC2C72">
        <w:rPr>
          <w:b/>
        </w:rPr>
        <w:t xml:space="preserve"> </w:t>
      </w:r>
    </w:p>
    <w:p w14:paraId="072089E6" w14:textId="77777777" w:rsidR="007E11ED" w:rsidRPr="00AC2C72" w:rsidRDefault="007E11ED"/>
    <w:p w14:paraId="0656EDC9" w14:textId="653EB31A" w:rsidR="007E11ED" w:rsidRDefault="007E11ED">
      <w:r w:rsidRPr="00AC2C72">
        <w:t xml:space="preserve">This intervention is a web-based personalised feedback intervention based on brief motivational interviewing techniques. Results from </w:t>
      </w:r>
      <w:r w:rsidR="00917E8A">
        <w:fldChar w:fldCharType="begin" w:fldLock="1"/>
      </w:r>
      <w:r w:rsidR="00136A40">
        <w:instrText>ADDIN CSL_CITATION { "citationItems" : [ { "id" : "ITEM-1", "itemData" : { "DOI" : "10.1037/a0018859", "ISBN" : "0893-164X", "ISSN" : "1939-1501", "PMID" : "20565152", "abstract" : "Despite clear need, brief web-based interventions for marijuana-using college students have not been evaluated in the literature. The current study was designed to evaluate a brief, web-based personalized feedback intervention for at-risk marijuana users transitioning to college. All entering first-year students were invited to complete a brief questionnaire. Participants meeting criteria completed a baseline assessment (N = 341) and were randomly assigned to web-based personalized feedback or assessment-only control conditions. Participants completed 3-month (95.0%) and 6-month (94.4%) follow-up assessments. Results indicated that although there was no overall intervention effect, moderator analyses found promising effects for those with a family history of drug problems and, to a smaller extent, students who were higher in contemplation of changing marijuana use at baseline. Implications of these findings for selective intervention of college marijuana use and web-based interventions in general are discussed.", "author" : [ { "dropping-particle" : "", "family" : "Lee", "given" : "Christine M", "non-dropping-particle" : "", "parse-names" : false, "suffix" : "" }, { "dropping-particle" : "", "family" : "Neighbors", "given" : "Clayton", "non-dropping-particle" : "", "parse-names" : false, "suffix" : "" }, { "dropping-particle" : "", "family" : "Kilmer", "given" : "Jason R", "non-dropping-particle" : "", "parse-names" : false, "suffix" : "" }, { "dropping-particle" : "", "family" : "Larimer", "given" : "Mary E", "non-dropping-particle" : "", "parse-names" : false, "suffix" : "" } ], "container-title" : "Psychology of addictive behaviors : journal of the Society of Psychologists in Addictive Behaviors", "id" : "ITEM-1", "issue" : "2", "issued" : { "date-parts" : [ [ "2010" ] ] }, "page" : "265-73", "title" : "A brief, web-based personalized feedback selective intervention for college student marijuana use: a randomized clinical trial.", "type" : "article-journal", "volume" : "24" }, "uris" : [ "http://www.mendeley.com/documents/?uuid=383e5b17-8f39-4110-8a9e-0045e5b158fa" ] } ], "mendeley" : { "formattedCitation" : "(Lee et al. 2010)", "manualFormatting" : "Lee et al. (2010)", "plainTextFormattedCitation" : "(Lee et al. 2010)", "previouslyFormattedCitation" : "(Lee et al. 2010)" }, "properties" : { "noteIndex" : 0 }, "schema" : "https://github.com/citation-style-language/schema/raw/master/csl-citation.json" }</w:instrText>
      </w:r>
      <w:r w:rsidR="00917E8A">
        <w:fldChar w:fldCharType="separate"/>
      </w:r>
      <w:r w:rsidR="00917E8A" w:rsidRPr="00917E8A">
        <w:rPr>
          <w:noProof/>
        </w:rPr>
        <w:t xml:space="preserve">Lee et al. </w:t>
      </w:r>
      <w:r w:rsidR="00917E8A">
        <w:rPr>
          <w:noProof/>
        </w:rPr>
        <w:t>(</w:t>
      </w:r>
      <w:r w:rsidR="00917E8A" w:rsidRPr="00917E8A">
        <w:rPr>
          <w:noProof/>
        </w:rPr>
        <w:t>2010)</w:t>
      </w:r>
      <w:r w:rsidR="00917E8A">
        <w:fldChar w:fldCharType="end"/>
      </w:r>
      <w:r w:rsidRPr="00AC2C72">
        <w:t xml:space="preserve"> indicate that although there was no overall intervention effect, subgroup analysis found promising effects for those with a family history of drug problems. The findings imply selective targeting of the intervention which was applied in the model. Group 10 is the target </w:t>
      </w:r>
      <w:r w:rsidRPr="00AC2C72">
        <w:lastRenderedPageBreak/>
        <w:t xml:space="preserve">population for this intervention who are identified as people who are known to use drugs occasionally/recreationally. </w:t>
      </w:r>
    </w:p>
    <w:p w14:paraId="1C7BB367" w14:textId="77777777" w:rsidR="000505C6" w:rsidRDefault="000505C6"/>
    <w:p w14:paraId="40B62BE2" w14:textId="346E47FB" w:rsidR="000505C6" w:rsidRDefault="000505C6" w:rsidP="003D56F0">
      <w:pPr>
        <w:pStyle w:val="Heading6"/>
      </w:pPr>
      <w:r w:rsidRPr="003D56F0">
        <w:t>Population</w:t>
      </w:r>
    </w:p>
    <w:p w14:paraId="45DF86CA" w14:textId="77777777" w:rsidR="0001013B" w:rsidRDefault="0001013B"/>
    <w:p w14:paraId="2B42CF2C" w14:textId="7C92111C" w:rsidR="0001013B" w:rsidRPr="004D24F1" w:rsidRDefault="00273F49" w:rsidP="00273F49">
      <w:r>
        <w:t>D</w:t>
      </w:r>
      <w:r w:rsidRPr="00AC2C72">
        <w:t xml:space="preserve">ata </w:t>
      </w:r>
      <w:r>
        <w:t>for t</w:t>
      </w:r>
      <w:r w:rsidRPr="00AC2C72">
        <w:t xml:space="preserve">he proportion of </w:t>
      </w:r>
      <w:r>
        <w:t>17-19 years old that use cannabis are obtained from CSEW 2014-2015. The intervention is modelled for the population of 65,557 17-19 year olds cannabis users that have a family history of drug problem.</w:t>
      </w:r>
    </w:p>
    <w:p w14:paraId="2CB9F727" w14:textId="77777777" w:rsidR="000505C6" w:rsidRPr="000505C6" w:rsidRDefault="000505C6"/>
    <w:p w14:paraId="1C62D57F" w14:textId="6AB0ABB2" w:rsidR="00C3139B" w:rsidRPr="00AC2C72" w:rsidRDefault="00AB3D8A" w:rsidP="003D56F0">
      <w:pPr>
        <w:pStyle w:val="Heading6"/>
      </w:pPr>
      <w:r>
        <w:t>D</w:t>
      </w:r>
      <w:r w:rsidR="007E11ED" w:rsidRPr="00AC2C72">
        <w:t>ecision tree</w:t>
      </w:r>
    </w:p>
    <w:p w14:paraId="46084029" w14:textId="03559634" w:rsidR="007E11ED" w:rsidRPr="00BF222A" w:rsidRDefault="007E11ED">
      <w:r w:rsidRPr="00AC2C72">
        <w:t>The simple tree</w:t>
      </w:r>
      <w:r w:rsidR="000A3D41">
        <w:t xml:space="preserve">, </w:t>
      </w:r>
      <w:r w:rsidR="000A3D41">
        <w:fldChar w:fldCharType="begin"/>
      </w:r>
      <w:r w:rsidR="000A3D41">
        <w:instrText xml:space="preserve"> REF _Ref448418405 \h </w:instrText>
      </w:r>
      <w:r w:rsidR="00940B3D">
        <w:instrText xml:space="preserve"> \* MERGEFORMAT </w:instrText>
      </w:r>
      <w:r w:rsidR="000A3D41">
        <w:fldChar w:fldCharType="separate"/>
      </w:r>
      <w:r w:rsidR="0087365D">
        <w:t xml:space="preserve">Figure </w:t>
      </w:r>
      <w:r w:rsidR="0087365D">
        <w:rPr>
          <w:noProof/>
        </w:rPr>
        <w:t>7</w:t>
      </w:r>
      <w:r w:rsidR="000A3D41">
        <w:fldChar w:fldCharType="end"/>
      </w:r>
      <w:r w:rsidRPr="00AC2C72">
        <w:t xml:space="preserve"> describes the individual pathway with the web-based personalised feedback intervention. There are two arms in the model, those who receive the web-based personalised feedback intervention and those who do not. </w:t>
      </w:r>
      <w:r w:rsidRPr="00BF222A">
        <w:t>Those in the web-based personalised feedback intervention arm, have differing probabilities of using cannabis versus those in the control arm for the first 6 months (</w:t>
      </w:r>
      <w:r w:rsidR="00B80432" w:rsidRPr="00BF222A">
        <w:t>base case</w:t>
      </w:r>
      <w:r w:rsidRPr="00BF222A">
        <w:t>) and 18 months (scenario). Beyond 6 months (</w:t>
      </w:r>
      <w:r w:rsidR="00B80432" w:rsidRPr="00BF222A">
        <w:t>base case</w:t>
      </w:r>
      <w:r w:rsidRPr="00BF222A">
        <w:t xml:space="preserve">) and 18 months (scenario) of the study, each individual in the intervention or control cohorts have the same probability of using cannabis in the future. </w:t>
      </w:r>
      <w:r w:rsidR="00494C12" w:rsidRPr="00BF222A">
        <w:t>W</w:t>
      </w:r>
      <w:r w:rsidRPr="00BF222A">
        <w:t>e have not discounted future values (costs and benefits) as the web-based personalised feedback intervention only has an effect over a 6 months (</w:t>
      </w:r>
      <w:r w:rsidR="00B80432" w:rsidRPr="00BF222A">
        <w:t>base case</w:t>
      </w:r>
      <w:r w:rsidRPr="00BF222A">
        <w:t xml:space="preserve">) and 18 months (scenario) period. </w:t>
      </w:r>
    </w:p>
    <w:p w14:paraId="4FAC5252" w14:textId="5F976839" w:rsidR="007E11ED" w:rsidRPr="00BF222A" w:rsidRDefault="007E11ED">
      <w:pPr>
        <w:rPr>
          <w:noProof/>
          <w:lang w:val="en-US"/>
        </w:rPr>
      </w:pPr>
    </w:p>
    <w:p w14:paraId="363E7322" w14:textId="77777777" w:rsidR="000F1410" w:rsidRDefault="00926755">
      <w:r w:rsidRPr="00BF222A">
        <w:t xml:space="preserve">The outcomes were reported by </w:t>
      </w:r>
      <w:r w:rsidRPr="00BF222A">
        <w:fldChar w:fldCharType="begin" w:fldLock="1"/>
      </w:r>
      <w:r w:rsidRPr="00BF222A">
        <w:instrText>ADDIN CSL_CITATION { "citationItems" : [ { "id" : "ITEM-1", "itemData" : { "DOI" : "10.1037/a0018859", "ISBN" : "0893-164X", "ISSN" : "1939-1501", "PMID" : "20565152", "abstract" : "Despite clear need, brief web-based interventions for marijuana-using college students have not been evaluated in the literature. The current study was designed to evaluate a brief, web-based personalized feedback intervention for at-risk marijuana users transitioning to college. All entering first-year students were invited to complete a brief questionnaire. Participants meeting criteria completed a baseline assessment (N = 341) and were randomly assigned to web-based personalized feedback or assessment-only control conditions. Participants completed 3-month (95.0%) and 6-month (94.4%) follow-up assessments. Results indicated that although there was no overall intervention effect, moderator analyses found promising effects for those with a family history of drug problems and, to a smaller extent, students who were higher in contemplation of changing marijuana use at baseline. Implications of these findings for selective intervention of college marijuana use and web-based interventions in general are discussed.", "author" : [ { "dropping-particle" : "", "family" : "Lee", "given" : "Christine M", "non-dropping-particle" : "", "parse-names" : false, "suffix" : "" }, { "dropping-particle" : "", "family" : "Neighbors", "given" : "Clayton", "non-dropping-particle" : "", "parse-names" : false, "suffix" : "" }, { "dropping-particle" : "", "family" : "Kilmer", "given" : "Jason R", "non-dropping-particle" : "", "parse-names" : false, "suffix" : "" }, { "dropping-particle" : "", "family" : "Larimer", "given" : "Mary E", "non-dropping-particle" : "", "parse-names" : false, "suffix" : "" } ], "container-title" : "Psychology of addictive behaviors : journal of the Society of Psychologists in Addictive Behaviors", "id" : "ITEM-1", "issue" : "2", "issued" : { "date-parts" : [ [ "2010" ] ] }, "page" : "265-73", "title" : "A brief, web-based personalized feedback selective intervention for college student marijuana use: a randomized clinical trial.", "type" : "article-journal", "volume" : "24" }, "uris" : [ "http://www.mendeley.com/documents/?uuid=383e5b17-8f39-4110-8a9e-0045e5b158fa" ] } ], "mendeley" : { "formattedCitation" : "(Lee et al. 2010)", "manualFormatting" : "Lee et al. (2010)", "plainTextFormattedCitation" : "(Lee et al. 2010)", "previouslyFormattedCitation" : "(Lee et al. 2010)" }, "properties" : { "noteIndex" : 0 }, "schema" : "https://github.com/citation-style-language/schema/raw/master/csl-citation.json" }</w:instrText>
      </w:r>
      <w:r w:rsidRPr="00BF222A">
        <w:fldChar w:fldCharType="separate"/>
      </w:r>
      <w:r w:rsidRPr="00BF222A">
        <w:rPr>
          <w:noProof/>
        </w:rPr>
        <w:t>Lee et al. (2010)</w:t>
      </w:r>
      <w:r w:rsidRPr="00BF222A">
        <w:fldChar w:fldCharType="end"/>
      </w:r>
      <w:r w:rsidRPr="00BF222A">
        <w:t xml:space="preserve"> as average frequency of cannabis use in the last 3 months. However, differences in costs and outcomes in our model are based on a binary outcome, cannabis use or not. Therefore, in the model we reduce cannabis use by 37% in 2 subgroups only. The first subgroup reports use of cannabis once a month and the second subgroup reports use once every couple of months. We calculated that a 37% reduction of both subgroup populations would achieve abstinence. In extrapolation of the model costs and outcomes, the impact of the intervention was assumed to lead to temporary abstinence over 12 and 24 months.</w:t>
      </w:r>
      <w:r w:rsidR="0001013B">
        <w:t xml:space="preserve"> </w:t>
      </w:r>
    </w:p>
    <w:p w14:paraId="175516EB" w14:textId="77777777" w:rsidR="000F1410" w:rsidRDefault="000F1410"/>
    <w:p w14:paraId="5355FB00" w14:textId="14D3AB08" w:rsidR="00926755" w:rsidRPr="00AC2C72" w:rsidRDefault="0001013B">
      <w:r>
        <w:t xml:space="preserve">Under the base case scenario, drug use reduced to the six months level reported in the study </w:t>
      </w:r>
      <w:r w:rsidR="000F1410">
        <w:t xml:space="preserve">and </w:t>
      </w:r>
      <w:r>
        <w:t>then rebounded back to baseline over the next si</w:t>
      </w:r>
      <w:r w:rsidR="00573453">
        <w:t>x</w:t>
      </w:r>
      <w:r w:rsidR="006B169C">
        <w:t xml:space="preserve"> months. Under </w:t>
      </w:r>
      <w:r>
        <w:t xml:space="preserve">the two year scenario, drug use reduced over six months, </w:t>
      </w:r>
      <w:r w:rsidR="000F1410">
        <w:t>and then</w:t>
      </w:r>
      <w:r>
        <w:t xml:space="preserve"> rebounded back to baseline over the next 18 months. Thus the cost effectiveness was greater in the two year scenario where a reduction in drug use was maintained over a longer period of time. </w:t>
      </w:r>
    </w:p>
    <w:p w14:paraId="6556F085" w14:textId="77777777" w:rsidR="00926755" w:rsidRPr="00AC2C72" w:rsidRDefault="00926755">
      <w:pPr>
        <w:rPr>
          <w:noProof/>
          <w:lang w:val="en-US"/>
        </w:rPr>
      </w:pPr>
    </w:p>
    <w:p w14:paraId="46DDAC4F" w14:textId="60007588" w:rsidR="00AC2C72" w:rsidRDefault="00AC2C72">
      <w:pPr>
        <w:pStyle w:val="Caption"/>
      </w:pPr>
      <w:bookmarkStart w:id="41" w:name="_Ref448418405"/>
      <w:r>
        <w:lastRenderedPageBreak/>
        <w:t xml:space="preserve">Figure </w:t>
      </w:r>
      <w:fldSimple w:instr=" SEQ Figure \* ARABIC ">
        <w:r w:rsidR="0087365D">
          <w:rPr>
            <w:noProof/>
          </w:rPr>
          <w:t>7</w:t>
        </w:r>
      </w:fldSimple>
      <w:bookmarkEnd w:id="41"/>
      <w:r>
        <w:t xml:space="preserve">. Decision Tree for model based on </w:t>
      </w:r>
      <w:r w:rsidRPr="00491C94">
        <w:rPr>
          <w:lang w:val="en-US"/>
        </w:rPr>
        <w:t>Web-Based Personalized Feedback</w:t>
      </w:r>
      <w:r>
        <w:rPr>
          <w:lang w:val="en-US"/>
        </w:rPr>
        <w:t xml:space="preserve"> intervention.</w:t>
      </w:r>
    </w:p>
    <w:p w14:paraId="5037EF7E" w14:textId="1675EDD2" w:rsidR="00C3139B" w:rsidRPr="00AC2C72" w:rsidRDefault="00C3139B">
      <w:pPr>
        <w:rPr>
          <w:lang w:val="en-US"/>
        </w:rPr>
      </w:pPr>
      <w:r w:rsidRPr="00AC2C72">
        <w:rPr>
          <w:noProof/>
        </w:rPr>
        <w:drawing>
          <wp:inline distT="0" distB="0" distL="0" distR="0" wp14:anchorId="4AB38265" wp14:editId="7B71EF50">
            <wp:extent cx="4410075" cy="3002604"/>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10075" cy="3002604"/>
                    </a:xfrm>
                    <a:prstGeom prst="rect">
                      <a:avLst/>
                    </a:prstGeom>
                    <a:noFill/>
                    <a:ln>
                      <a:noFill/>
                    </a:ln>
                  </pic:spPr>
                </pic:pic>
              </a:graphicData>
            </a:graphic>
          </wp:inline>
        </w:drawing>
      </w:r>
    </w:p>
    <w:p w14:paraId="2AA6EA82" w14:textId="77777777" w:rsidR="007E11ED" w:rsidRPr="00AC2C72" w:rsidRDefault="007E11ED"/>
    <w:p w14:paraId="0AFCC119" w14:textId="77777777" w:rsidR="00D20595" w:rsidRDefault="00D20595" w:rsidP="003D56F0">
      <w:pPr>
        <w:pStyle w:val="Heading6"/>
      </w:pPr>
      <w:r>
        <w:t>Results</w:t>
      </w:r>
    </w:p>
    <w:p w14:paraId="2ABE701A" w14:textId="77777777" w:rsidR="00D20595" w:rsidRDefault="00D20595"/>
    <w:p w14:paraId="6DE49933" w14:textId="70A11C13" w:rsidR="00D20595" w:rsidRPr="003D56F0" w:rsidRDefault="00D20595">
      <w:pPr>
        <w:rPr>
          <w:sz w:val="18"/>
          <w:szCs w:val="18"/>
          <w:lang w:val="en-US"/>
        </w:rPr>
      </w:pPr>
      <w:r w:rsidRPr="003D56F0">
        <w:rPr>
          <w:sz w:val="18"/>
          <w:szCs w:val="18"/>
          <w:lang w:val="en-US"/>
        </w:rPr>
        <w:t>Base Case Scenario</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AC1AF3" w:rsidRPr="003D56F0" w14:paraId="23E8A0D2" w14:textId="77777777" w:rsidTr="00AC1AF3">
        <w:tc>
          <w:tcPr>
            <w:tcW w:w="1540" w:type="dxa"/>
          </w:tcPr>
          <w:p w14:paraId="5A59E0D7" w14:textId="77777777" w:rsidR="00AC1AF3" w:rsidRPr="003D56F0" w:rsidRDefault="00AC1AF3" w:rsidP="00627432">
            <w:pPr>
              <w:rPr>
                <w:sz w:val="18"/>
                <w:szCs w:val="18"/>
                <w:lang w:val="en-US"/>
              </w:rPr>
            </w:pPr>
          </w:p>
        </w:tc>
        <w:tc>
          <w:tcPr>
            <w:tcW w:w="1540" w:type="dxa"/>
          </w:tcPr>
          <w:p w14:paraId="45136DD3" w14:textId="77777777" w:rsidR="00AC1AF3" w:rsidRPr="003D56F0" w:rsidRDefault="00AC1AF3" w:rsidP="000B4925">
            <w:pPr>
              <w:rPr>
                <w:sz w:val="18"/>
                <w:szCs w:val="18"/>
              </w:rPr>
            </w:pPr>
            <w:r w:rsidRPr="003D56F0">
              <w:rPr>
                <w:sz w:val="18"/>
                <w:szCs w:val="18"/>
                <w:lang w:val="en-US"/>
              </w:rPr>
              <w:br/>
            </w:r>
            <w:r w:rsidRPr="003D56F0">
              <w:rPr>
                <w:rStyle w:val="Strong"/>
                <w:color w:val="000000"/>
                <w:sz w:val="18"/>
                <w:szCs w:val="18"/>
              </w:rPr>
              <w:t>Total costs (£)</w:t>
            </w:r>
          </w:p>
          <w:p w14:paraId="156909B4" w14:textId="77777777" w:rsidR="00AC1AF3" w:rsidRPr="003D56F0" w:rsidRDefault="00AC1AF3" w:rsidP="003D56F0">
            <w:pPr>
              <w:rPr>
                <w:sz w:val="18"/>
                <w:szCs w:val="18"/>
                <w:lang w:val="en-US"/>
              </w:rPr>
            </w:pPr>
          </w:p>
        </w:tc>
        <w:tc>
          <w:tcPr>
            <w:tcW w:w="1540" w:type="dxa"/>
          </w:tcPr>
          <w:p w14:paraId="79A5EDE4" w14:textId="77777777" w:rsidR="00AC1AF3" w:rsidRPr="003D56F0" w:rsidRDefault="00AC1AF3" w:rsidP="003D56F0">
            <w:pPr>
              <w:rPr>
                <w:sz w:val="18"/>
                <w:szCs w:val="18"/>
              </w:rPr>
            </w:pPr>
            <w:r w:rsidRPr="003D56F0">
              <w:rPr>
                <w:sz w:val="18"/>
                <w:szCs w:val="18"/>
              </w:rPr>
              <w:br/>
            </w:r>
            <w:r w:rsidRPr="003D56F0">
              <w:rPr>
                <w:rStyle w:val="Strong"/>
                <w:color w:val="000000"/>
                <w:sz w:val="18"/>
                <w:szCs w:val="18"/>
              </w:rPr>
              <w:t>Total QALYs lost</w:t>
            </w:r>
          </w:p>
          <w:p w14:paraId="6DA44A2C" w14:textId="77777777" w:rsidR="00AC1AF3" w:rsidRPr="003D56F0" w:rsidRDefault="00AC1AF3" w:rsidP="003D56F0">
            <w:pPr>
              <w:rPr>
                <w:sz w:val="18"/>
                <w:szCs w:val="18"/>
                <w:lang w:val="en-US"/>
              </w:rPr>
            </w:pPr>
          </w:p>
        </w:tc>
        <w:tc>
          <w:tcPr>
            <w:tcW w:w="1540" w:type="dxa"/>
          </w:tcPr>
          <w:p w14:paraId="52BE6E0C" w14:textId="77777777" w:rsidR="00AC1AF3" w:rsidRPr="003D56F0" w:rsidRDefault="00AC1AF3" w:rsidP="003D56F0">
            <w:pPr>
              <w:rPr>
                <w:rStyle w:val="Strong"/>
                <w:color w:val="000000"/>
                <w:sz w:val="18"/>
                <w:szCs w:val="18"/>
                <w:shd w:val="clear" w:color="auto" w:fill="FFFFFF"/>
              </w:rPr>
            </w:pPr>
          </w:p>
          <w:p w14:paraId="6E90AA22" w14:textId="77777777" w:rsidR="00AC1AF3" w:rsidRPr="003D56F0" w:rsidRDefault="00AC1AF3" w:rsidP="003D56F0">
            <w:pPr>
              <w:rPr>
                <w:rFonts w:eastAsia="Times New Roman"/>
                <w:sz w:val="18"/>
                <w:szCs w:val="18"/>
                <w:lang w:val="en-US"/>
              </w:rPr>
            </w:pPr>
            <w:r w:rsidRPr="003D56F0">
              <w:rPr>
                <w:rStyle w:val="Strong"/>
                <w:color w:val="000000"/>
                <w:sz w:val="18"/>
                <w:szCs w:val="18"/>
                <w:shd w:val="clear" w:color="auto" w:fill="FFFFFF"/>
              </w:rPr>
              <w:t>Incremental costs (£)</w:t>
            </w:r>
          </w:p>
        </w:tc>
        <w:tc>
          <w:tcPr>
            <w:tcW w:w="1541" w:type="dxa"/>
          </w:tcPr>
          <w:p w14:paraId="3EDBCA25" w14:textId="77777777" w:rsidR="00AC1AF3" w:rsidRPr="003D56F0" w:rsidRDefault="00AC1AF3" w:rsidP="003D56F0">
            <w:pPr>
              <w:rPr>
                <w:sz w:val="18"/>
                <w:szCs w:val="18"/>
              </w:rPr>
            </w:pPr>
            <w:r w:rsidRPr="003D56F0">
              <w:rPr>
                <w:sz w:val="18"/>
                <w:szCs w:val="18"/>
              </w:rPr>
              <w:br/>
            </w:r>
            <w:r w:rsidRPr="003D56F0">
              <w:rPr>
                <w:rStyle w:val="Strong"/>
                <w:color w:val="000000"/>
                <w:sz w:val="18"/>
                <w:szCs w:val="18"/>
              </w:rPr>
              <w:t>Incremental QALYs</w:t>
            </w:r>
          </w:p>
          <w:p w14:paraId="10E6C795" w14:textId="77777777" w:rsidR="00AC1AF3" w:rsidRPr="003D56F0" w:rsidRDefault="00AC1AF3" w:rsidP="003D56F0">
            <w:pPr>
              <w:rPr>
                <w:sz w:val="18"/>
                <w:szCs w:val="18"/>
                <w:lang w:val="en-US"/>
              </w:rPr>
            </w:pPr>
          </w:p>
        </w:tc>
        <w:tc>
          <w:tcPr>
            <w:tcW w:w="1541" w:type="dxa"/>
          </w:tcPr>
          <w:p w14:paraId="00836651" w14:textId="77777777" w:rsidR="00AC1AF3" w:rsidRPr="003D56F0" w:rsidRDefault="00AC1AF3" w:rsidP="003D56F0">
            <w:pPr>
              <w:rPr>
                <w:rStyle w:val="Strong"/>
                <w:color w:val="000000"/>
                <w:sz w:val="18"/>
                <w:szCs w:val="18"/>
                <w:shd w:val="clear" w:color="auto" w:fill="FFFFFF"/>
              </w:rPr>
            </w:pPr>
          </w:p>
          <w:p w14:paraId="4BF8D3F8" w14:textId="77777777" w:rsidR="00AC1AF3" w:rsidRPr="003D56F0" w:rsidRDefault="00AC1AF3" w:rsidP="003D56F0">
            <w:pPr>
              <w:rPr>
                <w:rFonts w:eastAsia="Times New Roman"/>
                <w:sz w:val="18"/>
                <w:szCs w:val="18"/>
                <w:lang w:val="en-US"/>
              </w:rPr>
            </w:pPr>
            <w:r w:rsidRPr="003D56F0">
              <w:rPr>
                <w:rStyle w:val="Strong"/>
                <w:color w:val="000000"/>
                <w:sz w:val="18"/>
                <w:szCs w:val="18"/>
                <w:shd w:val="clear" w:color="auto" w:fill="FFFFFF"/>
              </w:rPr>
              <w:t>ICER (£) (QALYs)</w:t>
            </w:r>
          </w:p>
        </w:tc>
      </w:tr>
      <w:tr w:rsidR="00AC1AF3" w:rsidRPr="003D56F0" w14:paraId="1CB81F5F" w14:textId="77777777" w:rsidTr="003D56F0">
        <w:tc>
          <w:tcPr>
            <w:tcW w:w="1540" w:type="dxa"/>
          </w:tcPr>
          <w:p w14:paraId="5B9C2A80" w14:textId="2F52F4B9" w:rsidR="00AC1AF3" w:rsidRPr="003D56F0" w:rsidRDefault="00AC1AF3" w:rsidP="00AD2788">
            <w:pPr>
              <w:rPr>
                <w:sz w:val="18"/>
                <w:szCs w:val="18"/>
                <w:lang w:val="en-US"/>
              </w:rPr>
            </w:pPr>
            <w:r w:rsidRPr="003D56F0">
              <w:rPr>
                <w:sz w:val="18"/>
                <w:szCs w:val="18"/>
                <w:lang w:val="en-US"/>
              </w:rPr>
              <w:t>Intervention</w:t>
            </w:r>
          </w:p>
        </w:tc>
        <w:tc>
          <w:tcPr>
            <w:tcW w:w="1540" w:type="dxa"/>
            <w:vAlign w:val="bottom"/>
          </w:tcPr>
          <w:p w14:paraId="45386107" w14:textId="1C833A32" w:rsidR="00AC1AF3" w:rsidRPr="003D56F0" w:rsidRDefault="00AC1AF3" w:rsidP="00627432">
            <w:pPr>
              <w:rPr>
                <w:sz w:val="18"/>
                <w:szCs w:val="18"/>
                <w:lang w:val="en-US"/>
              </w:rPr>
            </w:pPr>
            <w:r w:rsidRPr="003D56F0">
              <w:rPr>
                <w:sz w:val="18"/>
                <w:szCs w:val="18"/>
              </w:rPr>
              <w:t>£5,201,640</w:t>
            </w:r>
          </w:p>
        </w:tc>
        <w:tc>
          <w:tcPr>
            <w:tcW w:w="1540" w:type="dxa"/>
            <w:vAlign w:val="bottom"/>
          </w:tcPr>
          <w:p w14:paraId="57C5916B" w14:textId="715C5399" w:rsidR="00AC1AF3" w:rsidRPr="003D56F0" w:rsidRDefault="00AC1AF3" w:rsidP="00627432">
            <w:pPr>
              <w:rPr>
                <w:sz w:val="18"/>
                <w:szCs w:val="18"/>
                <w:lang w:val="en-US"/>
              </w:rPr>
            </w:pPr>
            <w:r w:rsidRPr="003D56F0">
              <w:rPr>
                <w:sz w:val="18"/>
                <w:szCs w:val="18"/>
              </w:rPr>
              <w:t>53.9</w:t>
            </w:r>
          </w:p>
        </w:tc>
        <w:tc>
          <w:tcPr>
            <w:tcW w:w="1540" w:type="dxa"/>
            <w:vMerge w:val="restart"/>
            <w:vAlign w:val="bottom"/>
          </w:tcPr>
          <w:p w14:paraId="35101743" w14:textId="7E0000B3" w:rsidR="00AC1AF3" w:rsidRPr="003D56F0" w:rsidRDefault="00AC1AF3" w:rsidP="00627432">
            <w:pPr>
              <w:rPr>
                <w:sz w:val="18"/>
                <w:szCs w:val="18"/>
              </w:rPr>
            </w:pPr>
            <w:r w:rsidRPr="003D56F0">
              <w:rPr>
                <w:sz w:val="18"/>
                <w:szCs w:val="18"/>
              </w:rPr>
              <w:t>£681,580</w:t>
            </w:r>
          </w:p>
        </w:tc>
        <w:tc>
          <w:tcPr>
            <w:tcW w:w="1541" w:type="dxa"/>
            <w:vMerge w:val="restart"/>
            <w:vAlign w:val="bottom"/>
          </w:tcPr>
          <w:p w14:paraId="45593643" w14:textId="77777777" w:rsidR="00AC1AF3" w:rsidRPr="003D56F0" w:rsidRDefault="00AC1AF3" w:rsidP="003D56F0">
            <w:pPr>
              <w:rPr>
                <w:rFonts w:eastAsia="Times New Roman"/>
                <w:color w:val="000000"/>
                <w:sz w:val="18"/>
                <w:szCs w:val="18"/>
                <w:lang w:val="en-US"/>
              </w:rPr>
            </w:pPr>
            <w:r w:rsidRPr="003D56F0">
              <w:rPr>
                <w:sz w:val="18"/>
                <w:szCs w:val="18"/>
                <w:lang w:val="en-US"/>
              </w:rPr>
              <w:t>2.1</w:t>
            </w:r>
          </w:p>
        </w:tc>
        <w:tc>
          <w:tcPr>
            <w:tcW w:w="1541" w:type="dxa"/>
            <w:vMerge w:val="restart"/>
            <w:vAlign w:val="bottom"/>
          </w:tcPr>
          <w:p w14:paraId="7322E500" w14:textId="6127D76D" w:rsidR="00AC1AF3" w:rsidRPr="003D56F0" w:rsidRDefault="00AC1AF3" w:rsidP="00627432">
            <w:pPr>
              <w:rPr>
                <w:sz w:val="18"/>
                <w:szCs w:val="18"/>
                <w:lang w:val="en-US"/>
              </w:rPr>
            </w:pPr>
            <w:r w:rsidRPr="003D56F0">
              <w:rPr>
                <w:sz w:val="18"/>
                <w:szCs w:val="18"/>
              </w:rPr>
              <w:t>£328,939</w:t>
            </w:r>
          </w:p>
        </w:tc>
      </w:tr>
      <w:tr w:rsidR="00AC1AF3" w:rsidRPr="003D56F0" w14:paraId="6B88E796" w14:textId="77777777" w:rsidTr="003D56F0">
        <w:tc>
          <w:tcPr>
            <w:tcW w:w="1540" w:type="dxa"/>
          </w:tcPr>
          <w:p w14:paraId="131F0099" w14:textId="508048F0" w:rsidR="00AC1AF3" w:rsidRPr="003D56F0" w:rsidRDefault="00AC1AF3" w:rsidP="00AD2788">
            <w:pPr>
              <w:rPr>
                <w:sz w:val="18"/>
                <w:szCs w:val="18"/>
                <w:lang w:val="en-US"/>
              </w:rPr>
            </w:pPr>
            <w:r w:rsidRPr="003D56F0">
              <w:rPr>
                <w:sz w:val="18"/>
                <w:szCs w:val="18"/>
                <w:lang w:val="en-US"/>
              </w:rPr>
              <w:t>Comparator</w:t>
            </w:r>
          </w:p>
        </w:tc>
        <w:tc>
          <w:tcPr>
            <w:tcW w:w="1540" w:type="dxa"/>
            <w:vAlign w:val="bottom"/>
          </w:tcPr>
          <w:p w14:paraId="28C47C89" w14:textId="647AFEF2" w:rsidR="00AC1AF3" w:rsidRPr="003D56F0" w:rsidRDefault="00AC1AF3" w:rsidP="00627432">
            <w:pPr>
              <w:rPr>
                <w:sz w:val="18"/>
                <w:szCs w:val="18"/>
                <w:lang w:val="en-US"/>
              </w:rPr>
            </w:pPr>
            <w:r w:rsidRPr="003D56F0">
              <w:rPr>
                <w:sz w:val="18"/>
                <w:szCs w:val="18"/>
              </w:rPr>
              <w:t>£4,520,060</w:t>
            </w:r>
          </w:p>
        </w:tc>
        <w:tc>
          <w:tcPr>
            <w:tcW w:w="1540" w:type="dxa"/>
            <w:vAlign w:val="bottom"/>
          </w:tcPr>
          <w:p w14:paraId="14EA55C9" w14:textId="605705E6" w:rsidR="00AC1AF3" w:rsidRPr="003D56F0" w:rsidRDefault="00AC1AF3" w:rsidP="003D56F0">
            <w:pPr>
              <w:rPr>
                <w:rFonts w:eastAsia="Times New Roman"/>
                <w:color w:val="000000"/>
                <w:sz w:val="18"/>
                <w:szCs w:val="18"/>
                <w:lang w:val="en-US"/>
              </w:rPr>
            </w:pPr>
            <w:r w:rsidRPr="003D56F0">
              <w:rPr>
                <w:sz w:val="18"/>
                <w:szCs w:val="18"/>
                <w:lang w:val="en-US"/>
              </w:rPr>
              <w:t>56</w:t>
            </w:r>
            <w:r w:rsidR="002D5BBE" w:rsidRPr="003D56F0">
              <w:rPr>
                <w:sz w:val="18"/>
                <w:szCs w:val="18"/>
                <w:lang w:val="en-US"/>
              </w:rPr>
              <w:t>.0</w:t>
            </w:r>
          </w:p>
        </w:tc>
        <w:tc>
          <w:tcPr>
            <w:tcW w:w="1540" w:type="dxa"/>
            <w:vMerge/>
            <w:vAlign w:val="bottom"/>
          </w:tcPr>
          <w:p w14:paraId="7CE9B477" w14:textId="77777777" w:rsidR="00AC1AF3" w:rsidRPr="003D56F0" w:rsidRDefault="00AC1AF3" w:rsidP="003D56F0">
            <w:pPr>
              <w:rPr>
                <w:sz w:val="18"/>
                <w:szCs w:val="18"/>
              </w:rPr>
            </w:pPr>
          </w:p>
        </w:tc>
        <w:tc>
          <w:tcPr>
            <w:tcW w:w="1541" w:type="dxa"/>
            <w:vMerge/>
            <w:vAlign w:val="bottom"/>
          </w:tcPr>
          <w:p w14:paraId="2CBD3F21" w14:textId="77777777" w:rsidR="00AC1AF3" w:rsidRPr="003D56F0" w:rsidRDefault="00AC1AF3" w:rsidP="003D56F0">
            <w:pPr>
              <w:rPr>
                <w:sz w:val="18"/>
                <w:szCs w:val="18"/>
                <w:lang w:val="en-US"/>
              </w:rPr>
            </w:pPr>
          </w:p>
        </w:tc>
        <w:tc>
          <w:tcPr>
            <w:tcW w:w="1541" w:type="dxa"/>
            <w:vMerge/>
            <w:vAlign w:val="bottom"/>
          </w:tcPr>
          <w:p w14:paraId="732B9F3D" w14:textId="77777777" w:rsidR="00AC1AF3" w:rsidRPr="003D56F0" w:rsidRDefault="00AC1AF3" w:rsidP="003D56F0">
            <w:pPr>
              <w:rPr>
                <w:sz w:val="18"/>
                <w:szCs w:val="18"/>
                <w:lang w:val="en-US"/>
              </w:rPr>
            </w:pPr>
          </w:p>
        </w:tc>
      </w:tr>
    </w:tbl>
    <w:p w14:paraId="7E294C37" w14:textId="77777777" w:rsidR="00AC1AF3" w:rsidRPr="003D56F0" w:rsidRDefault="00AC1AF3" w:rsidP="00CC7EC2">
      <w:pPr>
        <w:rPr>
          <w:sz w:val="18"/>
          <w:szCs w:val="18"/>
          <w:lang w:val="en-US"/>
        </w:rPr>
      </w:pPr>
    </w:p>
    <w:p w14:paraId="58B60CC0" w14:textId="77777777" w:rsidR="00AC1AF3" w:rsidRPr="003D56F0" w:rsidRDefault="00AC1AF3">
      <w:pPr>
        <w:rPr>
          <w:sz w:val="18"/>
          <w:szCs w:val="18"/>
          <w:lang w:val="en-US"/>
        </w:rPr>
      </w:pPr>
      <w:r w:rsidRPr="003D56F0">
        <w:rPr>
          <w:sz w:val="18"/>
          <w:szCs w:val="18"/>
          <w:lang w:val="en-US"/>
        </w:rPr>
        <w:t>2 Year Reduction Scenario</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AC1AF3" w:rsidRPr="003D56F0" w14:paraId="4A3D1577" w14:textId="77777777" w:rsidTr="00AC1AF3">
        <w:tc>
          <w:tcPr>
            <w:tcW w:w="1540" w:type="dxa"/>
          </w:tcPr>
          <w:p w14:paraId="5B140CE5" w14:textId="77777777" w:rsidR="00AC1AF3" w:rsidRPr="003D56F0" w:rsidRDefault="00AC1AF3" w:rsidP="00627432">
            <w:pPr>
              <w:rPr>
                <w:sz w:val="18"/>
                <w:szCs w:val="18"/>
                <w:lang w:val="fr-FR"/>
              </w:rPr>
            </w:pPr>
          </w:p>
        </w:tc>
        <w:tc>
          <w:tcPr>
            <w:tcW w:w="1540" w:type="dxa"/>
          </w:tcPr>
          <w:p w14:paraId="2B3FA3A8" w14:textId="77777777" w:rsidR="00AC1AF3" w:rsidRPr="003D56F0" w:rsidRDefault="00AC1AF3" w:rsidP="000B4925">
            <w:pPr>
              <w:rPr>
                <w:sz w:val="18"/>
                <w:szCs w:val="18"/>
              </w:rPr>
            </w:pPr>
            <w:r w:rsidRPr="003D56F0">
              <w:rPr>
                <w:sz w:val="18"/>
                <w:szCs w:val="18"/>
                <w:lang w:val="fr-FR"/>
              </w:rPr>
              <w:br/>
            </w:r>
            <w:r w:rsidRPr="003D56F0">
              <w:rPr>
                <w:rStyle w:val="Strong"/>
                <w:color w:val="000000"/>
                <w:sz w:val="18"/>
                <w:szCs w:val="18"/>
              </w:rPr>
              <w:t>Total costs (£)</w:t>
            </w:r>
          </w:p>
          <w:p w14:paraId="43761E2D" w14:textId="77777777" w:rsidR="00AC1AF3" w:rsidRPr="003D56F0" w:rsidRDefault="00AC1AF3" w:rsidP="003D56F0">
            <w:pPr>
              <w:rPr>
                <w:sz w:val="18"/>
                <w:szCs w:val="18"/>
                <w:lang w:val="en-US"/>
              </w:rPr>
            </w:pPr>
          </w:p>
        </w:tc>
        <w:tc>
          <w:tcPr>
            <w:tcW w:w="1540" w:type="dxa"/>
          </w:tcPr>
          <w:p w14:paraId="25707C64" w14:textId="77777777" w:rsidR="00AC1AF3" w:rsidRPr="003D56F0" w:rsidRDefault="00AC1AF3" w:rsidP="003D56F0">
            <w:pPr>
              <w:rPr>
                <w:sz w:val="18"/>
                <w:szCs w:val="18"/>
              </w:rPr>
            </w:pPr>
            <w:r w:rsidRPr="003D56F0">
              <w:rPr>
                <w:sz w:val="18"/>
                <w:szCs w:val="18"/>
              </w:rPr>
              <w:br/>
            </w:r>
            <w:r w:rsidRPr="003D56F0">
              <w:rPr>
                <w:rStyle w:val="Strong"/>
                <w:color w:val="000000"/>
                <w:sz w:val="18"/>
                <w:szCs w:val="18"/>
              </w:rPr>
              <w:t>Total QALYs lost</w:t>
            </w:r>
          </w:p>
          <w:p w14:paraId="6760CC36" w14:textId="77777777" w:rsidR="00AC1AF3" w:rsidRPr="003D56F0" w:rsidRDefault="00AC1AF3" w:rsidP="003D56F0">
            <w:pPr>
              <w:rPr>
                <w:sz w:val="18"/>
                <w:szCs w:val="18"/>
                <w:lang w:val="en-US"/>
              </w:rPr>
            </w:pPr>
          </w:p>
        </w:tc>
        <w:tc>
          <w:tcPr>
            <w:tcW w:w="1540" w:type="dxa"/>
          </w:tcPr>
          <w:p w14:paraId="07872330" w14:textId="77777777" w:rsidR="00AC1AF3" w:rsidRPr="003D56F0" w:rsidRDefault="00AC1AF3" w:rsidP="003D56F0">
            <w:pPr>
              <w:rPr>
                <w:rStyle w:val="Strong"/>
                <w:color w:val="000000"/>
                <w:sz w:val="18"/>
                <w:szCs w:val="18"/>
                <w:shd w:val="clear" w:color="auto" w:fill="FFFFFF"/>
              </w:rPr>
            </w:pPr>
          </w:p>
          <w:p w14:paraId="665DADAB" w14:textId="77777777" w:rsidR="00AC1AF3" w:rsidRPr="003D56F0" w:rsidRDefault="00AC1AF3" w:rsidP="003D56F0">
            <w:pPr>
              <w:rPr>
                <w:rFonts w:eastAsia="Times New Roman"/>
                <w:sz w:val="18"/>
                <w:szCs w:val="18"/>
                <w:lang w:val="en-US"/>
              </w:rPr>
            </w:pPr>
            <w:r w:rsidRPr="003D56F0">
              <w:rPr>
                <w:rStyle w:val="Strong"/>
                <w:color w:val="000000"/>
                <w:sz w:val="18"/>
                <w:szCs w:val="18"/>
                <w:shd w:val="clear" w:color="auto" w:fill="FFFFFF"/>
              </w:rPr>
              <w:t>Incremental costs (£)</w:t>
            </w:r>
          </w:p>
        </w:tc>
        <w:tc>
          <w:tcPr>
            <w:tcW w:w="1541" w:type="dxa"/>
          </w:tcPr>
          <w:p w14:paraId="32DC7308" w14:textId="77777777" w:rsidR="00AC1AF3" w:rsidRPr="003D56F0" w:rsidRDefault="00AC1AF3" w:rsidP="003D56F0">
            <w:pPr>
              <w:rPr>
                <w:sz w:val="18"/>
                <w:szCs w:val="18"/>
              </w:rPr>
            </w:pPr>
            <w:r w:rsidRPr="003D56F0">
              <w:rPr>
                <w:sz w:val="18"/>
                <w:szCs w:val="18"/>
              </w:rPr>
              <w:br/>
            </w:r>
            <w:r w:rsidRPr="003D56F0">
              <w:rPr>
                <w:rStyle w:val="Strong"/>
                <w:color w:val="000000"/>
                <w:sz w:val="18"/>
                <w:szCs w:val="18"/>
              </w:rPr>
              <w:t>Incremental QALYs</w:t>
            </w:r>
          </w:p>
          <w:p w14:paraId="4E35C1B0" w14:textId="77777777" w:rsidR="00AC1AF3" w:rsidRPr="003D56F0" w:rsidRDefault="00AC1AF3" w:rsidP="003D56F0">
            <w:pPr>
              <w:rPr>
                <w:sz w:val="18"/>
                <w:szCs w:val="18"/>
                <w:lang w:val="en-US"/>
              </w:rPr>
            </w:pPr>
          </w:p>
        </w:tc>
        <w:tc>
          <w:tcPr>
            <w:tcW w:w="1541" w:type="dxa"/>
          </w:tcPr>
          <w:p w14:paraId="7F545739" w14:textId="77777777" w:rsidR="00AC1AF3" w:rsidRPr="003D56F0" w:rsidRDefault="00AC1AF3" w:rsidP="003D56F0">
            <w:pPr>
              <w:rPr>
                <w:rStyle w:val="Strong"/>
                <w:color w:val="000000"/>
                <w:sz w:val="18"/>
                <w:szCs w:val="18"/>
                <w:shd w:val="clear" w:color="auto" w:fill="FFFFFF"/>
              </w:rPr>
            </w:pPr>
          </w:p>
          <w:p w14:paraId="61A32130" w14:textId="77777777" w:rsidR="00AC1AF3" w:rsidRPr="003D56F0" w:rsidRDefault="00AC1AF3" w:rsidP="003D56F0">
            <w:pPr>
              <w:rPr>
                <w:rFonts w:eastAsia="Times New Roman"/>
                <w:sz w:val="18"/>
                <w:szCs w:val="18"/>
                <w:lang w:val="en-US"/>
              </w:rPr>
            </w:pPr>
            <w:r w:rsidRPr="003D56F0">
              <w:rPr>
                <w:rStyle w:val="Strong"/>
                <w:color w:val="000000"/>
                <w:sz w:val="18"/>
                <w:szCs w:val="18"/>
                <w:shd w:val="clear" w:color="auto" w:fill="FFFFFF"/>
              </w:rPr>
              <w:t>ICER (£) (QALYs)</w:t>
            </w:r>
          </w:p>
        </w:tc>
      </w:tr>
      <w:tr w:rsidR="00AC1AF3" w:rsidRPr="003D56F0" w14:paraId="7DBE80A8" w14:textId="77777777" w:rsidTr="003D56F0">
        <w:tc>
          <w:tcPr>
            <w:tcW w:w="1540" w:type="dxa"/>
          </w:tcPr>
          <w:p w14:paraId="0F3E4461" w14:textId="5D9368FF" w:rsidR="00AC1AF3" w:rsidRPr="003D56F0" w:rsidRDefault="00AC1AF3" w:rsidP="00AD2788">
            <w:pPr>
              <w:rPr>
                <w:sz w:val="18"/>
                <w:szCs w:val="18"/>
                <w:lang w:val="en-US"/>
              </w:rPr>
            </w:pPr>
            <w:r w:rsidRPr="003D56F0">
              <w:rPr>
                <w:sz w:val="18"/>
                <w:szCs w:val="18"/>
                <w:lang w:val="fr-FR"/>
              </w:rPr>
              <w:t>Intervention</w:t>
            </w:r>
          </w:p>
        </w:tc>
        <w:tc>
          <w:tcPr>
            <w:tcW w:w="1540" w:type="dxa"/>
            <w:vAlign w:val="bottom"/>
          </w:tcPr>
          <w:p w14:paraId="2D70B29B" w14:textId="7B2FEBBB" w:rsidR="00AC1AF3" w:rsidRPr="003D56F0" w:rsidRDefault="00AC1AF3" w:rsidP="00627432">
            <w:pPr>
              <w:rPr>
                <w:sz w:val="18"/>
                <w:szCs w:val="18"/>
                <w:lang w:val="en-US"/>
              </w:rPr>
            </w:pPr>
            <w:r w:rsidRPr="003D56F0">
              <w:rPr>
                <w:sz w:val="18"/>
                <w:szCs w:val="18"/>
              </w:rPr>
              <w:t>£8,817,840</w:t>
            </w:r>
          </w:p>
        </w:tc>
        <w:tc>
          <w:tcPr>
            <w:tcW w:w="1540" w:type="dxa"/>
            <w:vAlign w:val="bottom"/>
          </w:tcPr>
          <w:p w14:paraId="01A9A25E" w14:textId="787350C1" w:rsidR="00AC1AF3" w:rsidRPr="003D56F0" w:rsidRDefault="00AC1AF3" w:rsidP="003D56F0">
            <w:pPr>
              <w:rPr>
                <w:rFonts w:eastAsia="Times New Roman"/>
                <w:color w:val="000000"/>
                <w:sz w:val="18"/>
                <w:szCs w:val="18"/>
                <w:lang w:val="en-US"/>
              </w:rPr>
            </w:pPr>
            <w:r w:rsidRPr="003D56F0">
              <w:rPr>
                <w:sz w:val="18"/>
                <w:szCs w:val="18"/>
              </w:rPr>
              <w:t>98</w:t>
            </w:r>
            <w:r w:rsidR="002D5BBE" w:rsidRPr="003D56F0">
              <w:rPr>
                <w:sz w:val="18"/>
                <w:szCs w:val="18"/>
                <w:lang w:val="en-US"/>
              </w:rPr>
              <w:t>.0</w:t>
            </w:r>
          </w:p>
        </w:tc>
        <w:tc>
          <w:tcPr>
            <w:tcW w:w="1540" w:type="dxa"/>
            <w:vMerge w:val="restart"/>
            <w:vAlign w:val="bottom"/>
          </w:tcPr>
          <w:p w14:paraId="56F5DD7F" w14:textId="7AEDE4A3" w:rsidR="00AC1AF3" w:rsidRPr="003D56F0" w:rsidRDefault="00AC1AF3" w:rsidP="00627432">
            <w:pPr>
              <w:rPr>
                <w:sz w:val="18"/>
                <w:szCs w:val="18"/>
              </w:rPr>
            </w:pPr>
            <w:r w:rsidRPr="003D56F0">
              <w:rPr>
                <w:sz w:val="18"/>
                <w:szCs w:val="18"/>
              </w:rPr>
              <w:t>£199,490</w:t>
            </w:r>
          </w:p>
        </w:tc>
        <w:tc>
          <w:tcPr>
            <w:tcW w:w="1541" w:type="dxa"/>
            <w:vMerge w:val="restart"/>
            <w:vAlign w:val="bottom"/>
          </w:tcPr>
          <w:p w14:paraId="313F267B" w14:textId="77777777" w:rsidR="00AC1AF3" w:rsidRPr="003D56F0" w:rsidRDefault="00AC1AF3" w:rsidP="003D56F0">
            <w:pPr>
              <w:rPr>
                <w:rFonts w:eastAsia="Times New Roman"/>
                <w:color w:val="000000"/>
                <w:sz w:val="18"/>
                <w:szCs w:val="18"/>
                <w:lang w:val="en-US"/>
              </w:rPr>
            </w:pPr>
            <w:r w:rsidRPr="003D56F0">
              <w:rPr>
                <w:sz w:val="18"/>
                <w:szCs w:val="18"/>
                <w:lang w:val="en-US"/>
              </w:rPr>
              <w:t>3.7</w:t>
            </w:r>
          </w:p>
        </w:tc>
        <w:tc>
          <w:tcPr>
            <w:tcW w:w="1541" w:type="dxa"/>
            <w:vMerge w:val="restart"/>
            <w:vAlign w:val="bottom"/>
          </w:tcPr>
          <w:p w14:paraId="04279652" w14:textId="447E9FF8" w:rsidR="00AC1AF3" w:rsidRPr="003D56F0" w:rsidRDefault="00AC1AF3" w:rsidP="000B4925">
            <w:pPr>
              <w:rPr>
                <w:sz w:val="18"/>
                <w:szCs w:val="18"/>
                <w:lang w:val="en-US"/>
              </w:rPr>
            </w:pPr>
            <w:r w:rsidRPr="003D56F0">
              <w:rPr>
                <w:sz w:val="18"/>
                <w:szCs w:val="18"/>
              </w:rPr>
              <w:t>£53,675</w:t>
            </w:r>
          </w:p>
        </w:tc>
      </w:tr>
      <w:tr w:rsidR="00AC1AF3" w:rsidRPr="003D56F0" w14:paraId="324E786A" w14:textId="77777777" w:rsidTr="003D56F0">
        <w:tc>
          <w:tcPr>
            <w:tcW w:w="1540" w:type="dxa"/>
          </w:tcPr>
          <w:p w14:paraId="00EE518C" w14:textId="48CBBADE" w:rsidR="00AC1AF3" w:rsidRPr="003D56F0" w:rsidRDefault="00AC1AF3" w:rsidP="00AD2788">
            <w:pPr>
              <w:rPr>
                <w:sz w:val="18"/>
                <w:szCs w:val="18"/>
                <w:lang w:val="en-US"/>
              </w:rPr>
            </w:pPr>
            <w:r w:rsidRPr="003D56F0">
              <w:rPr>
                <w:sz w:val="18"/>
                <w:szCs w:val="18"/>
                <w:lang w:val="en-US"/>
              </w:rPr>
              <w:t>Comparator</w:t>
            </w:r>
          </w:p>
        </w:tc>
        <w:tc>
          <w:tcPr>
            <w:tcW w:w="1540" w:type="dxa"/>
            <w:vAlign w:val="bottom"/>
          </w:tcPr>
          <w:p w14:paraId="10B8B391" w14:textId="4ACCC551" w:rsidR="00AC1AF3" w:rsidRPr="003D56F0" w:rsidRDefault="00AC1AF3" w:rsidP="00627432">
            <w:pPr>
              <w:rPr>
                <w:sz w:val="18"/>
                <w:szCs w:val="18"/>
                <w:lang w:val="en-US"/>
              </w:rPr>
            </w:pPr>
            <w:r w:rsidRPr="003D56F0">
              <w:rPr>
                <w:sz w:val="18"/>
                <w:szCs w:val="18"/>
              </w:rPr>
              <w:t>£8,618,351</w:t>
            </w:r>
          </w:p>
        </w:tc>
        <w:tc>
          <w:tcPr>
            <w:tcW w:w="1540" w:type="dxa"/>
            <w:vAlign w:val="bottom"/>
          </w:tcPr>
          <w:p w14:paraId="18CD8018" w14:textId="77777777" w:rsidR="00AC1AF3" w:rsidRPr="003D56F0" w:rsidRDefault="00AC1AF3" w:rsidP="003D56F0">
            <w:pPr>
              <w:rPr>
                <w:rFonts w:eastAsia="Times New Roman"/>
                <w:color w:val="000000"/>
                <w:sz w:val="18"/>
                <w:szCs w:val="18"/>
                <w:lang w:val="en-US"/>
              </w:rPr>
            </w:pPr>
            <w:r w:rsidRPr="003D56F0">
              <w:rPr>
                <w:sz w:val="18"/>
                <w:szCs w:val="18"/>
                <w:lang w:val="en-US"/>
              </w:rPr>
              <w:t>94.3</w:t>
            </w:r>
          </w:p>
        </w:tc>
        <w:tc>
          <w:tcPr>
            <w:tcW w:w="1540" w:type="dxa"/>
            <w:vMerge/>
            <w:vAlign w:val="bottom"/>
          </w:tcPr>
          <w:p w14:paraId="1EB7D7F6" w14:textId="77777777" w:rsidR="00AC1AF3" w:rsidRPr="003D56F0" w:rsidRDefault="00AC1AF3" w:rsidP="003D56F0">
            <w:pPr>
              <w:rPr>
                <w:sz w:val="18"/>
                <w:szCs w:val="18"/>
              </w:rPr>
            </w:pPr>
          </w:p>
        </w:tc>
        <w:tc>
          <w:tcPr>
            <w:tcW w:w="1541" w:type="dxa"/>
            <w:vMerge/>
            <w:vAlign w:val="bottom"/>
          </w:tcPr>
          <w:p w14:paraId="0DE4B789" w14:textId="77777777" w:rsidR="00AC1AF3" w:rsidRPr="003D56F0" w:rsidRDefault="00AC1AF3" w:rsidP="003D56F0">
            <w:pPr>
              <w:rPr>
                <w:sz w:val="18"/>
                <w:szCs w:val="18"/>
                <w:lang w:val="en-US"/>
              </w:rPr>
            </w:pPr>
          </w:p>
        </w:tc>
        <w:tc>
          <w:tcPr>
            <w:tcW w:w="1541" w:type="dxa"/>
            <w:vMerge/>
            <w:vAlign w:val="bottom"/>
          </w:tcPr>
          <w:p w14:paraId="1A61BAF8" w14:textId="77777777" w:rsidR="00AC1AF3" w:rsidRPr="003D56F0" w:rsidRDefault="00AC1AF3" w:rsidP="003D56F0">
            <w:pPr>
              <w:rPr>
                <w:sz w:val="18"/>
                <w:szCs w:val="18"/>
                <w:lang w:val="en-US"/>
              </w:rPr>
            </w:pPr>
          </w:p>
        </w:tc>
      </w:tr>
    </w:tbl>
    <w:p w14:paraId="076E3674" w14:textId="77777777" w:rsidR="00AC1AF3" w:rsidRPr="00AC1AF3" w:rsidRDefault="00AC1AF3" w:rsidP="00CC7EC2"/>
    <w:p w14:paraId="0C2D9575" w14:textId="453C9054" w:rsidR="007E11ED" w:rsidRPr="00AC2C72" w:rsidRDefault="002D5BBE">
      <w:r>
        <w:t>T</w:t>
      </w:r>
      <w:r w:rsidR="007E11ED" w:rsidRPr="00AC2C72">
        <w:t xml:space="preserve">his intervention </w:t>
      </w:r>
      <w:r w:rsidR="00E7246A" w:rsidRPr="00AC2C72">
        <w:t xml:space="preserve">does not </w:t>
      </w:r>
      <w:r w:rsidR="007E11ED" w:rsidRPr="00AC2C72">
        <w:t xml:space="preserve">appear to cost-effective based on the subsequent change in drug use outcomes. The cost per QALY is around </w:t>
      </w:r>
      <w:r w:rsidR="007E11ED" w:rsidRPr="003D56F0">
        <w:t>£</w:t>
      </w:r>
      <w:r w:rsidR="00E7246A" w:rsidRPr="003D56F0">
        <w:t>328,999</w:t>
      </w:r>
      <w:r w:rsidR="007E11ED" w:rsidRPr="00AC2C72">
        <w:t>. The intervention is only expected to have a very marginal effect on overall cannabis use in the short-term.</w:t>
      </w:r>
      <w:r w:rsidR="00926755">
        <w:t xml:space="preserve"> T</w:t>
      </w:r>
      <w:r w:rsidR="007E11ED" w:rsidRPr="00AC2C72">
        <w:t xml:space="preserve">here is a paucity of evidence linking cannabis use to adverse outcomes, with the exception of a marginally increased risk of psychosis and criminal arrest. Even with the risk of psychosis we have used a lifetime risk which may not be actually be diminished much by reducing cannabis use by 12 or 24 months. </w:t>
      </w:r>
    </w:p>
    <w:p w14:paraId="090171AD" w14:textId="77777777" w:rsidR="007E11ED" w:rsidRPr="00AC2C72" w:rsidRDefault="007E11ED"/>
    <w:p w14:paraId="1772B39F" w14:textId="77777777" w:rsidR="007E11ED" w:rsidRDefault="007E11ED">
      <w:pPr>
        <w:pStyle w:val="Heading6"/>
      </w:pPr>
      <w:r w:rsidRPr="00AC2C72">
        <w:t>One-way sensitivity analysis (Tornado diagram)</w:t>
      </w:r>
    </w:p>
    <w:p w14:paraId="430706C9" w14:textId="77777777" w:rsidR="005006EE" w:rsidRPr="005006EE" w:rsidRDefault="005006EE"/>
    <w:p w14:paraId="26618FF6" w14:textId="75A9C5F2" w:rsidR="007E11ED" w:rsidRPr="00AC2C72" w:rsidRDefault="007E11ED">
      <w:r w:rsidRPr="00AC2C72">
        <w:t xml:space="preserve">As </w:t>
      </w:r>
      <w:r w:rsidR="005006EE">
        <w:t>there is some uncertainty around the potential costs of web-based interventions,</w:t>
      </w:r>
      <w:r w:rsidRPr="00AC2C72">
        <w:t xml:space="preserve"> we have varied costs in the sensitivity analysis from </w:t>
      </w:r>
      <w:r w:rsidR="005006EE">
        <w:t>£1 to £30</w:t>
      </w:r>
      <w:r w:rsidR="00940B3D">
        <w:t xml:space="preserve">. </w:t>
      </w:r>
      <w:r w:rsidRPr="00AC2C72">
        <w:t xml:space="preserve">Other input </w:t>
      </w:r>
      <w:r w:rsidRPr="00AC2C72">
        <w:lastRenderedPageBreak/>
        <w:t>parameters have been varied by +/- 25%</w:t>
      </w:r>
      <w:r w:rsidR="000A3D41">
        <w:t xml:space="preserve"> (see </w:t>
      </w:r>
      <w:r w:rsidR="000A3D41">
        <w:fldChar w:fldCharType="begin"/>
      </w:r>
      <w:r w:rsidR="000A3D41">
        <w:instrText xml:space="preserve"> REF _Ref448418437 \h </w:instrText>
      </w:r>
      <w:r w:rsidR="00940B3D">
        <w:instrText xml:space="preserve"> \* MERGEFORMAT </w:instrText>
      </w:r>
      <w:r w:rsidR="000A3D41">
        <w:fldChar w:fldCharType="separate"/>
      </w:r>
      <w:r w:rsidR="0087365D">
        <w:t xml:space="preserve">Figure </w:t>
      </w:r>
      <w:r w:rsidR="0087365D">
        <w:rPr>
          <w:noProof/>
        </w:rPr>
        <w:t>8</w:t>
      </w:r>
      <w:r w:rsidR="000A3D41">
        <w:fldChar w:fldCharType="end"/>
      </w:r>
      <w:r w:rsidR="000A3D41">
        <w:t>)</w:t>
      </w:r>
      <w:r w:rsidRPr="00AC2C72">
        <w:t xml:space="preserve">. </w:t>
      </w:r>
      <w:r w:rsidR="00264C50" w:rsidRPr="00AC2C72">
        <w:t>Road traffic accidents have been included in the sensi</w:t>
      </w:r>
      <w:r w:rsidR="00AC2C72">
        <w:t>ti</w:t>
      </w:r>
      <w:r w:rsidR="00264C50" w:rsidRPr="00AC2C72">
        <w:t xml:space="preserve">vity analysis as a scenario but not in the base case. </w:t>
      </w:r>
      <w:r w:rsidRPr="00AC2C72">
        <w:t>The key factors for predicting whether or not the intervention</w:t>
      </w:r>
      <w:r w:rsidR="00E7246A" w:rsidRPr="00AC2C72">
        <w:t xml:space="preserve"> was cost effective </w:t>
      </w:r>
      <w:r w:rsidR="00264C50" w:rsidRPr="00AC2C72">
        <w:t>are programme costs and</w:t>
      </w:r>
      <w:r w:rsidR="00825676">
        <w:t>,</w:t>
      </w:r>
      <w:r w:rsidR="00264C50" w:rsidRPr="00AC2C72">
        <w:t xml:space="preserve"> if included, costs of road traffic accidents.</w:t>
      </w:r>
    </w:p>
    <w:p w14:paraId="5841A968" w14:textId="77777777" w:rsidR="00AC2C72" w:rsidRDefault="00AC2C72">
      <w:pPr>
        <w:pStyle w:val="Caption"/>
      </w:pPr>
    </w:p>
    <w:p w14:paraId="0B13EAB9" w14:textId="4BF5FE28" w:rsidR="00AC2C72" w:rsidRDefault="00AC2C72">
      <w:pPr>
        <w:pStyle w:val="Caption"/>
      </w:pPr>
      <w:bookmarkStart w:id="42" w:name="_Ref448418437"/>
      <w:r>
        <w:t xml:space="preserve">Figure </w:t>
      </w:r>
      <w:fldSimple w:instr=" SEQ Figure \* ARABIC ">
        <w:r w:rsidR="0087365D">
          <w:rPr>
            <w:noProof/>
          </w:rPr>
          <w:t>8</w:t>
        </w:r>
      </w:fldSimple>
      <w:bookmarkEnd w:id="42"/>
      <w:r>
        <w:t xml:space="preserve">. </w:t>
      </w:r>
      <w:r w:rsidRPr="00AC2C72">
        <w:t xml:space="preserve">Tornado diagram </w:t>
      </w:r>
      <w:r w:rsidR="00321F84">
        <w:t xml:space="preserve">with </w:t>
      </w:r>
      <w:r w:rsidR="00075E1D">
        <w:t>differenc</w:t>
      </w:r>
      <w:r w:rsidR="00321F84">
        <w:t xml:space="preserve">es in </w:t>
      </w:r>
      <w:r w:rsidR="00D20595">
        <w:t>net monetary benefit</w:t>
      </w:r>
      <w:r w:rsidRPr="00AC2C72">
        <w:t xml:space="preserve"> </w:t>
      </w:r>
      <w:r w:rsidR="00D20595">
        <w:t>from</w:t>
      </w:r>
      <w:r w:rsidRPr="00AC2C72">
        <w:t xml:space="preserve"> </w:t>
      </w:r>
      <w:r w:rsidR="00D20595" w:rsidRPr="00AC2C72">
        <w:t>web</w:t>
      </w:r>
      <w:r w:rsidR="00D20595">
        <w:t>-</w:t>
      </w:r>
      <w:r w:rsidRPr="00AC2C72">
        <w:t>based feedback intervention (</w:t>
      </w:r>
      <w:r w:rsidR="00D20595">
        <w:t>base case scenario</w:t>
      </w:r>
      <w:r w:rsidRPr="00AC2C72">
        <w:t>)</w:t>
      </w:r>
      <w:r w:rsidR="00321F84" w:rsidRPr="00321F84">
        <w:t xml:space="preserve"> </w:t>
      </w:r>
      <w:r w:rsidR="00321F84">
        <w:t>with changes in model parameters.</w:t>
      </w:r>
      <w:r w:rsidR="00947F4F">
        <w:t xml:space="preserve"> </w:t>
      </w:r>
      <w:r w:rsidR="00D20595">
        <w:t>NMB values each QALY at £20,000.</w:t>
      </w:r>
      <w:r w:rsidR="00E11381">
        <w:t xml:space="preserve"> </w:t>
      </w:r>
    </w:p>
    <w:p w14:paraId="372415AE" w14:textId="13025688" w:rsidR="00E11381" w:rsidRPr="00E11381" w:rsidRDefault="00E11381" w:rsidP="003D56F0">
      <w:r>
        <w:rPr>
          <w:noProof/>
        </w:rPr>
        <w:drawing>
          <wp:inline distT="0" distB="0" distL="0" distR="0" wp14:anchorId="5BBE4A90" wp14:editId="6FEA419E">
            <wp:extent cx="6252352" cy="3536950"/>
            <wp:effectExtent l="0" t="0" r="0" b="635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2208"/>
                    <a:stretch/>
                  </pic:blipFill>
                  <pic:spPr bwMode="auto">
                    <a:xfrm>
                      <a:off x="0" y="0"/>
                      <a:ext cx="6255560" cy="3538765"/>
                    </a:xfrm>
                    <a:prstGeom prst="rect">
                      <a:avLst/>
                    </a:prstGeom>
                    <a:ln>
                      <a:noFill/>
                    </a:ln>
                    <a:extLst>
                      <a:ext uri="{53640926-AAD7-44D8-BBD7-CCE9431645EC}">
                        <a14:shadowObscured xmlns:a14="http://schemas.microsoft.com/office/drawing/2010/main"/>
                      </a:ext>
                    </a:extLst>
                  </pic:spPr>
                </pic:pic>
              </a:graphicData>
            </a:graphic>
          </wp:inline>
        </w:drawing>
      </w:r>
    </w:p>
    <w:p w14:paraId="221C1CA8" w14:textId="00EE0483" w:rsidR="00D20595" w:rsidRPr="00DC7FEC" w:rsidRDefault="00D20595"/>
    <w:p w14:paraId="0A3C831C" w14:textId="77777777" w:rsidR="00440A0B" w:rsidRDefault="00440A0B">
      <w:pPr>
        <w:rPr>
          <w:noProof/>
        </w:rPr>
      </w:pPr>
    </w:p>
    <w:p w14:paraId="47A205E1" w14:textId="462FCE63" w:rsidR="00720CEB" w:rsidRDefault="00440A0B" w:rsidP="003D56F0">
      <w:pPr>
        <w:pStyle w:val="Heading6"/>
        <w:rPr>
          <w:noProof/>
        </w:rPr>
      </w:pPr>
      <w:r>
        <w:rPr>
          <w:noProof/>
        </w:rPr>
        <w:t xml:space="preserve">Discussion and </w:t>
      </w:r>
      <w:r w:rsidR="00926755">
        <w:rPr>
          <w:noProof/>
        </w:rPr>
        <w:t>Limitations</w:t>
      </w:r>
    </w:p>
    <w:p w14:paraId="0729DC54" w14:textId="77777777" w:rsidR="00926755" w:rsidRDefault="00926755"/>
    <w:p w14:paraId="29C7EFF3" w14:textId="764CFB2A" w:rsidR="00926755" w:rsidRPr="003C7FE4" w:rsidRDefault="00926755">
      <w:r w:rsidRPr="003C7FE4">
        <w:t>A key limitation of the model is that a ‘do nothing’ comparator was used, whereas in fact this may not be the case in the real world. In addition, psychosis cases and arrests associated with cannabis use, are likely to happen later in an individual’s lifetime, but for this model we are assuming a cross-sectional effect.</w:t>
      </w:r>
    </w:p>
    <w:p w14:paraId="7135612E" w14:textId="330D79AB" w:rsidR="00926755" w:rsidRDefault="00926755">
      <w:r w:rsidRPr="003C7FE4">
        <w:t>A limitation of the cannabis usage is that change in usage is based on self-reported use. In addition, the literature is still not unanimous about the evidence for a causal link between cannabis use, psychosis and crime.</w:t>
      </w:r>
    </w:p>
    <w:p w14:paraId="6F55A871" w14:textId="7FE6EC73" w:rsidR="00926755" w:rsidRDefault="00926755" w:rsidP="003D56F0"/>
    <w:p w14:paraId="337E2075" w14:textId="7B3FABC5" w:rsidR="008276DF" w:rsidRPr="00D21C25" w:rsidRDefault="008276DF">
      <w:pPr>
        <w:pStyle w:val="Heading3"/>
        <w:rPr>
          <w:lang w:val="en-US"/>
        </w:rPr>
      </w:pPr>
      <w:bookmarkStart w:id="43" w:name="_Toc452035642"/>
      <w:r w:rsidRPr="00D21C25">
        <w:t xml:space="preserve">5.1.3 Model </w:t>
      </w:r>
      <w:r w:rsidR="00BE6EE1">
        <w:t xml:space="preserve">of </w:t>
      </w:r>
      <w:r w:rsidRPr="00D21C25">
        <w:rPr>
          <w:lang w:val="en-US"/>
        </w:rPr>
        <w:t>Familias Unidas based on Prado et al. (2012)</w:t>
      </w:r>
      <w:bookmarkEnd w:id="43"/>
    </w:p>
    <w:p w14:paraId="08AFE726" w14:textId="77777777" w:rsidR="008276DF" w:rsidRDefault="008276DF">
      <w:pPr>
        <w:rPr>
          <w:lang w:val="en-US"/>
        </w:rPr>
      </w:pPr>
    </w:p>
    <w:p w14:paraId="668AFF0B" w14:textId="4BADB347" w:rsidR="00C7498D" w:rsidRDefault="00C7498D" w:rsidP="003D56F0">
      <w:pPr>
        <w:pStyle w:val="Heading6"/>
        <w:rPr>
          <w:lang w:val="en-US"/>
        </w:rPr>
      </w:pPr>
      <w:r>
        <w:rPr>
          <w:lang w:val="en-US"/>
        </w:rPr>
        <w:t>Study</w:t>
      </w:r>
    </w:p>
    <w:p w14:paraId="75A8D6FC" w14:textId="77777777" w:rsidR="00C7498D" w:rsidRPr="00AC2C72" w:rsidRDefault="00C7498D">
      <w:pPr>
        <w:rPr>
          <w:lang w:val="en-US"/>
        </w:rPr>
      </w:pPr>
    </w:p>
    <w:p w14:paraId="339135A8" w14:textId="1B2EA5C9" w:rsidR="008276DF" w:rsidRDefault="008276DF">
      <w:pPr>
        <w:rPr>
          <w:bCs/>
        </w:rPr>
      </w:pPr>
      <w:r w:rsidRPr="00AC2C72">
        <w:lastRenderedPageBreak/>
        <w:t xml:space="preserve">This decision analytic model was informed by results from Prado et al. (2012); “The efficacy of Familias Unidas on drug and alcohol outcomes for Hispanic delinquent youth: Main effects and interaction effects by parental stress”. The target population of this intervention is group 7 who are children and young people </w:t>
      </w:r>
      <w:r w:rsidRPr="00AC2C72">
        <w:rPr>
          <w:bCs/>
        </w:rPr>
        <w:t>in contact with young offender team but not in secure environments (prisons and young offender institutions.</w:t>
      </w:r>
    </w:p>
    <w:p w14:paraId="16F5A2E1" w14:textId="77777777" w:rsidR="00F4470A" w:rsidRPr="00AC2C72" w:rsidRDefault="00F4470A"/>
    <w:p w14:paraId="64C44DB6" w14:textId="270161ED" w:rsidR="008276DF" w:rsidRPr="00AC2C72" w:rsidRDefault="008276DF">
      <w:r w:rsidRPr="00AC2C72">
        <w:t>In the study of</w:t>
      </w:r>
      <w:r w:rsidR="0096725B" w:rsidRPr="00AC2C72">
        <w:t xml:space="preserve"> </w:t>
      </w:r>
      <w:r w:rsidRPr="00AC2C72">
        <w:t>Prado et al. (2012) a total of 242 (intervention: N=120, control: N=122) delinquent Hispanic youth aged 12–17 years and their primary caregivers were randomized to either Familias Unidas or community practice and assessed at three time points. Familias Unidas is a family-based preventive intervention that targets multiple adolescent subsystems (</w:t>
      </w:r>
      <w:r w:rsidR="0000120E">
        <w:t>including</w:t>
      </w:r>
      <w:r w:rsidRPr="00AC2C72">
        <w:t xml:space="preserve"> family, school, peers) by intervening through the parent to prevent and reduce problem behaviours, including both substance use and HIV sexual risk behaviours.</w:t>
      </w:r>
    </w:p>
    <w:p w14:paraId="59E63D98" w14:textId="77777777" w:rsidR="008276DF" w:rsidRPr="00AC2C72" w:rsidRDefault="008276DF"/>
    <w:p w14:paraId="70D5E16F" w14:textId="288E510C" w:rsidR="008276DF" w:rsidRPr="00AC2C72" w:rsidRDefault="008276DF">
      <w:r w:rsidRPr="00AC2C72">
        <w:t>Familias Unidas includes eight 2-h</w:t>
      </w:r>
      <w:r w:rsidR="00264C50" w:rsidRPr="00AC2C72">
        <w:t>our</w:t>
      </w:r>
      <w:r w:rsidRPr="00AC2C72">
        <w:t xml:space="preserve"> multi-parent group sessions and four 1-h</w:t>
      </w:r>
      <w:r w:rsidR="00264C50" w:rsidRPr="00AC2C72">
        <w:t>our</w:t>
      </w:r>
      <w:r w:rsidRPr="00AC2C72">
        <w:t xml:space="preserve"> family visits</w:t>
      </w:r>
      <w:r w:rsidR="00940B3D">
        <w:t xml:space="preserve">. </w:t>
      </w:r>
      <w:r w:rsidRPr="00AC2C72">
        <w:t>The primary goal of the parent groups was to bring parents together in order to establish parental investment, increase parental support, and provide a context for parent participation in a conjoint skills learning process. The primary goal of the family visits was to provide parents with an opportunity to transfer what they learned in the group sessions to their adolescent, foster more nurturing and supportive relationships, and increase parent–child communication, all in the context of family. All intervention sessions were parent-c</w:t>
      </w:r>
      <w:r w:rsidR="007F3E07">
        <w:t>e</w:t>
      </w:r>
      <w:r w:rsidRPr="00AC2C72">
        <w:t>ntered, with adolescents’ participation in intervention activities limited to the four family visits.</w:t>
      </w:r>
    </w:p>
    <w:p w14:paraId="58364AC5" w14:textId="77777777" w:rsidR="008276DF" w:rsidRPr="00AC2C72" w:rsidRDefault="008276DF"/>
    <w:p w14:paraId="4F050EDA" w14:textId="212546EB" w:rsidR="00C7498D" w:rsidRPr="00AC2C72" w:rsidRDefault="008276DF">
      <w:r w:rsidRPr="00AC2C72">
        <w:t>The outcomes in the study are alcohol use, illicit drug use, alcohol dependence and marijuana dependence, and having had sex under the influence of alcohol and drug use. There is no report of the specific drug type in this study. Thus, we consider cannabis as the drug use in this study.</w:t>
      </w:r>
      <w:r w:rsidR="00C7498D" w:rsidRPr="00C7498D">
        <w:t xml:space="preserve"> </w:t>
      </w:r>
      <w:r w:rsidR="00C7498D" w:rsidRPr="00AC2C72">
        <w:t>If the intervention becomes cost effective with cannabis, it will be cost effective for the combination of cannabis with other types of drugs</w:t>
      </w:r>
      <w:r w:rsidR="007F3E07">
        <w:t xml:space="preserve"> and alcohol</w:t>
      </w:r>
      <w:r w:rsidR="00C7498D" w:rsidRPr="00AC2C72">
        <w:t>.</w:t>
      </w:r>
    </w:p>
    <w:p w14:paraId="5394A528" w14:textId="77777777" w:rsidR="008276DF" w:rsidRPr="00AC2C72" w:rsidRDefault="008276DF"/>
    <w:p w14:paraId="0890C913" w14:textId="1392C763" w:rsidR="008276DF" w:rsidRPr="00AC2C72" w:rsidRDefault="008276DF">
      <w:r w:rsidRPr="00AC2C72">
        <w:t>Familias Unidas was effective in reducing past 90-day substance use, illicit drug use, and in reducing the proportion of youth with an alcohol dependence diagnosis, relative to community practice. Familias Unidas was most effective for adolescents with parents exhibiting high stress and lower levels of social support. For the adolescents whose parents reported high parental stress the proportion reporting drug use reduced from 27% to 16% and to 10% in 6-months and 12-months follow up respectively. For the control group, however, the proportion initially reduced from 32% to 265 in 6 months follow up, but then increased to 35% in 12 months follow up.</w:t>
      </w:r>
    </w:p>
    <w:p w14:paraId="53F523E6" w14:textId="77777777" w:rsidR="008276DF" w:rsidRDefault="008276DF"/>
    <w:p w14:paraId="748F948C" w14:textId="527B70A8" w:rsidR="000505C6" w:rsidRDefault="000505C6" w:rsidP="003D56F0">
      <w:pPr>
        <w:pStyle w:val="Heading6"/>
      </w:pPr>
      <w:r>
        <w:t>Population</w:t>
      </w:r>
    </w:p>
    <w:p w14:paraId="17B694E9" w14:textId="77777777" w:rsidR="000505C6" w:rsidRPr="000505C6" w:rsidRDefault="000505C6"/>
    <w:p w14:paraId="76015651" w14:textId="77777777" w:rsidR="000505C6" w:rsidRPr="00AC2C72" w:rsidRDefault="000505C6">
      <w:r w:rsidRPr="00AC2C72">
        <w:lastRenderedPageBreak/>
        <w:t xml:space="preserve">Data for the number of young offenders in England and Wales is from </w:t>
      </w:r>
      <w:r>
        <w:fldChar w:fldCharType="begin" w:fldLock="1"/>
      </w:r>
      <w:r>
        <w:instrText>ADDIN CSL_CITATION { "citationItems" : [ { "id" : "ITEM-1", "itemData" : { "author" : [ { "dropping-particle" : "", "family" : "Ministry of Justice", "given" : "", "non-dropping-particle" : "", "parse-names" : false, "suffix" : "" } ], "id" : "ITEM-1", "issue" : "January", "issued" : { "date-parts" : [ [ "2015" ] ] }, "title" : "Youth Justice Statistics 2013/14: England and Wales", "type" : "report" }, "uris" : [ "http://www.mendeley.com/documents/?uuid=8d032752-a1bf-4595-b418-8dcc06453dbb" ] } ], "mendeley" : { "formattedCitation" : "(Ministry of Justice 2015)", "plainTextFormattedCitation" : "(Ministry of Justice 2015)", "previouslyFormattedCitation" : "(Ministry of Justice 2015)" }, "properties" : { "noteIndex" : 0 }, "schema" : "https://github.com/citation-style-language/schema/raw/master/csl-citation.json" }</w:instrText>
      </w:r>
      <w:r>
        <w:fldChar w:fldCharType="separate"/>
      </w:r>
      <w:r w:rsidRPr="000A3D41">
        <w:rPr>
          <w:noProof/>
        </w:rPr>
        <w:t>(Ministry of Justice 2015)</w:t>
      </w:r>
      <w:r>
        <w:fldChar w:fldCharType="end"/>
      </w:r>
      <w:r w:rsidRPr="00AC2C72">
        <w:t xml:space="preserve">. As the intervention is effective in reducing drug use in adolescent with high parental stress, we model the impact of intervention on this subgroup of young offenders. </w:t>
      </w:r>
    </w:p>
    <w:p w14:paraId="31E6D1D3" w14:textId="77777777" w:rsidR="000505C6" w:rsidRPr="00AC2C72" w:rsidRDefault="000505C6"/>
    <w:p w14:paraId="7E6F21A4" w14:textId="61486034" w:rsidR="008276DF" w:rsidRPr="00AC2C72" w:rsidRDefault="00C7498D">
      <w:pPr>
        <w:pStyle w:val="Heading6"/>
      </w:pPr>
      <w:r>
        <w:t>D</w:t>
      </w:r>
      <w:r w:rsidR="008276DF" w:rsidRPr="00AC2C72">
        <w:t>ecision tree</w:t>
      </w:r>
    </w:p>
    <w:p w14:paraId="086A90C9" w14:textId="77777777" w:rsidR="008276DF" w:rsidRDefault="008276DF"/>
    <w:p w14:paraId="796F0842" w14:textId="4A87D4DD" w:rsidR="00C7498D" w:rsidRPr="00AC2C72" w:rsidRDefault="00C7498D">
      <w:r w:rsidRPr="00AC2C72">
        <w:t>The simple tree</w:t>
      </w:r>
      <w:r>
        <w:t xml:space="preserve">, </w:t>
      </w:r>
      <w:r>
        <w:fldChar w:fldCharType="begin"/>
      </w:r>
      <w:r>
        <w:instrText xml:space="preserve"> REF _Ref448418473 \h  \* MERGEFORMAT </w:instrText>
      </w:r>
      <w:r>
        <w:fldChar w:fldCharType="separate"/>
      </w:r>
      <w:r w:rsidR="0087365D">
        <w:t xml:space="preserve">Figure </w:t>
      </w:r>
      <w:r w:rsidR="0087365D">
        <w:rPr>
          <w:noProof/>
        </w:rPr>
        <w:t>9</w:t>
      </w:r>
      <w:r>
        <w:fldChar w:fldCharType="end"/>
      </w:r>
      <w:r w:rsidRPr="00AC2C72">
        <w:t xml:space="preserve"> describes the individual pathway with</w:t>
      </w:r>
      <w:r>
        <w:t xml:space="preserve"> the</w:t>
      </w:r>
      <w:r w:rsidRPr="00AC2C72">
        <w:t xml:space="preserve"> </w:t>
      </w:r>
      <w:r>
        <w:t>Familias Unidas</w:t>
      </w:r>
      <w:r w:rsidRPr="00AC2C72">
        <w:t xml:space="preserve"> intervention. There are two arms in the model, those who receive the </w:t>
      </w:r>
      <w:r>
        <w:t>Familias Unidas</w:t>
      </w:r>
      <w:r w:rsidRPr="00AC2C72">
        <w:t xml:space="preserve"> intervention and those who do not.</w:t>
      </w:r>
    </w:p>
    <w:p w14:paraId="0B9EC1C7" w14:textId="77777777" w:rsidR="008276DF" w:rsidRPr="00AC2C72" w:rsidRDefault="008276DF"/>
    <w:p w14:paraId="647CB965" w14:textId="0F7871F3" w:rsidR="008276DF" w:rsidRPr="00AC2C72" w:rsidRDefault="008276DF">
      <w:r w:rsidRPr="00AC2C72">
        <w:t xml:space="preserve">Cannabis use </w:t>
      </w:r>
      <w:r w:rsidR="00A25024">
        <w:t>at</w:t>
      </w:r>
      <w:r w:rsidRPr="00AC2C72">
        <w:t xml:space="preserve"> baseline is 29.5%. </w:t>
      </w:r>
      <w:r w:rsidR="00A25024">
        <w:t>The intervention arm showed a reduction in cannabis use</w:t>
      </w:r>
      <w:r w:rsidR="0000120E">
        <w:t xml:space="preserve"> at month 6</w:t>
      </w:r>
      <w:r w:rsidR="00A25024">
        <w:t>.</w:t>
      </w:r>
      <w:r w:rsidRPr="00AC2C72">
        <w:t xml:space="preserve"> </w:t>
      </w:r>
      <w:r w:rsidR="00A25024">
        <w:t>At</w:t>
      </w:r>
      <w:r w:rsidRPr="00AC2C72">
        <w:t xml:space="preserve"> 12 months follow up, cannabis use in the control group </w:t>
      </w:r>
      <w:r w:rsidR="00A25024">
        <w:t>was</w:t>
      </w:r>
      <w:r w:rsidRPr="00AC2C72">
        <w:t xml:space="preserve"> 35% which shows an increase in use from baseline. For Familias Unidas arm, however, the proportion of cannabis user continues to decline. For this group, the reduction in cannabis users is less compared with the change from baseline to 6 month follow up. </w:t>
      </w:r>
    </w:p>
    <w:p w14:paraId="1FE14A2F" w14:textId="77777777" w:rsidR="008276DF" w:rsidRPr="00AC2C72" w:rsidRDefault="008276DF"/>
    <w:p w14:paraId="6E909FAC" w14:textId="77777777" w:rsidR="00B52AEA" w:rsidRDefault="008276DF">
      <w:r w:rsidRPr="00AC2C72">
        <w:t>For this intervention, three different scenarios are modelled.</w:t>
      </w:r>
    </w:p>
    <w:p w14:paraId="708B3404" w14:textId="26B47B22" w:rsidR="00B52AEA" w:rsidRDefault="00B52AEA" w:rsidP="003D56F0">
      <w:pPr>
        <w:pStyle w:val="ListParagraph"/>
        <w:numPr>
          <w:ilvl w:val="0"/>
          <w:numId w:val="47"/>
        </w:numPr>
      </w:pPr>
      <w:r>
        <w:t>The</w:t>
      </w:r>
      <w:r w:rsidR="008276DF" w:rsidRPr="00AC2C72">
        <w:t xml:space="preserve"> analysis is limited to 12 month</w:t>
      </w:r>
      <w:r w:rsidR="00A25024">
        <w:t>s</w:t>
      </w:r>
      <w:r w:rsidR="008276DF" w:rsidRPr="00AC2C72">
        <w:t xml:space="preserve">. </w:t>
      </w:r>
      <w:r w:rsidR="003C6E31">
        <w:t>(Base case)</w:t>
      </w:r>
    </w:p>
    <w:p w14:paraId="060CDEF1" w14:textId="4921268C" w:rsidR="00B52AEA" w:rsidRDefault="00B52AEA" w:rsidP="003D56F0">
      <w:pPr>
        <w:pStyle w:val="ListParagraph"/>
        <w:numPr>
          <w:ilvl w:val="0"/>
          <w:numId w:val="47"/>
        </w:numPr>
      </w:pPr>
      <w:r>
        <w:t>The</w:t>
      </w:r>
      <w:r w:rsidR="008276DF" w:rsidRPr="00AC2C72">
        <w:t xml:space="preserve"> proportion reporting drug use returns to baseline 24 month</w:t>
      </w:r>
      <w:r w:rsidR="00A25024">
        <w:t>s</w:t>
      </w:r>
      <w:r w:rsidR="008276DF" w:rsidRPr="00AC2C72">
        <w:t xml:space="preserve"> after program</w:t>
      </w:r>
      <w:r w:rsidR="00A25024">
        <w:t>me</w:t>
      </w:r>
      <w:r w:rsidR="008276DF" w:rsidRPr="00AC2C72">
        <w:t xml:space="preserve"> implementation in both groups. </w:t>
      </w:r>
      <w:r w:rsidR="003C6E31">
        <w:t xml:space="preserve"> (Scenario </w:t>
      </w:r>
      <w:r w:rsidR="004D24F1">
        <w:t>2</w:t>
      </w:r>
      <w:r w:rsidR="003C6E31">
        <w:t>)</w:t>
      </w:r>
    </w:p>
    <w:p w14:paraId="1F328C75" w14:textId="3BBEEA86" w:rsidR="00B52AEA" w:rsidRDefault="00B52AEA" w:rsidP="003D56F0">
      <w:pPr>
        <w:pStyle w:val="ListParagraph"/>
        <w:numPr>
          <w:ilvl w:val="0"/>
          <w:numId w:val="47"/>
        </w:numPr>
      </w:pPr>
      <w:r>
        <w:t>T</w:t>
      </w:r>
      <w:r w:rsidR="008276DF" w:rsidRPr="00AC2C72">
        <w:t xml:space="preserve">he rate of drug use stays constant at the 12 months level in the control group. </w:t>
      </w:r>
      <w:r w:rsidR="003C6E31">
        <w:t xml:space="preserve">(Scenario </w:t>
      </w:r>
      <w:r w:rsidR="004D24F1">
        <w:t>3</w:t>
      </w:r>
      <w:r w:rsidR="003C6E31">
        <w:t>)</w:t>
      </w:r>
    </w:p>
    <w:p w14:paraId="20E7B588" w14:textId="2637F95D" w:rsidR="008276DF" w:rsidRPr="00AC2C72" w:rsidRDefault="008276DF" w:rsidP="00CC7EC2">
      <w:r w:rsidRPr="00AC2C72">
        <w:t>Note that we did</w:t>
      </w:r>
      <w:r w:rsidR="00A25024">
        <w:t xml:space="preserve"> not </w:t>
      </w:r>
      <w:r w:rsidRPr="00AC2C72">
        <w:t xml:space="preserve">consider </w:t>
      </w:r>
      <w:r w:rsidR="00A25024">
        <w:t>a</w:t>
      </w:r>
      <w:r w:rsidRPr="00AC2C72">
        <w:t xml:space="preserve"> scenario in which drug use continues to change over the second year</w:t>
      </w:r>
      <w:r w:rsidR="00510E63">
        <w:t>,</w:t>
      </w:r>
      <w:r w:rsidRPr="00AC2C72">
        <w:t xml:space="preserve"> as further divergence of the two paths seems implausible</w:t>
      </w:r>
      <w:r w:rsidR="00A25024">
        <w:t>.</w:t>
      </w:r>
    </w:p>
    <w:p w14:paraId="7BD03F33" w14:textId="77777777" w:rsidR="008276DF" w:rsidRPr="00AC2C72" w:rsidRDefault="008276DF" w:rsidP="00AD2788"/>
    <w:p w14:paraId="5316911B" w14:textId="67ACA533" w:rsidR="00AC2C72" w:rsidRDefault="00AC2C72">
      <w:pPr>
        <w:pStyle w:val="Caption"/>
      </w:pPr>
      <w:bookmarkStart w:id="44" w:name="_Ref448418473"/>
      <w:r>
        <w:lastRenderedPageBreak/>
        <w:t xml:space="preserve">Figure </w:t>
      </w:r>
      <w:fldSimple w:instr=" SEQ Figure \* ARABIC ">
        <w:r w:rsidR="0087365D">
          <w:rPr>
            <w:noProof/>
          </w:rPr>
          <w:t>9</w:t>
        </w:r>
      </w:fldSimple>
      <w:bookmarkEnd w:id="44"/>
      <w:r>
        <w:t>. Decision Tree for model based on Familias Unidas intervention</w:t>
      </w:r>
    </w:p>
    <w:p w14:paraId="7C23C18A" w14:textId="05026567" w:rsidR="008276DF" w:rsidRPr="00AC2C72" w:rsidRDefault="008276DF">
      <w:r w:rsidRPr="00AC2C72">
        <w:rPr>
          <w:noProof/>
        </w:rPr>
        <w:drawing>
          <wp:inline distT="0" distB="0" distL="0" distR="0" wp14:anchorId="42187E7C" wp14:editId="40B9315D">
            <wp:extent cx="3886200" cy="3635207"/>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4717" cy="3643174"/>
                    </a:xfrm>
                    <a:prstGeom prst="rect">
                      <a:avLst/>
                    </a:prstGeom>
                    <a:noFill/>
                    <a:ln>
                      <a:noFill/>
                    </a:ln>
                  </pic:spPr>
                </pic:pic>
              </a:graphicData>
            </a:graphic>
          </wp:inline>
        </w:drawing>
      </w:r>
    </w:p>
    <w:p w14:paraId="2AF61FFE" w14:textId="77777777" w:rsidR="00D20595" w:rsidRPr="00AC2C72" w:rsidRDefault="00D20595"/>
    <w:p w14:paraId="206C70C3" w14:textId="27C2694C" w:rsidR="008276DF" w:rsidRDefault="00D20595">
      <w:pPr>
        <w:pStyle w:val="Heading6"/>
      </w:pPr>
      <w:r>
        <w:t>Results</w:t>
      </w:r>
    </w:p>
    <w:p w14:paraId="410BF407" w14:textId="77777777" w:rsidR="00D20595" w:rsidRPr="00F634F5" w:rsidRDefault="00D20595"/>
    <w:p w14:paraId="35FA109A" w14:textId="309FF41C" w:rsidR="00D20595" w:rsidRDefault="00D20595">
      <w:pPr>
        <w:pStyle w:val="Caption"/>
      </w:pPr>
      <w:r>
        <w:t xml:space="preserve">Table </w:t>
      </w:r>
      <w:fldSimple w:instr=" SEQ Table \* ARABIC ">
        <w:r w:rsidR="00D00623">
          <w:rPr>
            <w:noProof/>
          </w:rPr>
          <w:t>5</w:t>
        </w:r>
      </w:fldSimple>
      <w:r>
        <w:t>. Results of economic model based on Prado et al., (2012).</w:t>
      </w:r>
    </w:p>
    <w:p w14:paraId="412E66E4" w14:textId="49E550E8" w:rsidR="00D20595" w:rsidRPr="003D56F0" w:rsidRDefault="00C03D4C">
      <w:pPr>
        <w:rPr>
          <w:sz w:val="18"/>
          <w:szCs w:val="18"/>
          <w:lang w:val="en-US"/>
        </w:rPr>
      </w:pPr>
      <w:r w:rsidRPr="003D56F0">
        <w:rPr>
          <w:sz w:val="18"/>
          <w:szCs w:val="18"/>
          <w:lang w:val="en-US"/>
        </w:rPr>
        <w:t>Base Case Scenario.</w:t>
      </w:r>
    </w:p>
    <w:p w14:paraId="392E52E1" w14:textId="77777777" w:rsidR="00D20595" w:rsidRPr="003D56F0" w:rsidRDefault="00D20595">
      <w:pPr>
        <w:rPr>
          <w:sz w:val="18"/>
          <w:szCs w:val="18"/>
        </w:rPr>
      </w:pP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D20595" w:rsidRPr="003D56F0" w14:paraId="3A59C74F" w14:textId="77777777" w:rsidTr="008136FA">
        <w:tc>
          <w:tcPr>
            <w:tcW w:w="1540" w:type="dxa"/>
          </w:tcPr>
          <w:p w14:paraId="299FB81E" w14:textId="77777777" w:rsidR="00D20595" w:rsidRPr="003D56F0" w:rsidRDefault="00D20595" w:rsidP="00627432">
            <w:pPr>
              <w:rPr>
                <w:sz w:val="18"/>
                <w:szCs w:val="18"/>
                <w:lang w:val="fr-FR"/>
              </w:rPr>
            </w:pPr>
          </w:p>
        </w:tc>
        <w:tc>
          <w:tcPr>
            <w:tcW w:w="1540" w:type="dxa"/>
          </w:tcPr>
          <w:p w14:paraId="6F6727F8" w14:textId="77777777" w:rsidR="00D20595" w:rsidRPr="003D56F0" w:rsidRDefault="00D20595" w:rsidP="000B4925">
            <w:pPr>
              <w:rPr>
                <w:sz w:val="18"/>
                <w:szCs w:val="18"/>
              </w:rPr>
            </w:pPr>
            <w:r w:rsidRPr="003D56F0">
              <w:rPr>
                <w:sz w:val="18"/>
                <w:szCs w:val="18"/>
                <w:lang w:val="fr-FR"/>
              </w:rPr>
              <w:br/>
            </w:r>
            <w:r w:rsidRPr="003D56F0">
              <w:rPr>
                <w:rStyle w:val="Strong"/>
                <w:color w:val="000000"/>
                <w:sz w:val="18"/>
                <w:szCs w:val="18"/>
              </w:rPr>
              <w:t>Total costs (£)</w:t>
            </w:r>
          </w:p>
          <w:p w14:paraId="63754376" w14:textId="77777777" w:rsidR="00D20595" w:rsidRPr="003D56F0" w:rsidRDefault="00D20595" w:rsidP="003D56F0">
            <w:pPr>
              <w:rPr>
                <w:sz w:val="18"/>
                <w:szCs w:val="18"/>
                <w:lang w:val="en-US"/>
              </w:rPr>
            </w:pPr>
          </w:p>
        </w:tc>
        <w:tc>
          <w:tcPr>
            <w:tcW w:w="1540" w:type="dxa"/>
          </w:tcPr>
          <w:p w14:paraId="24A9F523" w14:textId="77777777" w:rsidR="00D20595" w:rsidRPr="003D56F0" w:rsidRDefault="00D20595" w:rsidP="003D56F0">
            <w:pPr>
              <w:rPr>
                <w:sz w:val="18"/>
                <w:szCs w:val="18"/>
              </w:rPr>
            </w:pPr>
            <w:r w:rsidRPr="003D56F0">
              <w:rPr>
                <w:sz w:val="18"/>
                <w:szCs w:val="18"/>
              </w:rPr>
              <w:br/>
            </w:r>
            <w:r w:rsidRPr="003D56F0">
              <w:rPr>
                <w:rStyle w:val="Strong"/>
                <w:color w:val="000000"/>
                <w:sz w:val="18"/>
                <w:szCs w:val="18"/>
              </w:rPr>
              <w:t>Total QALYs lost</w:t>
            </w:r>
          </w:p>
          <w:p w14:paraId="272E0F71" w14:textId="77777777" w:rsidR="00D20595" w:rsidRPr="003D56F0" w:rsidRDefault="00D20595" w:rsidP="003D56F0">
            <w:pPr>
              <w:rPr>
                <w:sz w:val="18"/>
                <w:szCs w:val="18"/>
                <w:lang w:val="en-US"/>
              </w:rPr>
            </w:pPr>
          </w:p>
        </w:tc>
        <w:tc>
          <w:tcPr>
            <w:tcW w:w="1540" w:type="dxa"/>
          </w:tcPr>
          <w:p w14:paraId="2D131FB8" w14:textId="77777777" w:rsidR="00D20595" w:rsidRPr="003D56F0" w:rsidRDefault="00D20595" w:rsidP="003D56F0">
            <w:pPr>
              <w:rPr>
                <w:rStyle w:val="Strong"/>
                <w:color w:val="000000"/>
                <w:sz w:val="18"/>
                <w:szCs w:val="18"/>
                <w:shd w:val="clear" w:color="auto" w:fill="FFFFFF"/>
              </w:rPr>
            </w:pPr>
          </w:p>
          <w:p w14:paraId="51B49C20" w14:textId="77777777" w:rsidR="00D20595" w:rsidRPr="003D56F0" w:rsidRDefault="00D20595" w:rsidP="003D56F0">
            <w:pPr>
              <w:rPr>
                <w:rFonts w:eastAsia="Times New Roman"/>
                <w:sz w:val="18"/>
                <w:szCs w:val="18"/>
                <w:lang w:val="en-US"/>
              </w:rPr>
            </w:pPr>
            <w:r w:rsidRPr="003D56F0">
              <w:rPr>
                <w:rStyle w:val="Strong"/>
                <w:color w:val="000000"/>
                <w:sz w:val="18"/>
                <w:szCs w:val="18"/>
                <w:shd w:val="clear" w:color="auto" w:fill="FFFFFF"/>
              </w:rPr>
              <w:t>Incremental costs (£)</w:t>
            </w:r>
          </w:p>
        </w:tc>
        <w:tc>
          <w:tcPr>
            <w:tcW w:w="1541" w:type="dxa"/>
          </w:tcPr>
          <w:p w14:paraId="18D66001" w14:textId="77777777" w:rsidR="00D20595" w:rsidRPr="003D56F0" w:rsidRDefault="00D20595" w:rsidP="003D56F0">
            <w:pPr>
              <w:rPr>
                <w:sz w:val="18"/>
                <w:szCs w:val="18"/>
              </w:rPr>
            </w:pPr>
            <w:r w:rsidRPr="003D56F0">
              <w:rPr>
                <w:sz w:val="18"/>
                <w:szCs w:val="18"/>
              </w:rPr>
              <w:br/>
            </w:r>
            <w:r w:rsidRPr="003D56F0">
              <w:rPr>
                <w:rStyle w:val="Strong"/>
                <w:color w:val="000000"/>
                <w:sz w:val="18"/>
                <w:szCs w:val="18"/>
              </w:rPr>
              <w:t>Incremental QALYs</w:t>
            </w:r>
          </w:p>
          <w:p w14:paraId="732DBACF" w14:textId="77777777" w:rsidR="00D20595" w:rsidRPr="003D56F0" w:rsidRDefault="00D20595" w:rsidP="003D56F0">
            <w:pPr>
              <w:rPr>
                <w:sz w:val="18"/>
                <w:szCs w:val="18"/>
                <w:lang w:val="en-US"/>
              </w:rPr>
            </w:pPr>
          </w:p>
        </w:tc>
        <w:tc>
          <w:tcPr>
            <w:tcW w:w="1541" w:type="dxa"/>
          </w:tcPr>
          <w:p w14:paraId="3C649D19" w14:textId="77777777" w:rsidR="00D20595" w:rsidRPr="003D56F0" w:rsidRDefault="00D20595" w:rsidP="003D56F0">
            <w:pPr>
              <w:rPr>
                <w:rStyle w:val="Strong"/>
                <w:color w:val="000000"/>
                <w:sz w:val="18"/>
                <w:szCs w:val="18"/>
                <w:shd w:val="clear" w:color="auto" w:fill="FFFFFF"/>
              </w:rPr>
            </w:pPr>
          </w:p>
          <w:p w14:paraId="7AEB9255" w14:textId="77777777" w:rsidR="00D20595" w:rsidRPr="003D56F0" w:rsidRDefault="00D20595" w:rsidP="003D56F0">
            <w:pPr>
              <w:rPr>
                <w:rFonts w:eastAsia="Times New Roman"/>
                <w:sz w:val="18"/>
                <w:szCs w:val="18"/>
                <w:lang w:val="en-US"/>
              </w:rPr>
            </w:pPr>
            <w:r w:rsidRPr="003D56F0">
              <w:rPr>
                <w:rStyle w:val="Strong"/>
                <w:color w:val="000000"/>
                <w:sz w:val="18"/>
                <w:szCs w:val="18"/>
                <w:shd w:val="clear" w:color="auto" w:fill="FFFFFF"/>
              </w:rPr>
              <w:t>ICER (£) (QALYs)</w:t>
            </w:r>
          </w:p>
        </w:tc>
      </w:tr>
      <w:tr w:rsidR="00D20595" w:rsidRPr="003D56F0" w14:paraId="684B3C42" w14:textId="77777777" w:rsidTr="003D56F0">
        <w:tc>
          <w:tcPr>
            <w:tcW w:w="1540" w:type="dxa"/>
          </w:tcPr>
          <w:p w14:paraId="2ACA9B09" w14:textId="47F8CE20" w:rsidR="00D20595" w:rsidRPr="003D56F0" w:rsidRDefault="00D20595" w:rsidP="00AD2788">
            <w:pPr>
              <w:rPr>
                <w:sz w:val="18"/>
                <w:szCs w:val="18"/>
                <w:lang w:val="en-US"/>
              </w:rPr>
            </w:pPr>
            <w:r w:rsidRPr="003D56F0">
              <w:rPr>
                <w:sz w:val="18"/>
                <w:szCs w:val="18"/>
                <w:lang w:val="fr-FR"/>
              </w:rPr>
              <w:t>Intervention</w:t>
            </w:r>
          </w:p>
        </w:tc>
        <w:tc>
          <w:tcPr>
            <w:tcW w:w="1540" w:type="dxa"/>
            <w:vAlign w:val="bottom"/>
          </w:tcPr>
          <w:p w14:paraId="5BBBCFF3" w14:textId="2F0873D3" w:rsidR="00D20595" w:rsidRPr="003D56F0" w:rsidRDefault="00D20595" w:rsidP="00627432">
            <w:pPr>
              <w:rPr>
                <w:sz w:val="18"/>
                <w:szCs w:val="18"/>
                <w:lang w:val="en-US"/>
              </w:rPr>
            </w:pPr>
            <w:r w:rsidRPr="003D56F0">
              <w:rPr>
                <w:sz w:val="18"/>
                <w:szCs w:val="18"/>
              </w:rPr>
              <w:t>£2,188,328</w:t>
            </w:r>
          </w:p>
        </w:tc>
        <w:tc>
          <w:tcPr>
            <w:tcW w:w="1540" w:type="dxa"/>
            <w:vAlign w:val="bottom"/>
          </w:tcPr>
          <w:p w14:paraId="6B7FC9C2" w14:textId="72502317" w:rsidR="00D20595" w:rsidRPr="003D56F0" w:rsidRDefault="00D20595" w:rsidP="00627432">
            <w:pPr>
              <w:rPr>
                <w:sz w:val="18"/>
                <w:szCs w:val="18"/>
                <w:lang w:val="en-US"/>
              </w:rPr>
            </w:pPr>
            <w:r w:rsidRPr="003D56F0">
              <w:rPr>
                <w:sz w:val="18"/>
                <w:szCs w:val="18"/>
              </w:rPr>
              <w:t>1.5</w:t>
            </w:r>
          </w:p>
        </w:tc>
        <w:tc>
          <w:tcPr>
            <w:tcW w:w="1540" w:type="dxa"/>
            <w:vMerge w:val="restart"/>
            <w:vAlign w:val="bottom"/>
          </w:tcPr>
          <w:p w14:paraId="6ADE6219" w14:textId="075F2777" w:rsidR="00D20595" w:rsidRPr="003D56F0" w:rsidRDefault="00D20595" w:rsidP="00627432">
            <w:pPr>
              <w:rPr>
                <w:sz w:val="18"/>
                <w:szCs w:val="18"/>
              </w:rPr>
            </w:pPr>
            <w:r w:rsidRPr="003D56F0">
              <w:rPr>
                <w:sz w:val="18"/>
                <w:szCs w:val="18"/>
              </w:rPr>
              <w:t>£540,376</w:t>
            </w:r>
          </w:p>
        </w:tc>
        <w:tc>
          <w:tcPr>
            <w:tcW w:w="1541" w:type="dxa"/>
            <w:vMerge w:val="restart"/>
            <w:vAlign w:val="bottom"/>
          </w:tcPr>
          <w:p w14:paraId="70664739" w14:textId="77777777" w:rsidR="00D20595" w:rsidRPr="003D56F0" w:rsidRDefault="00D20595" w:rsidP="003D56F0">
            <w:pPr>
              <w:rPr>
                <w:rFonts w:eastAsia="Times New Roman"/>
                <w:color w:val="000000"/>
                <w:sz w:val="18"/>
                <w:szCs w:val="18"/>
                <w:lang w:val="en-US"/>
              </w:rPr>
            </w:pPr>
            <w:r w:rsidRPr="003D56F0">
              <w:rPr>
                <w:sz w:val="18"/>
                <w:szCs w:val="18"/>
                <w:lang w:val="en-US"/>
              </w:rPr>
              <w:t>2.2</w:t>
            </w:r>
          </w:p>
        </w:tc>
        <w:tc>
          <w:tcPr>
            <w:tcW w:w="1541" w:type="dxa"/>
            <w:vMerge w:val="restart"/>
            <w:vAlign w:val="bottom"/>
          </w:tcPr>
          <w:p w14:paraId="66446107" w14:textId="1E3B0C16" w:rsidR="00D20595" w:rsidRPr="003D56F0" w:rsidRDefault="00D20595" w:rsidP="000B4925">
            <w:pPr>
              <w:rPr>
                <w:sz w:val="18"/>
                <w:szCs w:val="18"/>
                <w:lang w:val="en-US"/>
              </w:rPr>
            </w:pPr>
            <w:r w:rsidRPr="003D56F0">
              <w:rPr>
                <w:sz w:val="18"/>
                <w:szCs w:val="18"/>
              </w:rPr>
              <w:t>£240,994</w:t>
            </w:r>
          </w:p>
        </w:tc>
      </w:tr>
      <w:tr w:rsidR="00D20595" w:rsidRPr="003D56F0" w14:paraId="07DA6EB9" w14:textId="77777777" w:rsidTr="003D56F0">
        <w:tc>
          <w:tcPr>
            <w:tcW w:w="1540" w:type="dxa"/>
          </w:tcPr>
          <w:p w14:paraId="05620286" w14:textId="5A4B679B" w:rsidR="00D20595" w:rsidRPr="003D56F0" w:rsidRDefault="00D20595" w:rsidP="00AD2788">
            <w:pPr>
              <w:rPr>
                <w:sz w:val="18"/>
                <w:szCs w:val="18"/>
                <w:lang w:val="en-US"/>
              </w:rPr>
            </w:pPr>
            <w:r w:rsidRPr="003D56F0">
              <w:rPr>
                <w:sz w:val="18"/>
                <w:szCs w:val="18"/>
                <w:lang w:val="en-US"/>
              </w:rPr>
              <w:t>Comparator</w:t>
            </w:r>
          </w:p>
        </w:tc>
        <w:tc>
          <w:tcPr>
            <w:tcW w:w="1540" w:type="dxa"/>
            <w:vAlign w:val="bottom"/>
          </w:tcPr>
          <w:p w14:paraId="66BFEE36" w14:textId="19D28751" w:rsidR="00D20595" w:rsidRPr="003D56F0" w:rsidRDefault="00D20595" w:rsidP="00627432">
            <w:pPr>
              <w:rPr>
                <w:sz w:val="18"/>
                <w:szCs w:val="18"/>
                <w:lang w:val="en-US"/>
              </w:rPr>
            </w:pPr>
            <w:r w:rsidRPr="003D56F0">
              <w:rPr>
                <w:sz w:val="18"/>
                <w:szCs w:val="18"/>
              </w:rPr>
              <w:t>£1,647,952</w:t>
            </w:r>
          </w:p>
        </w:tc>
        <w:tc>
          <w:tcPr>
            <w:tcW w:w="1540" w:type="dxa"/>
            <w:vAlign w:val="bottom"/>
          </w:tcPr>
          <w:p w14:paraId="6C2273AB" w14:textId="77777777" w:rsidR="00D20595" w:rsidRPr="003D56F0" w:rsidRDefault="00D20595" w:rsidP="003D56F0">
            <w:pPr>
              <w:rPr>
                <w:rFonts w:eastAsia="Times New Roman"/>
                <w:color w:val="000000"/>
                <w:sz w:val="18"/>
                <w:szCs w:val="18"/>
                <w:lang w:val="en-US"/>
              </w:rPr>
            </w:pPr>
            <w:r w:rsidRPr="003D56F0">
              <w:rPr>
                <w:sz w:val="18"/>
                <w:szCs w:val="18"/>
                <w:lang w:val="en-US"/>
              </w:rPr>
              <w:t>3.8</w:t>
            </w:r>
          </w:p>
        </w:tc>
        <w:tc>
          <w:tcPr>
            <w:tcW w:w="1540" w:type="dxa"/>
            <w:vMerge/>
            <w:vAlign w:val="bottom"/>
          </w:tcPr>
          <w:p w14:paraId="00BC501A" w14:textId="77777777" w:rsidR="00D20595" w:rsidRPr="003D56F0" w:rsidRDefault="00D20595" w:rsidP="003D56F0">
            <w:pPr>
              <w:rPr>
                <w:sz w:val="18"/>
                <w:szCs w:val="18"/>
              </w:rPr>
            </w:pPr>
          </w:p>
        </w:tc>
        <w:tc>
          <w:tcPr>
            <w:tcW w:w="1541" w:type="dxa"/>
            <w:vMerge/>
            <w:vAlign w:val="bottom"/>
          </w:tcPr>
          <w:p w14:paraId="535994FD" w14:textId="77777777" w:rsidR="00D20595" w:rsidRPr="003D56F0" w:rsidRDefault="00D20595" w:rsidP="003D56F0">
            <w:pPr>
              <w:rPr>
                <w:sz w:val="18"/>
                <w:szCs w:val="18"/>
                <w:lang w:val="en-US"/>
              </w:rPr>
            </w:pPr>
          </w:p>
        </w:tc>
        <w:tc>
          <w:tcPr>
            <w:tcW w:w="1541" w:type="dxa"/>
            <w:vMerge/>
            <w:vAlign w:val="bottom"/>
          </w:tcPr>
          <w:p w14:paraId="2EB599CF" w14:textId="77777777" w:rsidR="00D20595" w:rsidRPr="003D56F0" w:rsidRDefault="00D20595" w:rsidP="003D56F0">
            <w:pPr>
              <w:rPr>
                <w:sz w:val="18"/>
                <w:szCs w:val="18"/>
                <w:lang w:val="en-US"/>
              </w:rPr>
            </w:pPr>
          </w:p>
        </w:tc>
      </w:tr>
    </w:tbl>
    <w:p w14:paraId="171B7B2E" w14:textId="409219F1" w:rsidR="00A92BA4" w:rsidRPr="003D56F0" w:rsidRDefault="00A92BA4">
      <w:pPr>
        <w:rPr>
          <w:sz w:val="18"/>
          <w:szCs w:val="18"/>
          <w:lang w:val="en-US"/>
        </w:rPr>
      </w:pPr>
      <w:r w:rsidRPr="003D56F0">
        <w:rPr>
          <w:sz w:val="18"/>
          <w:szCs w:val="18"/>
          <w:lang w:val="en-US"/>
        </w:rPr>
        <w:br/>
      </w:r>
    </w:p>
    <w:p w14:paraId="5A2D1166" w14:textId="7CFF8A50" w:rsidR="00D20595" w:rsidRPr="003D56F0" w:rsidRDefault="00C03D4C">
      <w:pPr>
        <w:rPr>
          <w:sz w:val="18"/>
          <w:szCs w:val="18"/>
          <w:lang w:val="en-US"/>
        </w:rPr>
      </w:pPr>
      <w:r w:rsidRPr="003D56F0">
        <w:rPr>
          <w:sz w:val="18"/>
          <w:szCs w:val="18"/>
          <w:lang w:val="en-US"/>
        </w:rPr>
        <w:t>Scenario 2. Drug use returns to baseline from 12-24 months.</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D20595" w:rsidRPr="003D56F0" w14:paraId="13399B7B" w14:textId="77777777" w:rsidTr="008136FA">
        <w:tc>
          <w:tcPr>
            <w:tcW w:w="1540" w:type="dxa"/>
          </w:tcPr>
          <w:p w14:paraId="0E0155BE" w14:textId="77777777" w:rsidR="00D20595" w:rsidRPr="003D56F0" w:rsidRDefault="00D20595" w:rsidP="00627432">
            <w:pPr>
              <w:rPr>
                <w:sz w:val="18"/>
                <w:szCs w:val="18"/>
                <w:lang w:val="en-US"/>
              </w:rPr>
            </w:pPr>
          </w:p>
        </w:tc>
        <w:tc>
          <w:tcPr>
            <w:tcW w:w="1540" w:type="dxa"/>
          </w:tcPr>
          <w:p w14:paraId="64430BC6" w14:textId="77777777" w:rsidR="00D20595" w:rsidRPr="003D56F0" w:rsidRDefault="00D20595" w:rsidP="000B4925">
            <w:pPr>
              <w:rPr>
                <w:sz w:val="18"/>
                <w:szCs w:val="18"/>
              </w:rPr>
            </w:pPr>
            <w:r w:rsidRPr="003D56F0">
              <w:rPr>
                <w:sz w:val="18"/>
                <w:szCs w:val="18"/>
                <w:lang w:val="en-US"/>
              </w:rPr>
              <w:br/>
            </w:r>
            <w:r w:rsidRPr="003D56F0">
              <w:rPr>
                <w:rStyle w:val="Strong"/>
                <w:color w:val="000000"/>
                <w:sz w:val="18"/>
                <w:szCs w:val="18"/>
              </w:rPr>
              <w:t>Total costs (£)</w:t>
            </w:r>
          </w:p>
          <w:p w14:paraId="7B279C25" w14:textId="77777777" w:rsidR="00D20595" w:rsidRPr="003D56F0" w:rsidRDefault="00D20595" w:rsidP="003D56F0">
            <w:pPr>
              <w:rPr>
                <w:sz w:val="18"/>
                <w:szCs w:val="18"/>
                <w:lang w:val="en-US"/>
              </w:rPr>
            </w:pPr>
          </w:p>
        </w:tc>
        <w:tc>
          <w:tcPr>
            <w:tcW w:w="1540" w:type="dxa"/>
          </w:tcPr>
          <w:p w14:paraId="399E22E4" w14:textId="77777777" w:rsidR="00D20595" w:rsidRPr="003D56F0" w:rsidRDefault="00D20595" w:rsidP="003D56F0">
            <w:pPr>
              <w:rPr>
                <w:sz w:val="18"/>
                <w:szCs w:val="18"/>
              </w:rPr>
            </w:pPr>
            <w:r w:rsidRPr="003D56F0">
              <w:rPr>
                <w:sz w:val="18"/>
                <w:szCs w:val="18"/>
              </w:rPr>
              <w:br/>
            </w:r>
            <w:r w:rsidRPr="003D56F0">
              <w:rPr>
                <w:rStyle w:val="Strong"/>
                <w:color w:val="000000"/>
                <w:sz w:val="18"/>
                <w:szCs w:val="18"/>
              </w:rPr>
              <w:t>Total QALYs lost</w:t>
            </w:r>
          </w:p>
          <w:p w14:paraId="02AD4A71" w14:textId="77777777" w:rsidR="00D20595" w:rsidRPr="003D56F0" w:rsidRDefault="00D20595" w:rsidP="003D56F0">
            <w:pPr>
              <w:rPr>
                <w:sz w:val="18"/>
                <w:szCs w:val="18"/>
                <w:lang w:val="en-US"/>
              </w:rPr>
            </w:pPr>
          </w:p>
        </w:tc>
        <w:tc>
          <w:tcPr>
            <w:tcW w:w="1540" w:type="dxa"/>
          </w:tcPr>
          <w:p w14:paraId="4D0D7AB6" w14:textId="77777777" w:rsidR="00D20595" w:rsidRPr="003D56F0" w:rsidRDefault="00D20595" w:rsidP="003D56F0">
            <w:pPr>
              <w:rPr>
                <w:rStyle w:val="Strong"/>
                <w:color w:val="000000"/>
                <w:sz w:val="18"/>
                <w:szCs w:val="18"/>
                <w:shd w:val="clear" w:color="auto" w:fill="FFFFFF"/>
              </w:rPr>
            </w:pPr>
          </w:p>
          <w:p w14:paraId="192971A9" w14:textId="77777777" w:rsidR="00D20595" w:rsidRPr="003D56F0" w:rsidRDefault="00D20595" w:rsidP="003D56F0">
            <w:pPr>
              <w:rPr>
                <w:rFonts w:eastAsia="Times New Roman"/>
                <w:sz w:val="18"/>
                <w:szCs w:val="18"/>
                <w:lang w:val="en-US"/>
              </w:rPr>
            </w:pPr>
            <w:r w:rsidRPr="003D56F0">
              <w:rPr>
                <w:rStyle w:val="Strong"/>
                <w:color w:val="000000"/>
                <w:sz w:val="18"/>
                <w:szCs w:val="18"/>
                <w:shd w:val="clear" w:color="auto" w:fill="FFFFFF"/>
              </w:rPr>
              <w:t>Incremental costs (£)</w:t>
            </w:r>
          </w:p>
        </w:tc>
        <w:tc>
          <w:tcPr>
            <w:tcW w:w="1541" w:type="dxa"/>
          </w:tcPr>
          <w:p w14:paraId="65FA2D32" w14:textId="77777777" w:rsidR="00D20595" w:rsidRPr="003D56F0" w:rsidRDefault="00D20595" w:rsidP="003D56F0">
            <w:pPr>
              <w:rPr>
                <w:sz w:val="18"/>
                <w:szCs w:val="18"/>
              </w:rPr>
            </w:pPr>
            <w:r w:rsidRPr="003D56F0">
              <w:rPr>
                <w:sz w:val="18"/>
                <w:szCs w:val="18"/>
              </w:rPr>
              <w:br/>
            </w:r>
            <w:r w:rsidRPr="003D56F0">
              <w:rPr>
                <w:rStyle w:val="Strong"/>
                <w:color w:val="000000"/>
                <w:sz w:val="18"/>
                <w:szCs w:val="18"/>
              </w:rPr>
              <w:t>Incremental QALYs</w:t>
            </w:r>
          </w:p>
          <w:p w14:paraId="49A4B7F9" w14:textId="77777777" w:rsidR="00D20595" w:rsidRPr="003D56F0" w:rsidRDefault="00D20595" w:rsidP="003D56F0">
            <w:pPr>
              <w:rPr>
                <w:sz w:val="18"/>
                <w:szCs w:val="18"/>
                <w:lang w:val="en-US"/>
              </w:rPr>
            </w:pPr>
          </w:p>
        </w:tc>
        <w:tc>
          <w:tcPr>
            <w:tcW w:w="1541" w:type="dxa"/>
          </w:tcPr>
          <w:p w14:paraId="4F329902" w14:textId="77777777" w:rsidR="00D20595" w:rsidRPr="003D56F0" w:rsidRDefault="00D20595" w:rsidP="003D56F0">
            <w:pPr>
              <w:rPr>
                <w:rStyle w:val="Strong"/>
                <w:color w:val="000000"/>
                <w:sz w:val="18"/>
                <w:szCs w:val="18"/>
                <w:shd w:val="clear" w:color="auto" w:fill="FFFFFF"/>
              </w:rPr>
            </w:pPr>
          </w:p>
          <w:p w14:paraId="6324BB7D" w14:textId="77777777" w:rsidR="00D20595" w:rsidRPr="003D56F0" w:rsidRDefault="00D20595" w:rsidP="003D56F0">
            <w:pPr>
              <w:rPr>
                <w:rFonts w:eastAsia="Times New Roman"/>
                <w:sz w:val="18"/>
                <w:szCs w:val="18"/>
                <w:lang w:val="en-US"/>
              </w:rPr>
            </w:pPr>
            <w:r w:rsidRPr="003D56F0">
              <w:rPr>
                <w:rStyle w:val="Strong"/>
                <w:color w:val="000000"/>
                <w:sz w:val="18"/>
                <w:szCs w:val="18"/>
                <w:shd w:val="clear" w:color="auto" w:fill="FFFFFF"/>
              </w:rPr>
              <w:t>ICER (£) (QALYs)</w:t>
            </w:r>
          </w:p>
        </w:tc>
      </w:tr>
      <w:tr w:rsidR="00D20595" w:rsidRPr="003D56F0" w14:paraId="5822350D" w14:textId="77777777" w:rsidTr="003D56F0">
        <w:tc>
          <w:tcPr>
            <w:tcW w:w="1540" w:type="dxa"/>
          </w:tcPr>
          <w:p w14:paraId="59A4DD3A" w14:textId="3FFA0FFD" w:rsidR="00D20595" w:rsidRPr="003D56F0" w:rsidRDefault="00D20595" w:rsidP="00AD2788">
            <w:pPr>
              <w:rPr>
                <w:sz w:val="18"/>
                <w:szCs w:val="18"/>
                <w:lang w:val="en-US"/>
              </w:rPr>
            </w:pPr>
            <w:r w:rsidRPr="003D56F0">
              <w:rPr>
                <w:sz w:val="18"/>
                <w:szCs w:val="18"/>
                <w:lang w:val="fr-FR"/>
              </w:rPr>
              <w:t>Intervention</w:t>
            </w:r>
          </w:p>
        </w:tc>
        <w:tc>
          <w:tcPr>
            <w:tcW w:w="1540" w:type="dxa"/>
            <w:vAlign w:val="bottom"/>
          </w:tcPr>
          <w:p w14:paraId="2543D357" w14:textId="774423CA" w:rsidR="00D20595" w:rsidRPr="003D56F0" w:rsidRDefault="00D20595" w:rsidP="00627432">
            <w:pPr>
              <w:rPr>
                <w:sz w:val="18"/>
                <w:szCs w:val="18"/>
                <w:lang w:val="en-US"/>
              </w:rPr>
            </w:pPr>
            <w:r w:rsidRPr="003D56F0">
              <w:rPr>
                <w:sz w:val="18"/>
                <w:szCs w:val="18"/>
              </w:rPr>
              <w:t>£2,410,841</w:t>
            </w:r>
          </w:p>
        </w:tc>
        <w:tc>
          <w:tcPr>
            <w:tcW w:w="1540" w:type="dxa"/>
            <w:vAlign w:val="bottom"/>
          </w:tcPr>
          <w:p w14:paraId="0845A262" w14:textId="0C1DF625" w:rsidR="00D20595" w:rsidRPr="003D56F0" w:rsidRDefault="00D20595" w:rsidP="00627432">
            <w:pPr>
              <w:rPr>
                <w:sz w:val="18"/>
                <w:szCs w:val="18"/>
                <w:lang w:val="en-US"/>
              </w:rPr>
            </w:pPr>
            <w:r w:rsidRPr="003D56F0">
              <w:rPr>
                <w:sz w:val="18"/>
                <w:szCs w:val="18"/>
              </w:rPr>
              <w:t>4.2</w:t>
            </w:r>
          </w:p>
        </w:tc>
        <w:tc>
          <w:tcPr>
            <w:tcW w:w="1540" w:type="dxa"/>
            <w:vMerge w:val="restart"/>
            <w:vAlign w:val="bottom"/>
          </w:tcPr>
          <w:p w14:paraId="478B3600" w14:textId="7478A35C" w:rsidR="00D20595" w:rsidRPr="003D56F0" w:rsidRDefault="00D20595" w:rsidP="00627432">
            <w:pPr>
              <w:rPr>
                <w:sz w:val="18"/>
                <w:szCs w:val="18"/>
              </w:rPr>
            </w:pPr>
            <w:r w:rsidRPr="003D56F0">
              <w:rPr>
                <w:sz w:val="18"/>
                <w:szCs w:val="18"/>
              </w:rPr>
              <w:t>£443,631</w:t>
            </w:r>
          </w:p>
        </w:tc>
        <w:tc>
          <w:tcPr>
            <w:tcW w:w="1541" w:type="dxa"/>
            <w:vMerge w:val="restart"/>
            <w:vAlign w:val="bottom"/>
          </w:tcPr>
          <w:p w14:paraId="42A38361" w14:textId="77777777" w:rsidR="00D20595" w:rsidRPr="003D56F0" w:rsidRDefault="00D20595" w:rsidP="003D56F0">
            <w:pPr>
              <w:rPr>
                <w:rFonts w:eastAsia="Times New Roman"/>
                <w:color w:val="000000"/>
                <w:sz w:val="18"/>
                <w:szCs w:val="18"/>
                <w:lang w:val="en-US"/>
              </w:rPr>
            </w:pPr>
            <w:r w:rsidRPr="003D56F0">
              <w:rPr>
                <w:sz w:val="18"/>
                <w:szCs w:val="18"/>
                <w:lang w:val="en-US"/>
              </w:rPr>
              <w:t>3.4</w:t>
            </w:r>
          </w:p>
        </w:tc>
        <w:tc>
          <w:tcPr>
            <w:tcW w:w="1541" w:type="dxa"/>
            <w:vMerge w:val="restart"/>
            <w:vAlign w:val="bottom"/>
          </w:tcPr>
          <w:p w14:paraId="2F1BCA07" w14:textId="0A5DD2FC" w:rsidR="00D20595" w:rsidRPr="003D56F0" w:rsidRDefault="00D20595" w:rsidP="000B4925">
            <w:pPr>
              <w:rPr>
                <w:sz w:val="18"/>
                <w:szCs w:val="18"/>
                <w:lang w:val="en-US"/>
              </w:rPr>
            </w:pPr>
            <w:r w:rsidRPr="003D56F0">
              <w:rPr>
                <w:sz w:val="18"/>
                <w:szCs w:val="18"/>
              </w:rPr>
              <w:t>£129,970</w:t>
            </w:r>
          </w:p>
        </w:tc>
      </w:tr>
      <w:tr w:rsidR="00D20595" w:rsidRPr="003D56F0" w14:paraId="2607C9E0" w14:textId="77777777" w:rsidTr="003D56F0">
        <w:tc>
          <w:tcPr>
            <w:tcW w:w="1540" w:type="dxa"/>
          </w:tcPr>
          <w:p w14:paraId="20570408" w14:textId="4C73D5A1" w:rsidR="00D20595" w:rsidRPr="003D56F0" w:rsidRDefault="00D20595" w:rsidP="00AD2788">
            <w:pPr>
              <w:rPr>
                <w:sz w:val="18"/>
                <w:szCs w:val="18"/>
                <w:lang w:val="en-US"/>
              </w:rPr>
            </w:pPr>
            <w:r w:rsidRPr="003D56F0">
              <w:rPr>
                <w:sz w:val="18"/>
                <w:szCs w:val="18"/>
                <w:lang w:val="en-US"/>
              </w:rPr>
              <w:t>Comparator</w:t>
            </w:r>
          </w:p>
        </w:tc>
        <w:tc>
          <w:tcPr>
            <w:tcW w:w="1540" w:type="dxa"/>
            <w:vAlign w:val="bottom"/>
          </w:tcPr>
          <w:p w14:paraId="1E97C782" w14:textId="12D7514A" w:rsidR="00D20595" w:rsidRPr="003D56F0" w:rsidRDefault="00D20595" w:rsidP="00627432">
            <w:pPr>
              <w:rPr>
                <w:sz w:val="18"/>
                <w:szCs w:val="18"/>
                <w:lang w:val="en-US"/>
              </w:rPr>
            </w:pPr>
            <w:r w:rsidRPr="003D56F0">
              <w:rPr>
                <w:sz w:val="18"/>
                <w:szCs w:val="18"/>
              </w:rPr>
              <w:t>£1,967,210</w:t>
            </w:r>
          </w:p>
        </w:tc>
        <w:tc>
          <w:tcPr>
            <w:tcW w:w="1540" w:type="dxa"/>
            <w:vAlign w:val="bottom"/>
          </w:tcPr>
          <w:p w14:paraId="3FCD81DF" w14:textId="77777777" w:rsidR="00D20595" w:rsidRPr="003D56F0" w:rsidRDefault="00D20595" w:rsidP="003D56F0">
            <w:pPr>
              <w:rPr>
                <w:rFonts w:eastAsia="Times New Roman"/>
                <w:color w:val="000000"/>
                <w:sz w:val="18"/>
                <w:szCs w:val="18"/>
                <w:lang w:val="en-US"/>
              </w:rPr>
            </w:pPr>
            <w:r w:rsidRPr="003D56F0">
              <w:rPr>
                <w:sz w:val="18"/>
                <w:szCs w:val="18"/>
                <w:lang w:val="en-US"/>
              </w:rPr>
              <w:t>7.6</w:t>
            </w:r>
          </w:p>
        </w:tc>
        <w:tc>
          <w:tcPr>
            <w:tcW w:w="1540" w:type="dxa"/>
            <w:vMerge/>
            <w:vAlign w:val="bottom"/>
          </w:tcPr>
          <w:p w14:paraId="49FC11F7" w14:textId="77777777" w:rsidR="00D20595" w:rsidRPr="003D56F0" w:rsidRDefault="00D20595" w:rsidP="003D56F0">
            <w:pPr>
              <w:rPr>
                <w:sz w:val="18"/>
                <w:szCs w:val="18"/>
              </w:rPr>
            </w:pPr>
          </w:p>
        </w:tc>
        <w:tc>
          <w:tcPr>
            <w:tcW w:w="1541" w:type="dxa"/>
            <w:vMerge/>
            <w:vAlign w:val="bottom"/>
          </w:tcPr>
          <w:p w14:paraId="664A1548" w14:textId="77777777" w:rsidR="00D20595" w:rsidRPr="003D56F0" w:rsidRDefault="00D20595" w:rsidP="003D56F0">
            <w:pPr>
              <w:rPr>
                <w:sz w:val="18"/>
                <w:szCs w:val="18"/>
                <w:lang w:val="en-US"/>
              </w:rPr>
            </w:pPr>
          </w:p>
        </w:tc>
        <w:tc>
          <w:tcPr>
            <w:tcW w:w="1541" w:type="dxa"/>
            <w:vMerge/>
            <w:vAlign w:val="bottom"/>
          </w:tcPr>
          <w:p w14:paraId="431F6238" w14:textId="77777777" w:rsidR="00D20595" w:rsidRPr="003D56F0" w:rsidRDefault="00D20595" w:rsidP="003D56F0">
            <w:pPr>
              <w:rPr>
                <w:sz w:val="18"/>
                <w:szCs w:val="18"/>
                <w:lang w:val="en-US"/>
              </w:rPr>
            </w:pPr>
          </w:p>
        </w:tc>
      </w:tr>
    </w:tbl>
    <w:p w14:paraId="13D84D73" w14:textId="77777777" w:rsidR="00D20595" w:rsidRPr="003D56F0" w:rsidRDefault="00D20595" w:rsidP="00CC7EC2">
      <w:pPr>
        <w:rPr>
          <w:sz w:val="18"/>
          <w:szCs w:val="18"/>
          <w:lang w:val="en-US"/>
        </w:rPr>
      </w:pPr>
    </w:p>
    <w:p w14:paraId="6C1FFBA8" w14:textId="77777777" w:rsidR="00D20595" w:rsidRPr="003D56F0" w:rsidRDefault="00D20595" w:rsidP="00AD2788">
      <w:pPr>
        <w:rPr>
          <w:sz w:val="18"/>
          <w:szCs w:val="18"/>
          <w:lang w:val="en-US"/>
        </w:rPr>
      </w:pPr>
    </w:p>
    <w:p w14:paraId="220655CB" w14:textId="726A1C91" w:rsidR="00D20595" w:rsidRPr="003D56F0" w:rsidRDefault="00D20595">
      <w:pPr>
        <w:rPr>
          <w:sz w:val="18"/>
          <w:szCs w:val="18"/>
          <w:lang w:val="en-US"/>
        </w:rPr>
      </w:pPr>
      <w:r w:rsidRPr="003D56F0">
        <w:rPr>
          <w:sz w:val="18"/>
          <w:szCs w:val="18"/>
          <w:lang w:val="en-US"/>
        </w:rPr>
        <w:t>Scenario 3</w:t>
      </w:r>
      <w:r w:rsidR="00C03D4C" w:rsidRPr="003D56F0">
        <w:rPr>
          <w:sz w:val="18"/>
          <w:szCs w:val="18"/>
          <w:lang w:val="en-US"/>
        </w:rPr>
        <w:t>. Drug use maintained from 12-24 months.</w:t>
      </w:r>
    </w:p>
    <w:tbl>
      <w:tblPr>
        <w:tblStyle w:val="TableGrid"/>
        <w:tblW w:w="0" w:type="auto"/>
        <w:tblLook w:val="04A0" w:firstRow="1" w:lastRow="0" w:firstColumn="1" w:lastColumn="0" w:noHBand="0" w:noVBand="1"/>
      </w:tblPr>
      <w:tblGrid>
        <w:gridCol w:w="1540"/>
        <w:gridCol w:w="1540"/>
        <w:gridCol w:w="1540"/>
        <w:gridCol w:w="1540"/>
        <w:gridCol w:w="1541"/>
        <w:gridCol w:w="1541"/>
      </w:tblGrid>
      <w:tr w:rsidR="00D20595" w:rsidRPr="003D56F0" w14:paraId="5CBA57F3" w14:textId="77777777" w:rsidTr="00A944B6">
        <w:tc>
          <w:tcPr>
            <w:tcW w:w="1540" w:type="dxa"/>
          </w:tcPr>
          <w:p w14:paraId="681606AA" w14:textId="77777777" w:rsidR="00D20595" w:rsidRPr="003D56F0" w:rsidRDefault="00D20595" w:rsidP="00627432">
            <w:pPr>
              <w:rPr>
                <w:sz w:val="18"/>
                <w:szCs w:val="18"/>
                <w:lang w:val="en-US"/>
              </w:rPr>
            </w:pPr>
          </w:p>
        </w:tc>
        <w:tc>
          <w:tcPr>
            <w:tcW w:w="1540" w:type="dxa"/>
          </w:tcPr>
          <w:p w14:paraId="300A9142" w14:textId="77777777" w:rsidR="00D20595" w:rsidRPr="003D56F0" w:rsidRDefault="00D20595" w:rsidP="000B4925">
            <w:pPr>
              <w:rPr>
                <w:sz w:val="18"/>
                <w:szCs w:val="18"/>
              </w:rPr>
            </w:pPr>
            <w:r w:rsidRPr="003D56F0">
              <w:rPr>
                <w:sz w:val="18"/>
                <w:szCs w:val="18"/>
                <w:lang w:val="en-US"/>
              </w:rPr>
              <w:br/>
            </w:r>
            <w:r w:rsidRPr="003D56F0">
              <w:rPr>
                <w:rStyle w:val="Strong"/>
                <w:color w:val="000000"/>
                <w:sz w:val="18"/>
                <w:szCs w:val="18"/>
              </w:rPr>
              <w:t>Total costs (£)</w:t>
            </w:r>
          </w:p>
          <w:p w14:paraId="2073613A" w14:textId="77777777" w:rsidR="00D20595" w:rsidRPr="003D56F0" w:rsidRDefault="00D20595" w:rsidP="003D56F0">
            <w:pPr>
              <w:rPr>
                <w:sz w:val="18"/>
                <w:szCs w:val="18"/>
                <w:lang w:val="en-US"/>
              </w:rPr>
            </w:pPr>
          </w:p>
        </w:tc>
        <w:tc>
          <w:tcPr>
            <w:tcW w:w="1540" w:type="dxa"/>
          </w:tcPr>
          <w:p w14:paraId="0565B628" w14:textId="77777777" w:rsidR="00D20595" w:rsidRPr="003D56F0" w:rsidRDefault="00D20595" w:rsidP="003D56F0">
            <w:pPr>
              <w:rPr>
                <w:sz w:val="18"/>
                <w:szCs w:val="18"/>
              </w:rPr>
            </w:pPr>
            <w:r w:rsidRPr="003D56F0">
              <w:rPr>
                <w:sz w:val="18"/>
                <w:szCs w:val="18"/>
              </w:rPr>
              <w:br/>
            </w:r>
            <w:r w:rsidRPr="003D56F0">
              <w:rPr>
                <w:rStyle w:val="Strong"/>
                <w:color w:val="000000"/>
                <w:sz w:val="18"/>
                <w:szCs w:val="18"/>
              </w:rPr>
              <w:t>Total QALYs lost</w:t>
            </w:r>
          </w:p>
          <w:p w14:paraId="2A09C5F8" w14:textId="77777777" w:rsidR="00D20595" w:rsidRPr="003D56F0" w:rsidRDefault="00D20595" w:rsidP="003D56F0">
            <w:pPr>
              <w:rPr>
                <w:sz w:val="18"/>
                <w:szCs w:val="18"/>
                <w:lang w:val="en-US"/>
              </w:rPr>
            </w:pPr>
          </w:p>
        </w:tc>
        <w:tc>
          <w:tcPr>
            <w:tcW w:w="1540" w:type="dxa"/>
          </w:tcPr>
          <w:p w14:paraId="53FC7FBA" w14:textId="77777777" w:rsidR="00D20595" w:rsidRPr="003D56F0" w:rsidRDefault="00D20595" w:rsidP="003D56F0">
            <w:pPr>
              <w:rPr>
                <w:rStyle w:val="Strong"/>
                <w:color w:val="000000"/>
                <w:sz w:val="18"/>
                <w:szCs w:val="18"/>
                <w:shd w:val="clear" w:color="auto" w:fill="FFFFFF"/>
              </w:rPr>
            </w:pPr>
          </w:p>
          <w:p w14:paraId="18BCEB19" w14:textId="77777777" w:rsidR="00D20595" w:rsidRPr="003D56F0" w:rsidRDefault="00D20595" w:rsidP="003D56F0">
            <w:pPr>
              <w:rPr>
                <w:rFonts w:eastAsia="Times New Roman"/>
                <w:sz w:val="18"/>
                <w:szCs w:val="18"/>
                <w:lang w:val="en-US"/>
              </w:rPr>
            </w:pPr>
            <w:r w:rsidRPr="003D56F0">
              <w:rPr>
                <w:rStyle w:val="Strong"/>
                <w:color w:val="000000"/>
                <w:sz w:val="18"/>
                <w:szCs w:val="18"/>
                <w:shd w:val="clear" w:color="auto" w:fill="FFFFFF"/>
              </w:rPr>
              <w:t>Incremental costs (£)</w:t>
            </w:r>
          </w:p>
        </w:tc>
        <w:tc>
          <w:tcPr>
            <w:tcW w:w="1541" w:type="dxa"/>
          </w:tcPr>
          <w:p w14:paraId="2293E078" w14:textId="77777777" w:rsidR="00D20595" w:rsidRPr="003D56F0" w:rsidRDefault="00D20595" w:rsidP="003D56F0">
            <w:pPr>
              <w:rPr>
                <w:sz w:val="18"/>
                <w:szCs w:val="18"/>
              </w:rPr>
            </w:pPr>
            <w:r w:rsidRPr="003D56F0">
              <w:rPr>
                <w:sz w:val="18"/>
                <w:szCs w:val="18"/>
              </w:rPr>
              <w:br/>
            </w:r>
            <w:r w:rsidRPr="003D56F0">
              <w:rPr>
                <w:rStyle w:val="Strong"/>
                <w:color w:val="000000"/>
                <w:sz w:val="18"/>
                <w:szCs w:val="18"/>
              </w:rPr>
              <w:t>Incremental QALYs</w:t>
            </w:r>
          </w:p>
          <w:p w14:paraId="1E1732E3" w14:textId="77777777" w:rsidR="00D20595" w:rsidRPr="003D56F0" w:rsidRDefault="00D20595" w:rsidP="003D56F0">
            <w:pPr>
              <w:rPr>
                <w:sz w:val="18"/>
                <w:szCs w:val="18"/>
                <w:lang w:val="en-US"/>
              </w:rPr>
            </w:pPr>
          </w:p>
        </w:tc>
        <w:tc>
          <w:tcPr>
            <w:tcW w:w="1541" w:type="dxa"/>
          </w:tcPr>
          <w:p w14:paraId="7B07F964" w14:textId="77777777" w:rsidR="00D20595" w:rsidRPr="003D56F0" w:rsidRDefault="00D20595" w:rsidP="003D56F0">
            <w:pPr>
              <w:rPr>
                <w:rStyle w:val="Strong"/>
                <w:color w:val="000000"/>
                <w:sz w:val="18"/>
                <w:szCs w:val="18"/>
                <w:shd w:val="clear" w:color="auto" w:fill="FFFFFF"/>
              </w:rPr>
            </w:pPr>
          </w:p>
          <w:p w14:paraId="7BF763BE" w14:textId="77777777" w:rsidR="00D20595" w:rsidRPr="003D56F0" w:rsidRDefault="00D20595" w:rsidP="003D56F0">
            <w:pPr>
              <w:rPr>
                <w:rFonts w:eastAsia="Times New Roman"/>
                <w:sz w:val="18"/>
                <w:szCs w:val="18"/>
                <w:lang w:val="en-US"/>
              </w:rPr>
            </w:pPr>
            <w:r w:rsidRPr="003D56F0">
              <w:rPr>
                <w:rStyle w:val="Strong"/>
                <w:color w:val="000000"/>
                <w:sz w:val="18"/>
                <w:szCs w:val="18"/>
                <w:shd w:val="clear" w:color="auto" w:fill="FFFFFF"/>
              </w:rPr>
              <w:t>ICER (£) (QALYs)</w:t>
            </w:r>
          </w:p>
        </w:tc>
      </w:tr>
      <w:tr w:rsidR="00D20595" w:rsidRPr="003D56F0" w14:paraId="72AE3063" w14:textId="77777777" w:rsidTr="003D56F0">
        <w:tc>
          <w:tcPr>
            <w:tcW w:w="1540" w:type="dxa"/>
          </w:tcPr>
          <w:p w14:paraId="153C57B6" w14:textId="69564884" w:rsidR="00D20595" w:rsidRPr="003D56F0" w:rsidRDefault="00D20595" w:rsidP="00AD2788">
            <w:pPr>
              <w:rPr>
                <w:sz w:val="18"/>
                <w:szCs w:val="18"/>
                <w:lang w:val="en-US"/>
              </w:rPr>
            </w:pPr>
            <w:r w:rsidRPr="003D56F0">
              <w:rPr>
                <w:sz w:val="18"/>
                <w:szCs w:val="18"/>
                <w:lang w:val="fr-FR"/>
              </w:rPr>
              <w:t>Intervention</w:t>
            </w:r>
          </w:p>
        </w:tc>
        <w:tc>
          <w:tcPr>
            <w:tcW w:w="1540" w:type="dxa"/>
            <w:vAlign w:val="bottom"/>
          </w:tcPr>
          <w:p w14:paraId="0BAD00B3" w14:textId="2E28D87B" w:rsidR="00D20595" w:rsidRPr="003D56F0" w:rsidRDefault="00D20595" w:rsidP="00627432">
            <w:pPr>
              <w:rPr>
                <w:sz w:val="18"/>
                <w:szCs w:val="18"/>
                <w:lang w:val="en-US"/>
              </w:rPr>
            </w:pPr>
            <w:r w:rsidRPr="003D56F0">
              <w:rPr>
                <w:sz w:val="18"/>
                <w:szCs w:val="18"/>
              </w:rPr>
              <w:t>£2,410,841</w:t>
            </w:r>
          </w:p>
        </w:tc>
        <w:tc>
          <w:tcPr>
            <w:tcW w:w="1540" w:type="dxa"/>
            <w:vAlign w:val="bottom"/>
          </w:tcPr>
          <w:p w14:paraId="3D7C2EC6" w14:textId="7005A911" w:rsidR="00D20595" w:rsidRPr="003D56F0" w:rsidRDefault="00D20595" w:rsidP="00627432">
            <w:pPr>
              <w:rPr>
                <w:sz w:val="18"/>
                <w:szCs w:val="18"/>
                <w:lang w:val="en-US"/>
              </w:rPr>
            </w:pPr>
            <w:r w:rsidRPr="003D56F0">
              <w:rPr>
                <w:sz w:val="18"/>
                <w:szCs w:val="18"/>
              </w:rPr>
              <w:t>4.2</w:t>
            </w:r>
          </w:p>
        </w:tc>
        <w:tc>
          <w:tcPr>
            <w:tcW w:w="1540" w:type="dxa"/>
            <w:vMerge w:val="restart"/>
            <w:vAlign w:val="bottom"/>
          </w:tcPr>
          <w:p w14:paraId="0DA31F55" w14:textId="2433EED5" w:rsidR="00D20595" w:rsidRPr="003D56F0" w:rsidRDefault="00D20595" w:rsidP="00627432">
            <w:pPr>
              <w:rPr>
                <w:sz w:val="18"/>
                <w:szCs w:val="18"/>
              </w:rPr>
            </w:pPr>
            <w:r w:rsidRPr="003D56F0">
              <w:rPr>
                <w:sz w:val="18"/>
                <w:szCs w:val="18"/>
              </w:rPr>
              <w:t>£414,607</w:t>
            </w:r>
          </w:p>
        </w:tc>
        <w:tc>
          <w:tcPr>
            <w:tcW w:w="1541" w:type="dxa"/>
            <w:vMerge w:val="restart"/>
            <w:vAlign w:val="bottom"/>
          </w:tcPr>
          <w:p w14:paraId="45F5ACC3" w14:textId="77777777" w:rsidR="00D20595" w:rsidRPr="003D56F0" w:rsidRDefault="00D20595" w:rsidP="003D56F0">
            <w:pPr>
              <w:rPr>
                <w:rFonts w:eastAsia="Times New Roman"/>
                <w:color w:val="000000"/>
                <w:sz w:val="18"/>
                <w:szCs w:val="18"/>
                <w:lang w:val="en-US"/>
              </w:rPr>
            </w:pPr>
            <w:r w:rsidRPr="003D56F0">
              <w:rPr>
                <w:sz w:val="18"/>
                <w:szCs w:val="18"/>
                <w:lang w:val="en-US"/>
              </w:rPr>
              <w:t>3.8</w:t>
            </w:r>
          </w:p>
        </w:tc>
        <w:tc>
          <w:tcPr>
            <w:tcW w:w="1541" w:type="dxa"/>
            <w:vMerge w:val="restart"/>
            <w:vAlign w:val="bottom"/>
          </w:tcPr>
          <w:p w14:paraId="1DDE429D" w14:textId="72D97E9F" w:rsidR="00D20595" w:rsidRPr="003D56F0" w:rsidRDefault="00D20595" w:rsidP="000B4925">
            <w:pPr>
              <w:rPr>
                <w:sz w:val="18"/>
                <w:szCs w:val="18"/>
                <w:lang w:val="en-US"/>
              </w:rPr>
            </w:pPr>
            <w:r w:rsidRPr="003D56F0">
              <w:rPr>
                <w:sz w:val="18"/>
                <w:szCs w:val="18"/>
              </w:rPr>
              <w:t>£110,132</w:t>
            </w:r>
          </w:p>
        </w:tc>
      </w:tr>
      <w:tr w:rsidR="00D20595" w:rsidRPr="003D56F0" w14:paraId="02137F6C" w14:textId="77777777" w:rsidTr="003D56F0">
        <w:tc>
          <w:tcPr>
            <w:tcW w:w="1540" w:type="dxa"/>
          </w:tcPr>
          <w:p w14:paraId="08FCBED2" w14:textId="1CDB7D7E" w:rsidR="00D20595" w:rsidRPr="003D56F0" w:rsidRDefault="00D20595" w:rsidP="00AD2788">
            <w:pPr>
              <w:rPr>
                <w:sz w:val="18"/>
                <w:szCs w:val="18"/>
                <w:lang w:val="en-US"/>
              </w:rPr>
            </w:pPr>
            <w:r w:rsidRPr="003D56F0">
              <w:rPr>
                <w:sz w:val="18"/>
                <w:szCs w:val="18"/>
                <w:lang w:val="en-US"/>
              </w:rPr>
              <w:t>Comparator</w:t>
            </w:r>
          </w:p>
        </w:tc>
        <w:tc>
          <w:tcPr>
            <w:tcW w:w="1540" w:type="dxa"/>
            <w:vAlign w:val="bottom"/>
          </w:tcPr>
          <w:p w14:paraId="7346073D" w14:textId="2B6A1B9F" w:rsidR="00D20595" w:rsidRPr="003D56F0" w:rsidRDefault="00D20595" w:rsidP="00627432">
            <w:pPr>
              <w:rPr>
                <w:sz w:val="18"/>
                <w:szCs w:val="18"/>
                <w:lang w:val="en-US"/>
              </w:rPr>
            </w:pPr>
            <w:r w:rsidRPr="003D56F0">
              <w:rPr>
                <w:sz w:val="18"/>
                <w:szCs w:val="18"/>
              </w:rPr>
              <w:t>£1,996,234</w:t>
            </w:r>
          </w:p>
        </w:tc>
        <w:tc>
          <w:tcPr>
            <w:tcW w:w="1540" w:type="dxa"/>
            <w:vAlign w:val="bottom"/>
          </w:tcPr>
          <w:p w14:paraId="6090B6A1" w14:textId="4FDA87C4" w:rsidR="00D20595" w:rsidRPr="003D56F0" w:rsidRDefault="00D20595" w:rsidP="003D56F0">
            <w:pPr>
              <w:rPr>
                <w:rFonts w:eastAsia="Times New Roman"/>
                <w:color w:val="000000"/>
                <w:sz w:val="18"/>
                <w:szCs w:val="18"/>
                <w:lang w:val="en-US"/>
              </w:rPr>
            </w:pPr>
            <w:r w:rsidRPr="003D56F0">
              <w:rPr>
                <w:sz w:val="18"/>
                <w:szCs w:val="18"/>
                <w:lang w:val="en-US"/>
              </w:rPr>
              <w:t>8</w:t>
            </w:r>
            <w:r w:rsidR="00343081" w:rsidRPr="003D56F0">
              <w:rPr>
                <w:sz w:val="18"/>
                <w:szCs w:val="18"/>
                <w:lang w:val="en-US"/>
              </w:rPr>
              <w:t>.0</w:t>
            </w:r>
          </w:p>
        </w:tc>
        <w:tc>
          <w:tcPr>
            <w:tcW w:w="1540" w:type="dxa"/>
            <w:vMerge/>
            <w:vAlign w:val="bottom"/>
          </w:tcPr>
          <w:p w14:paraId="2ABB27EA" w14:textId="77777777" w:rsidR="00D20595" w:rsidRPr="003D56F0" w:rsidRDefault="00D20595" w:rsidP="003D56F0">
            <w:pPr>
              <w:rPr>
                <w:sz w:val="18"/>
                <w:szCs w:val="18"/>
              </w:rPr>
            </w:pPr>
          </w:p>
        </w:tc>
        <w:tc>
          <w:tcPr>
            <w:tcW w:w="1541" w:type="dxa"/>
            <w:vMerge/>
            <w:vAlign w:val="bottom"/>
          </w:tcPr>
          <w:p w14:paraId="68F70549" w14:textId="77777777" w:rsidR="00D20595" w:rsidRPr="003D56F0" w:rsidRDefault="00D20595" w:rsidP="003D56F0">
            <w:pPr>
              <w:rPr>
                <w:sz w:val="18"/>
                <w:szCs w:val="18"/>
                <w:lang w:val="en-US"/>
              </w:rPr>
            </w:pPr>
          </w:p>
        </w:tc>
        <w:tc>
          <w:tcPr>
            <w:tcW w:w="1541" w:type="dxa"/>
            <w:vMerge/>
            <w:vAlign w:val="bottom"/>
          </w:tcPr>
          <w:p w14:paraId="6792B415" w14:textId="77777777" w:rsidR="00D20595" w:rsidRPr="003D56F0" w:rsidRDefault="00D20595" w:rsidP="003D56F0">
            <w:pPr>
              <w:rPr>
                <w:sz w:val="18"/>
                <w:szCs w:val="18"/>
                <w:lang w:val="en-US"/>
              </w:rPr>
            </w:pPr>
          </w:p>
        </w:tc>
      </w:tr>
    </w:tbl>
    <w:p w14:paraId="1CD21EAF" w14:textId="77777777" w:rsidR="00D20595" w:rsidRPr="00A944B6" w:rsidRDefault="00D20595" w:rsidP="00CC7EC2"/>
    <w:p w14:paraId="251573C5" w14:textId="77777777" w:rsidR="005006EE" w:rsidRPr="00AC2C72" w:rsidRDefault="005006EE" w:rsidP="00AD2788">
      <w:pPr>
        <w:pStyle w:val="ListParagraph"/>
      </w:pPr>
    </w:p>
    <w:p w14:paraId="7EEB1D72" w14:textId="1526945D" w:rsidR="003230DD" w:rsidRPr="00A944B6" w:rsidRDefault="00510E63">
      <w:r>
        <w:t>The</w:t>
      </w:r>
      <w:r w:rsidR="003230DD" w:rsidRPr="00A944B6">
        <w:t xml:space="preserve"> ICER for Familias Unidas intervention is at least £110</w:t>
      </w:r>
      <w:r w:rsidR="0004554C">
        <w:t>,</w:t>
      </w:r>
      <w:r w:rsidR="003230DD" w:rsidRPr="00A944B6">
        <w:t xml:space="preserve">132. </w:t>
      </w:r>
      <w:r>
        <w:t>E</w:t>
      </w:r>
      <w:r w:rsidR="003230DD" w:rsidRPr="00A944B6">
        <w:t xml:space="preserve">ven assuming that the impact of intervention lasts for two years, this intervention would not be cost effective. Incremental cost per young person (12-17) prevented from using cannabis for 12 months is £218. Break-even analysis shows that a reduction in the cost of the intervention will make it cost effective. </w:t>
      </w:r>
      <w:r>
        <w:t>T</w:t>
      </w:r>
      <w:r w:rsidR="003230DD" w:rsidRPr="00A944B6">
        <w:t>he cost of the intervention needs to decrease by 24% i</w:t>
      </w:r>
      <w:r w:rsidR="0004554C">
        <w:t xml:space="preserve">n the base case </w:t>
      </w:r>
      <w:r w:rsidR="002A4387">
        <w:t>or by 16% in scenario 3</w:t>
      </w:r>
      <w:r w:rsidR="003230DD" w:rsidRPr="00A944B6">
        <w:t xml:space="preserve"> for the intervention to be a cost-effective use of NHS resources at a willingness-to-pay </w:t>
      </w:r>
      <w:r w:rsidR="002A4387">
        <w:t xml:space="preserve">threshold </w:t>
      </w:r>
      <w:r w:rsidR="003230DD" w:rsidRPr="00A944B6">
        <w:t xml:space="preserve">of £20,000 per QALY. </w:t>
      </w:r>
    </w:p>
    <w:p w14:paraId="7E4D4B0A" w14:textId="77777777" w:rsidR="008276DF" w:rsidRPr="00AC2C72" w:rsidRDefault="008276DF"/>
    <w:p w14:paraId="2B97D597" w14:textId="02C91D3B" w:rsidR="003230DD" w:rsidRPr="00AC2C72" w:rsidRDefault="003230DD">
      <w:r w:rsidRPr="00AC2C72">
        <w:t xml:space="preserve">RTA costs are not included in the baseline analysis. These costs are limited to individuals at age 17. </w:t>
      </w:r>
      <w:r>
        <w:t>Including</w:t>
      </w:r>
      <w:r w:rsidRPr="00AC2C72">
        <w:t xml:space="preserve"> road traffic accidents</w:t>
      </w:r>
      <w:r w:rsidR="0004554C">
        <w:t xml:space="preserve"> decrease</w:t>
      </w:r>
      <w:r w:rsidR="000B701B">
        <w:t>s</w:t>
      </w:r>
      <w:r w:rsidR="0004554C">
        <w:t xml:space="preserve"> the ICER in the</w:t>
      </w:r>
      <w:r>
        <w:t xml:space="preserve"> </w:t>
      </w:r>
      <w:r w:rsidR="000B701B">
        <w:t xml:space="preserve">base case </w:t>
      </w:r>
      <w:r w:rsidR="00B60A78">
        <w:t>to</w:t>
      </w:r>
      <w:r>
        <w:t xml:space="preserve"> £205</w:t>
      </w:r>
      <w:r w:rsidR="0004554C">
        <w:t>,</w:t>
      </w:r>
      <w:r>
        <w:t>442.</w:t>
      </w:r>
    </w:p>
    <w:p w14:paraId="1E14DFD5" w14:textId="77777777" w:rsidR="008276DF" w:rsidRPr="00AC2C72" w:rsidRDefault="008276DF"/>
    <w:p w14:paraId="21DBA53B" w14:textId="77777777" w:rsidR="008276DF" w:rsidRPr="00AC2C72" w:rsidRDefault="008276DF">
      <w:pPr>
        <w:pStyle w:val="Heading6"/>
      </w:pPr>
      <w:r w:rsidRPr="00AC2C72">
        <w:t>One-way sensitivity analysis (Tornado diagram)</w:t>
      </w:r>
    </w:p>
    <w:p w14:paraId="025E7A6A" w14:textId="77777777" w:rsidR="008276DF" w:rsidRPr="00AC2C72" w:rsidRDefault="008276DF"/>
    <w:p w14:paraId="7D8AEDE6" w14:textId="281193DB" w:rsidR="008276DF" w:rsidRPr="00AC2C72" w:rsidRDefault="008276DF">
      <w:r w:rsidRPr="00AC2C72">
        <w:t xml:space="preserve">In </w:t>
      </w:r>
      <w:r w:rsidR="00264C50" w:rsidRPr="00AC2C72">
        <w:t xml:space="preserve">a </w:t>
      </w:r>
      <w:r w:rsidRPr="00AC2C72">
        <w:t>one-way sensitivity analysis the change in the proportion of drug users in the follow up compared with baseline has been varied by +/- 25%</w:t>
      </w:r>
      <w:r w:rsidR="000A3D41">
        <w:t xml:space="preserve"> (see </w:t>
      </w:r>
      <w:r w:rsidR="000A3D41">
        <w:fldChar w:fldCharType="begin"/>
      </w:r>
      <w:r w:rsidR="000A3D41">
        <w:instrText xml:space="preserve"> REF _Ref448418513 \h </w:instrText>
      </w:r>
      <w:r w:rsidR="00940B3D">
        <w:instrText xml:space="preserve"> \* MERGEFORMAT </w:instrText>
      </w:r>
      <w:r w:rsidR="000A3D41">
        <w:fldChar w:fldCharType="separate"/>
      </w:r>
      <w:r w:rsidR="0087365D">
        <w:t xml:space="preserve">Figure </w:t>
      </w:r>
      <w:r w:rsidR="0087365D">
        <w:rPr>
          <w:noProof/>
        </w:rPr>
        <w:t>10</w:t>
      </w:r>
      <w:r w:rsidR="000A3D41">
        <w:fldChar w:fldCharType="end"/>
      </w:r>
      <w:r w:rsidR="000A3D41">
        <w:t>)</w:t>
      </w:r>
      <w:r w:rsidRPr="00AC2C72">
        <w:t xml:space="preserve">. The intervention is targeted at reducing alcohol use and risky sexual behaviour in addition to drug use. The costs of an intervention targeted at drug use only might be less, so we considered a +/- 25% variation in costs of intervention </w:t>
      </w:r>
      <w:r w:rsidR="00B60A78">
        <w:t>and</w:t>
      </w:r>
      <w:r w:rsidRPr="00AC2C72">
        <w:t xml:space="preserve"> c</w:t>
      </w:r>
      <w:r w:rsidR="00B60A78">
        <w:t>omparator</w:t>
      </w:r>
      <w:r w:rsidRPr="00AC2C72">
        <w:t xml:space="preserve">. The key factors affecting the cost effectiveness of Familias Unidas are program costs </w:t>
      </w:r>
      <w:r w:rsidR="00B60A78">
        <w:t>and</w:t>
      </w:r>
      <w:r w:rsidRPr="00AC2C72">
        <w:t xml:space="preserve"> the costs of community practice</w:t>
      </w:r>
      <w:r w:rsidR="00264C50" w:rsidRPr="00AC2C72">
        <w:t xml:space="preserve"> (the comparator).</w:t>
      </w:r>
    </w:p>
    <w:p w14:paraId="55D59601" w14:textId="77777777" w:rsidR="008276DF" w:rsidRPr="00AC2C72" w:rsidRDefault="008276DF"/>
    <w:p w14:paraId="45B4180B" w14:textId="77777777" w:rsidR="00720CEB" w:rsidRPr="00AC2C72" w:rsidRDefault="00720CEB"/>
    <w:p w14:paraId="486B0EA5" w14:textId="69B58441" w:rsidR="00A25024" w:rsidRDefault="00A25024">
      <w:pPr>
        <w:pStyle w:val="Caption"/>
      </w:pPr>
      <w:bookmarkStart w:id="45" w:name="_Ref448418513"/>
      <w:r>
        <w:lastRenderedPageBreak/>
        <w:t xml:space="preserve">Figure </w:t>
      </w:r>
      <w:fldSimple w:instr=" SEQ Figure \* ARABIC ">
        <w:r w:rsidR="0087365D">
          <w:rPr>
            <w:noProof/>
          </w:rPr>
          <w:t>10</w:t>
        </w:r>
      </w:fldSimple>
      <w:bookmarkEnd w:id="45"/>
      <w:r>
        <w:t xml:space="preserve">. </w:t>
      </w:r>
      <w:r w:rsidRPr="00AC2C72">
        <w:t xml:space="preserve">Tornado diagram </w:t>
      </w:r>
      <w:r w:rsidR="00321F84">
        <w:t>showing</w:t>
      </w:r>
      <w:r w:rsidR="00AD74FA">
        <w:t xml:space="preserve"> differences in</w:t>
      </w:r>
      <w:r w:rsidR="00321F84">
        <w:t xml:space="preserve"> </w:t>
      </w:r>
      <w:r w:rsidR="00A92BA4">
        <w:t>net monetary benefit</w:t>
      </w:r>
      <w:r w:rsidRPr="00AC2C72">
        <w:t xml:space="preserve"> </w:t>
      </w:r>
      <w:r w:rsidR="00A92BA4">
        <w:t>from</w:t>
      </w:r>
      <w:r w:rsidRPr="00AC2C72">
        <w:t xml:space="preserve"> Familias Unidas intervention (Scenario 3)</w:t>
      </w:r>
      <w:r w:rsidR="00AD74FA">
        <w:t xml:space="preserve"> with changes in model parameters.</w:t>
      </w:r>
      <w:r w:rsidR="00A92BA4">
        <w:t xml:space="preserve"> NMB values each QALY at £20,000.</w:t>
      </w:r>
    </w:p>
    <w:p w14:paraId="5BD3DBD6" w14:textId="456209A2" w:rsidR="004B4306" w:rsidRDefault="00343081">
      <w:r>
        <w:rPr>
          <w:noProof/>
        </w:rPr>
        <w:drawing>
          <wp:inline distT="0" distB="0" distL="0" distR="0" wp14:anchorId="1A61DAF1" wp14:editId="2A332811">
            <wp:extent cx="5731510" cy="436880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764"/>
                    <a:stretch/>
                  </pic:blipFill>
                  <pic:spPr bwMode="auto">
                    <a:xfrm>
                      <a:off x="0" y="0"/>
                      <a:ext cx="5731510" cy="4368800"/>
                    </a:xfrm>
                    <a:prstGeom prst="rect">
                      <a:avLst/>
                    </a:prstGeom>
                    <a:ln>
                      <a:noFill/>
                    </a:ln>
                    <a:extLst>
                      <a:ext uri="{53640926-AAD7-44D8-BBD7-CCE9431645EC}">
                        <a14:shadowObscured xmlns:a14="http://schemas.microsoft.com/office/drawing/2010/main"/>
                      </a:ext>
                    </a:extLst>
                  </pic:spPr>
                </pic:pic>
              </a:graphicData>
            </a:graphic>
          </wp:inline>
        </w:drawing>
      </w:r>
    </w:p>
    <w:p w14:paraId="37FEB8ED" w14:textId="77777777" w:rsidR="00771FC7" w:rsidRDefault="00771FC7"/>
    <w:p w14:paraId="6D9A9C3B" w14:textId="2CC72530" w:rsidR="00771FC7" w:rsidRDefault="00440A0B" w:rsidP="003D56F0">
      <w:pPr>
        <w:pStyle w:val="Heading6"/>
      </w:pPr>
      <w:r w:rsidRPr="003D56F0">
        <w:t xml:space="preserve">Discussion and </w:t>
      </w:r>
      <w:r w:rsidR="00771FC7" w:rsidRPr="003D56F0">
        <w:t>Limitations</w:t>
      </w:r>
    </w:p>
    <w:p w14:paraId="39B324C8" w14:textId="77777777" w:rsidR="00771FC7" w:rsidRPr="00771FC7" w:rsidRDefault="00771FC7"/>
    <w:p w14:paraId="7247E68D" w14:textId="3BC7D519" w:rsidR="004B4306" w:rsidRDefault="00573453" w:rsidP="003D56F0">
      <w:r>
        <w:t xml:space="preserve">A key limitation of the model is that a ‘do nothing’ comparator was used, whereas in fact this may not be the case in the real world. In addition, psychosis cases and arrests associated with cannabis </w:t>
      </w:r>
      <w:r w:rsidR="00684B27">
        <w:t>use</w:t>
      </w:r>
      <w:r>
        <w:t xml:space="preserve"> are likely to happen later in an individual’s lifetime, but for this model we are assuming a cross-sectional effect.</w:t>
      </w:r>
      <w:r w:rsidR="007F3E07">
        <w:t xml:space="preserve"> </w:t>
      </w:r>
      <w:r w:rsidR="00684B27">
        <w:t xml:space="preserve"> </w:t>
      </w:r>
      <w:r w:rsidR="007F3E07">
        <w:t>A limitation of</w:t>
      </w:r>
      <w:r>
        <w:t xml:space="preserve"> cannabis </w:t>
      </w:r>
      <w:r w:rsidR="007F3E07">
        <w:t>use reported</w:t>
      </w:r>
      <w:r w:rsidR="00684B27">
        <w:t xml:space="preserve"> is that change in use was</w:t>
      </w:r>
      <w:r>
        <w:t xml:space="preserve"> based on self-reported </w:t>
      </w:r>
      <w:r w:rsidR="00684B27">
        <w:t>evidence</w:t>
      </w:r>
      <w:r>
        <w:t xml:space="preserve">. In addition, the literature is still not unanimous about the evidence for a causal link between cannabis use, psychosis and crime. </w:t>
      </w:r>
      <w:r w:rsidR="00684B27">
        <w:t>It is believed that p</w:t>
      </w:r>
      <w:r w:rsidRPr="00573453">
        <w:t xml:space="preserve">sychosis cases and arrests associated with cannabis use are likely to happen later in </w:t>
      </w:r>
      <w:r w:rsidR="00684B27">
        <w:t xml:space="preserve">the </w:t>
      </w:r>
      <w:r w:rsidRPr="00573453">
        <w:t>individual’s lifetime, but for this model we are a</w:t>
      </w:r>
      <w:r w:rsidR="00684B27">
        <w:t>ssume a limited impact</w:t>
      </w:r>
      <w:r w:rsidRPr="00573453">
        <w:t xml:space="preserve">. </w:t>
      </w:r>
      <w:r w:rsidR="00684B27">
        <w:t>Moreover, it is possible that the intervention may have more lasting effects for youths</w:t>
      </w:r>
      <w:r w:rsidR="0078729B">
        <w:t xml:space="preserve"> who have committed crimes in the past</w:t>
      </w:r>
      <w:r w:rsidR="00684B27">
        <w:t xml:space="preserve">. </w:t>
      </w:r>
    </w:p>
    <w:p w14:paraId="4C715BDC" w14:textId="3FA89FDE" w:rsidR="00B82C88" w:rsidRDefault="0017770B" w:rsidP="00AD2788">
      <w:pPr>
        <w:pStyle w:val="Heading3"/>
      </w:pPr>
      <w:bookmarkStart w:id="46" w:name="_Toc452035643"/>
      <w:r w:rsidRPr="0010783E">
        <w:t xml:space="preserve">5.2. </w:t>
      </w:r>
      <w:r w:rsidR="00B82C88">
        <w:t>Model focu</w:t>
      </w:r>
      <w:r w:rsidR="006815C1">
        <w:t>s</w:t>
      </w:r>
      <w:r w:rsidR="00B82C88">
        <w:t>sing on ecstasy</w:t>
      </w:r>
      <w:bookmarkEnd w:id="46"/>
    </w:p>
    <w:p w14:paraId="39967539" w14:textId="77777777" w:rsidR="00B82C88" w:rsidRDefault="00B82C88"/>
    <w:p w14:paraId="5495A17F" w14:textId="24017EC8" w:rsidR="00B82C88" w:rsidRDefault="00B82C88" w:rsidP="003D56F0">
      <w:pPr>
        <w:pStyle w:val="Heading6"/>
      </w:pPr>
      <w:bookmarkStart w:id="47" w:name="_Ref451419747"/>
      <w:r>
        <w:t>Assumptions</w:t>
      </w:r>
      <w:bookmarkEnd w:id="47"/>
    </w:p>
    <w:p w14:paraId="686976C7" w14:textId="77777777" w:rsidR="00B82C88" w:rsidRPr="00766E0F" w:rsidRDefault="00B82C88"/>
    <w:p w14:paraId="5CE3A881" w14:textId="77777777" w:rsidR="00B82C88" w:rsidRPr="005F12F1" w:rsidRDefault="00B82C88">
      <w:r w:rsidRPr="005F12F1">
        <w:lastRenderedPageBreak/>
        <w:t xml:space="preserve">There is no shortage of literature reporting the difficulties of modelling the harms of ecstasy usage, largely due to the requirement for assumptions with respect to ‘dosage’ (number of tablets consumed per episode), where tablets are consumed, and to what extent the effects of ecstasy are exacerbated by the use of other drugs. In this model we used as few assumptions as possible in order to express outcomes in terms of an ‘expected harms/costs per tablet consumed’ as seen in prior analyses </w:t>
      </w:r>
      <w:r w:rsidRPr="005F12F1">
        <w:fldChar w:fldCharType="begin" w:fldLock="1"/>
      </w:r>
      <w:r>
        <w:instrText>ADDIN CSL_CITATION { "citationItems" : [ { "id" : "ITEM-1", "itemData" : { "ISBN" : "9781847268686", "author" : [ { "dropping-particle" : "", "family" : "ACMD", "given" : "", "non-dropping-particle" : "", "parse-names" : false, "suffix" : "" } ], "id" : "ITEM-1", "issued" : { "date-parts" : [ [ "2008" ] ] }, "number-of-pages" : "1-49", "title" : "MDMA ('ecstasy'): A review of its harms and classification under the Misuse of Drugs Act 1971", "type" : "report" }, "uris" : [ "http://www.mendeley.com/documents/?uuid=def516e3-1420-4709-ab38-8ac4b30e7381" ] } ], "mendeley" : { "formattedCitation" : "(ACMD 2008)", "plainTextFormattedCitation" : "(ACMD 2008)", "previouslyFormattedCitation" : "(ACMD 2008)" }, "properties" : { "noteIndex" : 0 }, "schema" : "https://github.com/citation-style-language/schema/raw/master/csl-citation.json" }</w:instrText>
      </w:r>
      <w:r w:rsidRPr="005F12F1">
        <w:fldChar w:fldCharType="separate"/>
      </w:r>
      <w:r w:rsidRPr="000A3D41">
        <w:rPr>
          <w:noProof/>
        </w:rPr>
        <w:t>(ACMD 2008)</w:t>
      </w:r>
      <w:r w:rsidRPr="005F12F1">
        <w:fldChar w:fldCharType="end"/>
      </w:r>
      <w:r w:rsidRPr="005F12F1">
        <w:t>.</w:t>
      </w:r>
      <w:r w:rsidRPr="005F12F1">
        <w:rPr>
          <w:vertAlign w:val="superscript"/>
        </w:rPr>
        <w:endnoteReference w:id="1"/>
      </w:r>
    </w:p>
    <w:p w14:paraId="24C43F65" w14:textId="77777777" w:rsidR="00B82C88" w:rsidRPr="005F12F1" w:rsidRDefault="00B82C88"/>
    <w:p w14:paraId="17C0DA10" w14:textId="77777777" w:rsidR="00B82C88" w:rsidRPr="005F12F1" w:rsidRDefault="00B82C88">
      <w:r w:rsidRPr="005F12F1">
        <w:t xml:space="preserve">Because of reported differences in the prevalence of ecstasy use by age, the model consisted of two sub models focusing on those aged 16-24, and those aged 25-59 </w:t>
      </w:r>
      <w:r w:rsidRPr="005F12F1">
        <w:fldChar w:fldCharType="begin" w:fldLock="1"/>
      </w:r>
      <w:r w:rsidRPr="005F12F1">
        <w:instrText>ADDIN CSL_CITATION { "citationItems" : [ { "id" : "ITEM-1", "itemData" : { "author" : [ { "dropping-particle" : "", "family" : "CSEW", "given" : "", "non-dropping-particle" : "", "parse-names" : false, "suffix" : "" } ], "id" : "ITEM-1", "issue" : "15 August 2014", "issued" : { "date-parts" : [ [ "2015" ] ] }, "number-of-pages" : "1-29", "title" : "Drug misuse: Findings from the 2014/15 Crime Survey for England and Wales", "type" : "report" }, "uris" : [ "http://www.mendeley.com/documents/?uuid=87318f2e-ab8c-4100-921e-cd7c64c366ea" ] } ], "mendeley" : { "formattedCitation" : "(CSEW 2015)", "plainTextFormattedCitation" : "(CSEW 2015)", "previouslyFormattedCitation" : "(CSEW 2015)" }, "properties" : { "noteIndex" : 0 }, "schema" : "https://github.com/citation-style-language/schema/raw/master/csl-citation.json" }</w:instrText>
      </w:r>
      <w:r w:rsidRPr="005F12F1">
        <w:fldChar w:fldCharType="separate"/>
      </w:r>
      <w:r w:rsidRPr="005F12F1">
        <w:rPr>
          <w:noProof/>
        </w:rPr>
        <w:t>(CSEW 2015)</w:t>
      </w:r>
      <w:r w:rsidRPr="005F12F1">
        <w:fldChar w:fldCharType="end"/>
      </w:r>
      <w:r w:rsidRPr="005F12F1">
        <w:t xml:space="preserve">. It was assumed that 5.4% of those aged 16-24 and 1.7% of those aged 25-59 participated in ecstasy consumption, as reported by the crime survey for England and Wales 2014/15. These estimates were applied to population estimates for their respective age groups. Data from the Office for National Statistics </w:t>
      </w:r>
      <w:r w:rsidRPr="005F12F1">
        <w:fldChar w:fldCharType="begin" w:fldLock="1"/>
      </w:r>
      <w:r w:rsidRPr="005F12F1">
        <w:instrText>ADDIN CSL_CITATION { "citationItems" : [ { "id" : "ITEM-1", "itemData" : { "abstract" : "Population and migration statistics for the UK\u2019s four nations. Also contains national identity, life expectancy and migration statistics.", "author" : [ { "dropping-particle" : "", "family" : "ONS", "given" : "", "non-dropping-particle" : "", "parse-names" : false, "suffix" : "" } ], "id" : "ITEM-1", "issued" : { "date-parts" : [ [ "2015" ] ] }, "language" : "eng", "title" : "UK Statistics - Population and migration", "type" : "article" }, "uris" : [ "http://www.mendeley.com/documents/?uuid=dc9d82cd-71a8-4d4e-acc5-9785d71379ca" ] } ], "mendeley" : { "formattedCitation" : "(ONS 2015)", "plainTextFormattedCitation" : "(ONS 2015)", "previouslyFormattedCitation" : "(ONS 2015)" }, "properties" : { "noteIndex" : 0 }, "schema" : "https://github.com/citation-style-language/schema/raw/master/csl-citation.json" }</w:instrText>
      </w:r>
      <w:r w:rsidRPr="005F12F1">
        <w:fldChar w:fldCharType="separate"/>
      </w:r>
      <w:r w:rsidRPr="005F12F1">
        <w:rPr>
          <w:noProof/>
        </w:rPr>
        <w:t>(ONS 2015)</w:t>
      </w:r>
      <w:r w:rsidRPr="005F12F1">
        <w:fldChar w:fldCharType="end"/>
      </w:r>
      <w:r w:rsidRPr="005F12F1">
        <w:t xml:space="preserve">, gave estimates of 7,419,683 16-24 year olds and 30,105,258 25-59 year olds respectively, which when applying the prevalence rates from the CSEW, gave an estimated 400,663 users in the former and 237,261 users in the latter age group. </w:t>
      </w:r>
    </w:p>
    <w:p w14:paraId="5C7A5F84" w14:textId="77777777" w:rsidR="00B82C88" w:rsidRDefault="00B82C88"/>
    <w:p w14:paraId="5DAF44A3" w14:textId="77777777" w:rsidR="00B82C88" w:rsidRPr="005F12F1" w:rsidRDefault="00B82C88">
      <w:r w:rsidRPr="005F12F1">
        <w:t xml:space="preserve">In the absence of data to the contrary, it was assumed that ‘dosage’ i.e. the number of pills per ecstasy consuming episode, was equal between both age groups, suggesting that neither older nor younger users had a propensity/ability to consume more pills than the other at any one time </w:t>
      </w:r>
      <w:r w:rsidRPr="005F12F1">
        <w:fldChar w:fldCharType="begin" w:fldLock="1"/>
      </w:r>
      <w:r>
        <w:instrText>ADDIN CSL_CITATION { "citationItems" : [ { "id" : "ITEM-1", "itemData" : { "ISBN" : "9781847268686", "author" : [ { "dropping-particle" : "", "family" : "ACMD", "given" : "", "non-dropping-particle" : "", "parse-names" : false, "suffix" : "" } ], "id" : "ITEM-1", "issued" : { "date-parts" : [ [ "2008" ] ] }, "number-of-pages" : "1-49", "title" : "MDMA ('ecstasy'): A review of its harms and classification under the Misuse of Drugs Act 1971", "type" : "report" }, "uris" : [ "http://www.mendeley.com/documents/?uuid=def516e3-1420-4709-ab38-8ac4b30e7381" ] } ], "mendeley" : { "formattedCitation" : "(ACMD 2008)", "plainTextFormattedCitation" : "(ACMD 2008)", "previouslyFormattedCitation" : "(ACMD 2008)" }, "properties" : { "noteIndex" : 0 }, "schema" : "https://github.com/citation-style-language/schema/raw/master/csl-citation.json" }</w:instrText>
      </w:r>
      <w:r w:rsidRPr="005F12F1">
        <w:fldChar w:fldCharType="separate"/>
      </w:r>
      <w:r w:rsidRPr="000A3D41">
        <w:rPr>
          <w:noProof/>
        </w:rPr>
        <w:t>(ACMD 2008)</w:t>
      </w:r>
      <w:r w:rsidRPr="005F12F1">
        <w:fldChar w:fldCharType="end"/>
      </w:r>
      <w:r w:rsidRPr="005F12F1">
        <w:t xml:space="preserve">. </w:t>
      </w:r>
    </w:p>
    <w:p w14:paraId="27E8FA75" w14:textId="77777777" w:rsidR="00B82C88" w:rsidRPr="005F12F1" w:rsidRDefault="00B82C88"/>
    <w:p w14:paraId="2FDD1ACB" w14:textId="77777777" w:rsidR="00B82C88" w:rsidRDefault="00B82C88">
      <w:r w:rsidRPr="005F12F1">
        <w:t>Due to a paucity of data regarding where ecstasy consumption takes place</w:t>
      </w:r>
      <w:r>
        <w:t xml:space="preserve"> (</w:t>
      </w:r>
      <w:r w:rsidRPr="005F12F1">
        <w:t>how much is at home, how much at festivals, nightclubs etc.</w:t>
      </w:r>
      <w:r>
        <w:t>)</w:t>
      </w:r>
      <w:r w:rsidRPr="005F12F1">
        <w:t xml:space="preserve"> it was assumed for the purpose of the model that all ecstasy consumption occurred in nightclubs/raves/discos. The rationale for this assumption was that at a local level, supply of MDMA is prominently, though not exclusively, based within the night club environment, and the expectation was that demand for, and consumption of ecstasy would mirror supply channels. </w:t>
      </w:r>
    </w:p>
    <w:p w14:paraId="5059B1BD" w14:textId="77777777" w:rsidR="00B82C88" w:rsidRPr="005F12F1" w:rsidRDefault="00B82C88"/>
    <w:p w14:paraId="1C049141" w14:textId="77777777" w:rsidR="00B82C88" w:rsidRPr="005F12F1" w:rsidRDefault="00B82C88">
      <w:r w:rsidRPr="005F12F1">
        <w:t>The total number of ecstasy pills consumed for the year, was estimated at 26,000,000 by the association of chief police officers (ACPO). Dividing total consumption per age group (16,329,900 in 16-24 year olds and 9,670,100 in 25-59 year olds) by the estimated number of users based on CWE 2014/5 data, gave an estimate of 40.75 tablets per user per year in across both age groups. Because of a lack of data concerning the distribution/frequency of ecstasy consumption at different points throughout the year, it was further assumed that total ecstasy consumption would be split equally over the course of the year, giving 0.78 tablets per user per weekend, or 314,037 and 185,963 in total per age group per weekend.</w:t>
      </w:r>
    </w:p>
    <w:p w14:paraId="76452C2C" w14:textId="77777777" w:rsidR="00B82C88" w:rsidRPr="000957AD" w:rsidRDefault="00B82C88"/>
    <w:p w14:paraId="56BC91B7" w14:textId="77777777" w:rsidR="00B82C88" w:rsidRPr="005F12F1" w:rsidRDefault="00B82C88">
      <w:r w:rsidRPr="005F12F1">
        <w:t xml:space="preserve">The model was built based on outcomes solely attributable to ecstasy use. </w:t>
      </w:r>
      <w:r>
        <w:t>E</w:t>
      </w:r>
      <w:r w:rsidRPr="005F12F1">
        <w:t>cstasy consumption is often observed as part of a pattern of poly-drug consumption</w:t>
      </w:r>
      <w:r w:rsidRPr="005F12F1">
        <w:fldChar w:fldCharType="begin" w:fldLock="1"/>
      </w:r>
      <w:r w:rsidRPr="005F12F1">
        <w:instrText>ADDIN CSL_CITATION { "citationItems" : [ { "id" : "ITEM-1", "itemData" : { "DOI" : "10.1007/s002130000591", "ISBN" : "4420884673", "ISSN" : "00333158", "PMID" : "11271410", "abstract" : "RATIONALE: (+/-)-3,4-methylenedioxymethamphet-amine (MDMA; 'ecstasy'), a commonly used recreational drug, has typically been found to be related to poor cognitive function in humans. However, cannabis consumption may not have been adequately controlled for in these studies. OBJECTIVE: The present study was designed to further elucidate the relation between MDMA and cannabis in cognitive impairment. METHODS: Subjects who had used neither MDMA nor cannabis (controls; n=31), cannabis but not MDMA (cannabis users; n=18) and both MDMA and cannabis (MDMA/cannabis users; n=11) were compared on a battery of neuropsychological tests. RESULTS: The cannabis and MDMA/cannabis groups did not differ on any of the tests, whereas the combined cannabis and MDMA/cannabis groups performed more poorly than controls on tests of memory, learning, word fluency, speed of processing and manual dexterity. Further, apart from speed of processing where higher MDMA consumption predicted slower processing, covariate analysis revealed that the deficits were more closely related to cannabis than MDMA usage. CONCLUSION: The results suggest that cannabis is an important confound in studies of MDMA-related cognitive impairment, and that previously reported cognitive impairment in MDMA users may have been caused by coincident cannabis use.", "author" : [ { "dropping-particle" : "", "family" : "Croft", "given" : "R. J.", "non-dropping-particle" : "", "parse-names" : false, "suffix" : "" }, { "dropping-particle" : "", "family" : "Mackay", "given" : "A. J.", "non-dropping-particle" : "", "parse-names" : false, "suffix" : "" }, { "dropping-particle" : "", "family" : "Mills", "given" : "A. T D", "non-dropping-particle" : "", "parse-names" : false, "suffix" : "" }, { "dropping-particle" : "", "family" : "Gruzelier", "given" : "J. G H", "non-dropping-particle" : "", "parse-names" : false, "suffix" : "" } ], "container-title" : "Psychopharmacology", "id" : "ITEM-1", "issue" : "3", "issued" : { "date-parts" : [ [ "2001" ] ] }, "page" : "373-379", "title" : "The relative contributions of ecstasy and cannabis to cognitive impairment", "type" : "article-journal", "volume" : "153" }, "uris" : [ "http://www.mendeley.com/documents/?uuid=93af9264-f052-42cb-996b-63205a04a027" ] } ], "mendeley" : { "formattedCitation" : "(Croft et al. 2001)", "plainTextFormattedCitation" : "(Croft et al. 2001)", "previouslyFormattedCitation" : "(Croft et al. 2001)" }, "properties" : { "noteIndex" : 0 }, "schema" : "https://github.com/citation-style-language/schema/raw/master/csl-citation.json" }</w:instrText>
      </w:r>
      <w:r w:rsidRPr="005F12F1">
        <w:fldChar w:fldCharType="separate"/>
      </w:r>
      <w:r w:rsidRPr="005F12F1">
        <w:rPr>
          <w:noProof/>
        </w:rPr>
        <w:t>(Croft et al. 2001)</w:t>
      </w:r>
      <w:r w:rsidRPr="005F12F1">
        <w:fldChar w:fldCharType="end"/>
      </w:r>
      <w:r w:rsidRPr="005F12F1">
        <w:fldChar w:fldCharType="begin" w:fldLock="1"/>
      </w:r>
      <w:r w:rsidRPr="005F12F1">
        <w:instrText>ADDIN CSL_CITATION { "citationItems" : [ { "id" : "ITEM-1", "itemData" : { "DOI" : "10.1007/s002130000591", "ISBN" : "4420884673", "ISSN" : "00333158", "PMID" : "11271410", "abstract" : "RATIONALE: (+/-)-3,4-methylenedioxymethamphet-amine (MDMA; 'ecstasy'), a commonly used recreational drug, has typically been found to be related to poor cognitive function in humans. However, cannabis consumption may not have been adequately controlled for in these studies. OBJECTIVE: The present study was designed to further elucidate the relation between MDMA and cannabis in cognitive impairment. METHODS: Subjects who had used neither MDMA nor cannabis (controls; n=31), cannabis but not MDMA (cannabis users; n=18) and both MDMA and cannabis (MDMA/cannabis users; n=11) were compared on a battery of neuropsychological tests. RESULTS: The cannabis and MDMA/cannabis groups did not differ on any of the tests, whereas the combined cannabis and MDMA/cannabis groups performed more poorly than controls on tests of memory, learning, word fluency, speed of processing and manual dexterity. Further, apart from speed of processing where higher MDMA consumption predicted slower processing, covariate analysis revealed that the deficits were more closely related to cannabis than MDMA usage. CONCLUSION: The results suggest that cannabis is an important confound in studies of MDMA-related cognitive impairment, and that previously reported cognitive impairment in MDMA users may have been caused by coincident cannabis use.", "author" : [ { "dropping-particle" : "", "family" : "Croft", "given" : "R. J.", "non-dropping-particle" : "", "parse-names" : false, "suffix" : "" }, { "dropping-particle" : "", "family" : "Mackay", "given" : "A. J.", "non-dropping-particle" : "", "parse-names" : false, "suffix" : "" }, { "dropping-particle" : "", "family" : "Mills", "given" : "A. T D", "non-dropping-particle" : "", "parse-names" : false, "suffix" : "" }, { "dropping-particle" : "", "family" : "Gruzelier", "given" : "J. G H", "non-dropping-particle" : "", "parse-names" : false, "suffix" : "" } ], "container-title" : "Psychopharmacology", "id" : "ITEM-1", "issue" : "3", "issued" : { "date-parts" : [ [ "2001" ] ] }, "page" : "373-379", "title" : "The relative contributions of ecstasy and cannabis to cognitive impairment", "type" : "article-journal", "volume" : "153" }, "uris" : [ "http://www.mendeley.com/documents/?uuid=93af9264-f052-42cb-996b-63205a04a027" ] }, { "id" : "ITEM-2", "itemData" : { "DOI" : "10.1177/0269881107081545", "ISBN" : "0269881107", "ISSN" : "0269-8811", "PMID" : "18208910", "abstract" : "There is important preclinical evidence of long lasting neurotoxic and selective effects of ecstasy MDMA on serotonin systems in non-human primates. In humans long-term recreational use of ecstasy has been mainly associated with learning and memory impairments. The aim of the present study was to investigate the neuropsychological profile associated with ecstasy use within recreational polydrug users, and describe the cognitive changes related to maintained or variable ecstasy use along a two years period. We administered cognitive measures of attention, executive functions, memory and learning to three groups of participants: 37 current polydrug users with regular consumption of ecstasy and cannabis, 23 current cannabis users and 34 non-users free of illicit drugs. Four cognitive assessments were conducted during two years. At baseline, ecstasy polydrug users showed significantly poorer performance than cannabis users and non-drug using controls in a measure of semantic word fluency. When ecstasy users were classified according to lifetime use of ecstasy, the more severe users (more than 100 tablets) showed additional deficits on episodic memory. After two years ecstasy users showed persistent deficits on verbal fluency, working memory and processing speed. These findings should be interpreted with caution, since the possibility of premorbid group differences cannot be entirely excluded. Our findings support that ecstasy use, or ecstasy/cannabis synergic effects, are responsible for the sub-clinical deficits observed in ecstasy polydrug users, and provides additional evidence for long-term cognitive impairment owing to ecstasy consumption in the context of polydrug use.", "author" : [ { "dropping-particle" : "", "family" : "Sola Llopis", "given" : "S", "non-dropping-particle" : "de", "parse-names" : false, "suffix" : "" }, { "dropping-particle" : "", "family" : "Miguelez-Pan", "given" : "M", "non-dropping-particle" : "", "parse-names" : false, "suffix" : "" }, { "dropping-particle" : "", "family" : "Pe\u00f1a-Casanova", "given" : "J", "non-dropping-particle" : "", "parse-names" : false, "suffix" : "" }, { "dropping-particle" : "", "family" : "Poudevida", "given" : "S", "non-dropping-particle" : "", "parse-names" : false, "suffix" : "" }, { "dropping-particle" : "", "family" : "Farr\u00e9", "given" : "M", "non-dropping-particle" : "", "parse-names" : false, "suffix" : "" }, { "dropping-particle" : "", "family" : "Pacifici", "given" : "R", "non-dropping-particle" : "", "parse-names" : false, "suffix" : "" }, { "dropping-particle" : "", "family" : "B\u00f6hm", "given" : "P", "non-dropping-particle" : "", "parse-names" : false, "suffix" : "" }, { "dropping-particle" : "", "family" : "Abanades", "given" : "S", "non-dropping-particle" : "", "parse-names" : false, "suffix" : "" }, { "dropping-particle" : "", "family" : "Verdejo Garc\u00eda", "given" : "a", "non-dropping-particle" : "", "parse-names" : false, "suffix" : "" }, { "dropping-particle" : "", "family" : "Langohr", "given" : "K", "non-dropping-particle" : "", "parse-names" : false, "suffix" : "" }, { "dropping-particle" : "", "family" : "Zuccaro", "given" : "P", "non-dropping-particle" : "", "parse-names" : false, "suffix" : "" }, { "dropping-particle" : "", "family" : "la Torre", "given" : "R", "non-dropping-particle" : "de", "parse-names" : false, "suffix" : "" } ], "container-title" : "Journal of psychopharmacology (Oxford, England)", "id" : "ITEM-2", "issue" : "5", "issued" : { "date-parts" : [ [ "2008" ] ] }, "page" : "498-510", "title" : "Cognitive performance in recreational ecstasy polydrug users: a two-year follow-up study.", "type" : "article-journal", "volume" : "22" }, "uris" : [ "http://www.mendeley.com/documents/?uuid=ca4afcfe-35ee-4ddb-a494-7066f98cf338" ] }, { "id" : "ITEM-3", "itemData" : { "DOI" : "10.3310/hta13060", "ISBN" : "1366-5278", "ISSN" : "20464924", "PMID" : "19195429", "abstract" : "OBJECTIVES: To investigate the harmful health effects of taking ecstasy (3,4-methylenedioxymethamphetamine, MDMA) for recreational purposes. DATA SOURCES: MEDLINE, EMBASE, PsycINFO and Web of Knowledge were searched. Additional information on deaths was collected from the General Mortality Register (GMR) and the Special Mortality Register collated by the National Programme on Substance Abuse Deaths (np-SAD). REVIEW METHODS: Studies were categorised according to design, with systematic research syntheses (Level I evidence) the most valid and least open to bias. Where Level I evidence was not available, controlled observational studies (Level II evidence) were systematically reviewed. If neither Level I nor Level II evidence was available, uncontrolled case series and case reports (Level III evidence) were systematically surveyed. Data were extracted by one reviewer and a sample checked by a second. The heterogeneity of Level II evidence was addressed by undertaking stratified analyses for current and former ecstasy users and comparing them either with control groups using other illegal drugs but not ecstasy (polydrug controls) or with controls na\u00efve to illegal drugs (drug-na\u00efve controls). Statistical heterogeneity was minimised by using a random-effects model throughout and investigated using study-level regression analysis (metaregression). RESULTS: Five Level I syntheses were identified; for each it was difficult to ascertain the exact methods adopted and evidence included. Small but significant deficits for ecstasy users compared to controls were reported in areas relating to attention, memory, psychomotor speed, executive systems functioning, and self-reported depressive symptoms. Data from Level II studies were directly pooled for seven individual outcomes, suggesting that ecstasy users performed worse than controls on common measures of immediate and delayed verbal recall (RAVLT, RBMT, digit span). No difference was seen in IQ (NART). The 915 outcome measures identified in Level II studies were analysed in broad domains: immediate and delayed verbal and visual memory, working memory, two measures of attention, three measures of executive function, perceptual organisation, self-rated depression, memory and anxiety, and impulsivity measured objectively and subjectively. Ecstasy users performed significantly worse than polydrug controls in 13/16 domains and significantly worse than drug-na\u00efve controls in 7/12 domains for which sufficient data were ava\u2026", "author" : [ { "dropping-particle" : "", "family" : "Rogers", "given" : "G", "non-dropping-particle" : "", "parse-names" : false, "suffix" : "" }, { "dropping-particle" : "", "family" : "Elston", "given" : "J", "non-dropping-particle" : "", "parse-names" : false, "suffix" : "" }, { "dropping-particle" : "", "family" : "Garside", "given" : "R", "non-dropping-particle" : "", "parse-names" : false, "suffix" : "" }, { "dropping-particle" : "", "family" : "Roome", "given" : "C", "non-dropping-particle" : "", "parse-names" : false, "suffix" : "" }, { "dropping-particle" : "", "family" : "Taylor", "given" : "R", "non-dropping-particle" : "", "parse-names" : false, "suffix" : "" }, { "dropping-particle" : "", "family" : "Younger", "given" : "P", "non-dropping-particle" : "", "parse-names" : false, "suffix" : "" }, { "dropping-particle" : "", "family" : "Zawada", "given" : "A", "non-dropping-particle" : "", "parse-names" : false, "suffix" : "" }, { "dropping-particle" : "", "family" : "Somerville", "given" : "M", "non-dropping-particle" : "", "parse-names" : false, "suffix" : "" }, { "dropping-particle" : "", "family" : "Primary", "given" : "Devon", "non-dropping-particle" : "", "parse-names" : false, "suffix" : "" }, { "dropping-particle" : "", "family" : "Trust", "given" : "Care", "non-dropping-particle" : "", "parse-names" : false, "suffix" : "" } ], "container-title" : "Health Technology Assessment", "id" : "ITEM-3", "issue" : "6", "issued" : { "date-parts" : [ [ "2009" ] ] }, "title" : "The harmful health effects of recreational ecstasy The harmful health effects of recreational ecstasy : a systematic review of observational evidence", "type" : "report", "volume" : "13" }, "uris" : [ "http://www.mendeley.com/documents/?uuid=8d3196be-042a-4219-9fd4-f1f7683525f4" ] }, { "id" : "ITEM-4", "itemData" : { "DOI" : "http://dx.doi.org/10.1080/09687630310001643111", "ISBN" : "0968-7637", "ISSN" : "0968-7637; 1465-3370", "abstract" : "A survey of drug use in the past year was completed by 124 clubbers (50{%} male, 50{%} female, age range 14-4, mean 24 years). Participants were self selecting and recruited in clubs and pre-club bars. Prevalence rates for alcohol, cannabis, and ecstasy were over 80{%}; 63{%} reported cocaine and 53{%} amphetamine use, 15{%}-43{%} used ketamine, psilocybin, LSD and nitrites. A pattern of polydrug and co-drug use was identified. Most participants (70{%}) bought their drugs through friendship/family networks. Main reasons given for drug use were relaxing, socializing and dancing. Risk behaviours identified were drug driving (19{%}), unprotected sex (39{%}); and 'taking too many drugs' (44{%}). At least 40{%} reported anxiety, nausea and paranoia. Three focus groups aided the interpretation of data, for example describing the strategic use of drugs and alcohol throughout a night and explaining how negative experiences may change, but not necessarily stop, drug use. The study provides further evidence that there is a characteristic pattern of dance-drug use, while identifying an increase in cocaine and alcohol use. Older participants' greater experience with cocaine and fewer negative drug-related experiences are discussed in relation to health promotion. (PsycINFO Database Record (c) 2012 APA, all rights reserved) (journal abstract)", "author" : [ { "dropping-particle" : "", "family" : "Riley", "given" : "Sarah C E", "non-dropping-particle" : "", "parse-names" : false, "suffix" : "" }, { "dropping-particle" : "", "family" : "Hayward", "given" : "Emma", "non-dropping-particle" : "", "parse-names" : false, "suffix" : "" } ], "container-title" : "Drugs: Education, Prevention {&amp;} Policy", "id" : "ITEM-4", "issue" : "3", "issued" : { "date-parts" : [ [ "2004" ] ] }, "page" : "243-262", "title" : "Patterns, trends, and meanings of drug use by dance-drug users in Edinburgh, Scotland.", "type" : "article-journal", "volume" : "11" }, "uris" : [ "http://www.mendeley.com/documents/?uuid=d1a1db87-0cec-495f-ae79-5faafa40f935" ] }, { "id" : "ITEM-5", "itemData" : { "DOI" : "10.1177/0269881106063268", "ISBN" : "0269-8811 (Print)", "ISSN" : "0269-8811", "PMID" : "16510474", "abstract" : "Many recreational ecstasy/MDMA users display neuropsychobiological deficits, whereas others remain problem free. This review will investigate some of the drug and non-drug factors which influence the occurrence of these deficits. Acute and chronic MDMA usage are both important. Intensive use within a session is often associated with more problems. In term of lifetime usage, novice users generally remain unimpaired, whereas most heavy users report memory or other psychobiological problems which they attribute to ecstasy. These complaints are confirmed by objective deficits in working memory, attention, frontal-executive, and episodic memory tasks. Psychobiological deficits include disturbed sleep, sexual dysfunction, reduced immuno-competence, and increased oxidative stress. Further MDMA-related factors which may contribute to these changes, include acute and chronic tolerance, and drug dependence. Around 90\u00f195% of ecstasy/MDMA users also take cannabis, and this can independently contribute to the adverse neuropsychobiological pro.les; although in some situations the acute co-use of these two drugs may be interactive rather than additive, since cannabis has relaxant and hypothermic properties. Alcohol, nicotine, amphetamine, and other drugs, can also affect the psychobiological pro.les of ecstasy polydrug users in complex ways. Pure MDMA users are rare but they have been shown to display significant neurocognitive deficits. Psychiatric aspects are debated in the context of the diathesis-stress model. Here the stressor of ecstasy polydrug drug use, interacts with various predisposition factors (genetic, neurochemical, personality), to determine the psychiatric outcome. Recreational MDMA is typically taken in hot and crowded dances/raves. Prolonged dancing, feeling hot, and raised body temperature, can also be associated with more psychobiological problems. This is consistent with the animal literature, where high ambient temperature and other metabolic stimulants boost the acute effects of MDMA, and cause greater serotonergic neurotoxicity. In conclusion, the neuropsychobiological effects of MDMA are modulated by a wide range of drug and non-drug factors. These multiple influences are integrated within a bioenergetic stress model, where factors which heighten acute metabolic distress lead to more neuropsychobiological problems.", "author" : [ { "dropping-particle" : "", "family" : "Milani", "given" : "RM.", "non-dropping-particle" : "", "parse-names" : false, "suffix" : "" }, { "dropping-particle" : "", "family" : "Parrott", "given" : "AC.", "non-dropping-particle" : "", "parse-names" : false, "suffix" : "" }, { "dropping-particle" : "", "family" : "Schifano", "given" : "F.", "non-dropping-particle" : "", "parse-names" : false, "suffix" : "" }, { "dropping-particle" : "", "family" : "Turner", "given" : "JJ.", "non-dropping-particle" : "", "parse-names" : false, "suffix" : "" } ], "container-title" : "Journal of psychopharmacology (Oxford, England)", "id" : "ITEM-5", "issue" : "2", "issued" : { "date-parts" : [ [ "2006" ] ] }, "page" : "147-163", "title" : "MDMA in humans: factors which affect the neuropsychobiological profiles of recreational ecstasy users, the integrative role of bioenergetic stress.", "type" : "article-journal", "volume" : "20" }, "uris" : [ "http://www.mendeley.com/documents/?uuid=8febe7d9-b192-4614-bc1e-4e2b0dab3adf" ] }, { "id" : "ITEM-6", "itemData" : { "author" : [ { "dropping-particle" : "", "family" : "Measham F and Moore K.", "given" : "", "non-dropping-particle" : "", "parse-names" : false, "suffix" : "" } ], "container-title" : "submitted", "id" : "ITEM-6", "issued" : { "date-parts" : [ [ "2009" ] ] }, "title" : "Weekend poly drug repertoires across the night time economy: Exploring the relationship between patterns of illicit drug use, entertainment type and venue type by customers in licensed leisure venues in an English city", "type" : "article-journal" }, "uris" : [ "http://www.mendeley.com/documents/?uuid=88905b12-3424-4c22-857c-934627d78331" ] }, { "id" : "ITEM-7", "itemData" : { "DOI" : "10.1016/S0376-8716(98)00051-9", "ISBN" : "0376-8716", "ISSN" : "03768716", "PMID" : "9788011", "abstract" : "The present study examined the characteristics and the possible psychopathological consequences of ecstasy (MDMA, 3,4-methylenedioxymethamphetamine) use. One hundred and fifty consecutive patients, presenting to the Padova (Italy) Addiction Treatment Unit and who bad taken ecstasy on at least one occasion, were examined and studied using a semi-structured interview. Ninety-five percent of the patients had experimented with another drug of abuse at least once in their lifetime. Ecstasy was mainly self-administered at disco clubs, and reported acute psychoactive effects confirmed previous reports. Fifty-three percent of the total sample were found to be affected by one or more psychopathological problems; the most frequent were depression, psychotic disorders, cognitive disturbances, bulimic episodes, impulse control disorders, panic disorders, social phobia. Those who were free from any psychopathological problem, compared to the others, had taken a smaller number of MDMA tablets in their lifetime, for a shorter duration and with a lower frequency. Again, they were less likely to have used alcohol together with ecstasy but more likely to have used opiates. Longer-term, larger dosage (acute or cumulative) MDMA consumers were found to be at high risk of developing psychopathological disturbances. The results are discussed, taking into account both the ecstasy suggested serotonin (5-hydroxytryptamine) neurotoxicity and the various methodological issues pertaining to this kind of large-scale clinical study describing people for whom MDMA is far from being the only drug of abuse.", "author" : [ { "dropping-particle" : "", "family" : "Schifano", "given" : "F.", "non-dropping-particle" : "", "parse-names" : false, "suffix" : "" }, { "dropping-particle" : "", "family" : "Furia", "given" : "L.", "non-dropping-particle" : "Di", "parse-names" : false, "suffix" : "" }, { "dropping-particle" : "", "family" : "Forza", "given" : "G.", "non-dropping-particle" : "", "parse-names" : false, "suffix" : "" }, { "dropping-particle" : "", "family" : "Minicuci", "given" : "N.", "non-dropping-particle" : "", "parse-names" : false, "suffix" : "" }, { "dropping-particle" : "", "family" : "Bricolo", "given" : "R.", "non-dropping-particle" : "", "parse-names" : false, "suffix" : "" } ], "container-title" : "Drug and Alcohol Dependence", "id" : "ITEM-7", "issue" : "1", "issued" : { "date-parts" : [ [ "1998" ] ] }, "page" : "85-90", "title" : "MDMA ('ecstasy') consumption in the context of polydrug abuse: A report on 150 patients", "type" : "article-journal", "volume" : "52" }, "uris" : [ "http://www.mendeley.com/documents/?uuid=81cd4e8a-bed1-43ae-b823-818a51b0728d" ] } ], "mendeley" : { "formattedCitation" : "(Croft et al. 2001; de Sola Llopis et al. 2008; Rogers et al. 2009; Riley &amp; Hayward 2004; Milani et al. 2006; Measham F and Moore K. 2009; Schifano et al. 1998)", "plainTextFormattedCitation" : "(Croft et al. 2001; de Sola Llopis et al. 2008; Rogers et al. 2009; Riley &amp; Hayward 2004; Milani et al. 2006; Measham F and Moore K. 2009; Schifano et al. 1998)", "previouslyFormattedCitation" : "(Croft et al. 2001; de Sola Llopis et al. 2008; Rogers et al. 2009; Riley &amp; Hayward 2004; Milani et al. 2006; Measham F and Moore K. 2009; Schifano et al. 1998)" }, "properties" : { "noteIndex" : 0 }, "schema" : "https://github.com/citation-style-language/schema/raw/master/csl-citation.json" }</w:instrText>
      </w:r>
      <w:r w:rsidRPr="005F12F1">
        <w:fldChar w:fldCharType="separate"/>
      </w:r>
      <w:r w:rsidRPr="005F12F1">
        <w:rPr>
          <w:noProof/>
        </w:rPr>
        <w:t xml:space="preserve">(Croft et al. 2001; de Sola Llopis et al. 2008; Rogers et al. 2009; Riley &amp; </w:t>
      </w:r>
      <w:r w:rsidRPr="005F12F1">
        <w:rPr>
          <w:noProof/>
        </w:rPr>
        <w:lastRenderedPageBreak/>
        <w:t>Hayward 2004; Milani et al. 2006; Measham F and Moore K. 2009; Schifano et al. 1998)</w:t>
      </w:r>
      <w:r w:rsidRPr="005F12F1">
        <w:fldChar w:fldCharType="end"/>
      </w:r>
      <w:r w:rsidRPr="005F12F1">
        <w:t>, both in the ‘up’ and ‘come-down’ phases of ecstasy use</w:t>
      </w:r>
      <w:r>
        <w:t>. O</w:t>
      </w:r>
      <w:r w:rsidRPr="005F12F1">
        <w:t xml:space="preserve">ne recent systematic review </w:t>
      </w:r>
      <w:r>
        <w:t>cautioned</w:t>
      </w:r>
      <w:r w:rsidRPr="005F12F1">
        <w:t xml:space="preserve"> the use of estimates where poly-drug use is suspected, due to the significant opportunity for confounding of results. </w:t>
      </w:r>
    </w:p>
    <w:p w14:paraId="1B2EEB61" w14:textId="77777777" w:rsidR="00B82C88" w:rsidRDefault="00B82C88"/>
    <w:p w14:paraId="7208B02B" w14:textId="77777777" w:rsidR="00B82C88" w:rsidRDefault="00B82C88">
      <w:pPr>
        <w:pStyle w:val="Heading6"/>
      </w:pPr>
      <w:r>
        <w:t>Costs</w:t>
      </w:r>
    </w:p>
    <w:p w14:paraId="525B49D8" w14:textId="77777777" w:rsidR="00B82C88" w:rsidRPr="005F12F1" w:rsidRDefault="00B82C88"/>
    <w:p w14:paraId="132CD6C9" w14:textId="49383595" w:rsidR="00B82C88" w:rsidRPr="005F12F1" w:rsidRDefault="00B82C88">
      <w:r w:rsidRPr="005F12F1">
        <w:t xml:space="preserve">A comprehensive literature search provided the basis for data extraction with respect to ecstasy-related outcomes and associated costs. </w:t>
      </w:r>
      <w:r>
        <w:fldChar w:fldCharType="begin"/>
      </w:r>
      <w:r>
        <w:instrText xml:space="preserve"> REF _Ref451251136 \h  \* MERGEFORMAT </w:instrText>
      </w:r>
      <w:r>
        <w:fldChar w:fldCharType="end"/>
      </w:r>
      <w:r>
        <w:t xml:space="preserve"> provides an estimate of the social costs of one year of ecstasy use based on </w:t>
      </w:r>
      <w:r>
        <w:fldChar w:fldCharType="begin" w:fldLock="1"/>
      </w:r>
      <w:r w:rsidR="00023D29">
        <w:instrText>ADDIN CSL_CITATION { "citationItems" : [ { "id" : "ITEM-1", "itemData" : { "DOI" : "10.3109/14659890903075074", "ISBN" : "14659891 (ISSN)", "ISSN" : "1465-9891", "abstract" : "The prevalence of ecstasy (MDMA) use has increased significantly in recent years, particularly amongst young people. Despite the existence of a sizable population of regular ecstasy users and emergent evidence of a range of associated harms, including dependence, to date no effective targeted intervention responses have been reported specifically for this group. The aim of this study was to evaluate the efficacy of a single session brief intervention in reducing ecstasy use and related problems among regular ecstasy users. In a randomized controlled trial conducted in Sydney, Australia, 50 adult ecstasy users were assigned to either a single session brief intervention or an assessment-only 3-month delayed treatment control condition. Primary outcome measures were days of ecstasy use and number of DSM-IV dependence symptoms reported. At 3-month follow-up significant differences were found in favour of the intervention group on measures of DSM-IV dependence symptoms reported and Severity of Dependence Scale score. No statistically significant differences were detected on measures of quantity and frequency of use. While abstinence rates differed between groups by a factor of 4 (16 vs. 4), this difference did not achieve statistical significance. Between group effect sizes at follow-up, all in favour of the intervention group, were moderate on the main outcome measures. The approach is acceptable to participants and merits further evaluation. \u00a9 2010 Informa UK, Ltd.", "author" : [ { "dropping-particle" : "", "family" : "Martin", "given" : "G", "non-dropping-particle" : "", "parse-names" : false, "suffix" : "" }, { "dropping-particle" : "", "family" : "Copeland", "given" : "J", "non-dropping-particle" : "", "parse-names" : false, "suffix" : "" } ], "container-title" : "Journal of Substance Use", "id" : "ITEM-1", "issue" : "2", "issued" : { "date-parts" : [ [ "2010" ] ] }, "page" : "131-142", "title" : "Brief intervention for regular ecstasy (MDMA) users: Pilot randomized trial of a check-up model", "type" : "article-journal", "volume" : "15" }, "uris" : [ "http://www.mendeley.com/documents/?uuid=e32af904-8fa6-410c-bec2-637806755a0e" ] } ], "mendeley" : { "formattedCitation" : "(Martin &amp; Copeland 2010)", "manualFormatting" : "Martin et al. (2010)", "plainTextFormattedCitation" : "(Martin &amp; Copeland 2010)", "previouslyFormattedCitation" : "(Martin &amp; Copeland 2010)" }, "properties" : { "noteIndex" : 0 }, "schema" : "https://github.com/citation-style-language/schema/raw/master/csl-citation.json" }</w:instrText>
      </w:r>
      <w:r>
        <w:fldChar w:fldCharType="separate"/>
      </w:r>
      <w:r w:rsidRPr="00723606">
        <w:rPr>
          <w:noProof/>
        </w:rPr>
        <w:t xml:space="preserve">Martin </w:t>
      </w:r>
      <w:r>
        <w:rPr>
          <w:noProof/>
        </w:rPr>
        <w:t>et al.</w:t>
      </w:r>
      <w:r w:rsidRPr="00723606">
        <w:rPr>
          <w:noProof/>
        </w:rPr>
        <w:t xml:space="preserve"> </w:t>
      </w:r>
      <w:r>
        <w:rPr>
          <w:noProof/>
        </w:rPr>
        <w:t>(</w:t>
      </w:r>
      <w:r w:rsidRPr="00723606">
        <w:rPr>
          <w:noProof/>
        </w:rPr>
        <w:t>2010)</w:t>
      </w:r>
      <w:r>
        <w:fldChar w:fldCharType="end"/>
      </w:r>
      <w:r>
        <w:t>.</w:t>
      </w:r>
    </w:p>
    <w:p w14:paraId="3A38A567" w14:textId="77777777" w:rsidR="00B82C88" w:rsidRDefault="00B82C88"/>
    <w:p w14:paraId="2A2E25BA" w14:textId="77777777" w:rsidR="00B82C88" w:rsidRDefault="00B82C88">
      <w:pPr>
        <w:pStyle w:val="Caption"/>
      </w:pPr>
      <w:r>
        <w:t xml:space="preserve">Figure </w:t>
      </w:r>
      <w:fldSimple w:instr=" SEQ Figure \* ARABIC ">
        <w:r w:rsidR="00CC7EC2">
          <w:rPr>
            <w:noProof/>
          </w:rPr>
          <w:t>11</w:t>
        </w:r>
      </w:fldSimple>
      <w:r>
        <w:t>. Estimate of the social costs of one year of ecstasy use, from model based on Martin et al (2010). Total = £26.37</w:t>
      </w:r>
    </w:p>
    <w:p w14:paraId="476A2B15" w14:textId="77777777" w:rsidR="00B82C88" w:rsidRDefault="00B82C88">
      <w:pPr>
        <w:rPr>
          <w:rFonts w:eastAsia="Calibri"/>
        </w:rPr>
      </w:pPr>
      <w:r>
        <w:rPr>
          <w:noProof/>
        </w:rPr>
        <w:drawing>
          <wp:inline distT="0" distB="0" distL="0" distR="0" wp14:anchorId="1F1655C2" wp14:editId="7494E4B9">
            <wp:extent cx="5734050" cy="30480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F03AEA7" w14:textId="77777777" w:rsidR="00B82C88" w:rsidRDefault="00B82C88"/>
    <w:p w14:paraId="5B501754" w14:textId="77777777" w:rsidR="00B82C88" w:rsidRPr="005F12F1" w:rsidRDefault="00B82C88"/>
    <w:p w14:paraId="2A9BE97A" w14:textId="77777777" w:rsidR="00B82C88" w:rsidRPr="00D31A1F" w:rsidRDefault="00B82C88" w:rsidP="003D56F0">
      <w:pPr>
        <w:pStyle w:val="Heading7"/>
      </w:pPr>
      <w:r w:rsidRPr="00D31A1F">
        <w:t>Crime</w:t>
      </w:r>
      <w:r>
        <w:t xml:space="preserve"> costs</w:t>
      </w:r>
    </w:p>
    <w:p w14:paraId="3A58BFBE" w14:textId="77777777" w:rsidR="00B82C88" w:rsidRPr="005F12F1" w:rsidRDefault="00B82C88"/>
    <w:p w14:paraId="79C0AE5E" w14:textId="097F21C6" w:rsidR="00B82C88" w:rsidRPr="005F12F1" w:rsidRDefault="00B82C88">
      <w:pPr>
        <w:rPr>
          <w:b/>
        </w:rPr>
      </w:pPr>
      <w:r w:rsidRPr="005F12F1">
        <w:t>Our analysis only concerned ecstasy possession</w:t>
      </w:r>
      <w:r>
        <w:t>. I</w:t>
      </w:r>
      <w:r w:rsidRPr="005F12F1">
        <w:t xml:space="preserve">ntent to supply or drug synthesis, were </w:t>
      </w:r>
      <w:r>
        <w:t xml:space="preserve">considered </w:t>
      </w:r>
      <w:r w:rsidRPr="005F12F1">
        <w:t xml:space="preserve">less likely to be affected by the intervention in question. </w:t>
      </w:r>
      <w:r>
        <w:t>A</w:t>
      </w:r>
      <w:r w:rsidRPr="005F12F1">
        <w:t xml:space="preserve"> total of 68 persons </w:t>
      </w:r>
      <w:r w:rsidRPr="00627432">
        <w:t>were referred to immediate custody following ecstasy possession during 2013/14, resulting in a 0.00</w:t>
      </w:r>
      <w:r w:rsidR="00401EE4" w:rsidRPr="003D56F0">
        <w:t>0</w:t>
      </w:r>
      <w:r w:rsidR="00EB43BF" w:rsidRPr="003D56F0">
        <w:t>26</w:t>
      </w:r>
      <w:r w:rsidRPr="00627432">
        <w:t xml:space="preserve">% </w:t>
      </w:r>
      <w:r w:rsidRPr="003D56F0">
        <w:t xml:space="preserve">probability of sentencing per tablet consumed. The cost was </w:t>
      </w:r>
      <w:r w:rsidR="001B57E6" w:rsidRPr="003D56F0">
        <w:t xml:space="preserve">reported as </w:t>
      </w:r>
      <w:r w:rsidRPr="003D56F0">
        <w:t>£8,591 per sentence</w:t>
      </w:r>
      <w:r w:rsidR="001B57E6">
        <w:t xml:space="preserve"> in 2014</w:t>
      </w:r>
      <w:r w:rsidRPr="005F12F1">
        <w:t xml:space="preserve">, based on the assumption of a 90 day prison stay </w:t>
      </w:r>
      <w:r w:rsidRPr="005F12F1">
        <w:fldChar w:fldCharType="begin" w:fldLock="1"/>
      </w:r>
      <w:r>
        <w:instrText>ADDIN CSL_CITATION { "citationItems" : [ { "id" : "ITEM-1", "itemData" : { "ISBN" : "9781847268686", "author" : [ { "dropping-particle" : "", "family" : "ACMD", "given" : "", "non-dropping-particle" : "", "parse-names" : false, "suffix" : "" } ], "id" : "ITEM-1", "issued" : { "date-parts" : [ [ "2008" ] ] }, "number-of-pages" : "1-49", "title" : "MDMA ('ecstasy'): A review of its harms and classification under the Misuse of Drugs Act 1971", "type" : "report" }, "uris" : [ "http://www.mendeley.com/documents/?uuid=def516e3-1420-4709-ab38-8ac4b30e7381" ] }, { "id" : "ITEM-2", "itemData" : { "author" : [ { "dropping-particle" : "", "family" : "Minstry of Justice", "given" : "", "non-dropping-particle" : "", "parse-names" : false, "suffix" : "" } ], "id" : "ITEM-2", "issue" : "October", "issued" : { "date-parts" : [ [ "2014" ] ] }, "title" : "Costs per place and costs per prisoner National Offender Management Service Annual Report and Accounts 2013-14 Management Information Addendum Ministry of Justice Information Release", "type" : "report" }, "uris" : [ "http://www.mendeley.com/documents/?uuid=aae64dcc-f442-4f11-b01c-214fb575dc34" ] } ], "mendeley" : { "formattedCitation" : "(ACMD 2008; Minstry of Justice 2014)", "plainTextFormattedCitation" : "(ACMD 2008; Minstry of Justice 2014)", "previouslyFormattedCitation" : "(ACMD 2008; Minstry of Justice 2014)" }, "properties" : { "noteIndex" : 0 }, "schema" : "https://github.com/citation-style-language/schema/raw/master/csl-citation.json" }</w:instrText>
      </w:r>
      <w:r w:rsidRPr="005F12F1">
        <w:fldChar w:fldCharType="separate"/>
      </w:r>
      <w:r w:rsidRPr="000A3D41">
        <w:rPr>
          <w:noProof/>
        </w:rPr>
        <w:t>(ACMD 2008; Minstry of Justice 2014)</w:t>
      </w:r>
      <w:r w:rsidRPr="005F12F1">
        <w:fldChar w:fldCharType="end"/>
      </w:r>
      <w:r w:rsidR="001B57E6">
        <w:t xml:space="preserve">, which was inflated to 2015 prices to give £8,720. </w:t>
      </w:r>
      <w:r w:rsidRPr="005F12F1">
        <w:t>Each sentence also attracted an additional cost of £1</w:t>
      </w:r>
      <w:r w:rsidR="00C50ECB">
        <w:t>5,618 (£14,603, 2011 prices)</w:t>
      </w:r>
      <w:r w:rsidRPr="005F12F1">
        <w:t xml:space="preserve"> accounting for the court episode prior to sentencing, reported by the National Audit Office. Although this is high when compared with the cost of the prison sentence itself, it is likely to be a reflection of the difference in salary between lawyers, judges and prison warders. Combining the two costs above </w:t>
      </w:r>
      <w:r w:rsidRPr="005F12F1">
        <w:lastRenderedPageBreak/>
        <w:t>resulted in a sum total of £</w:t>
      </w:r>
      <w:r w:rsidR="00C50ECB">
        <w:t>24,338</w:t>
      </w:r>
      <w:r w:rsidRPr="005F12F1">
        <w:t xml:space="preserve"> per prison sentence for ecstasy possession, and an average sentencing cost of £0.06 per tablet.</w:t>
      </w:r>
    </w:p>
    <w:p w14:paraId="6FEE3DE3" w14:textId="77777777" w:rsidR="00B82C88" w:rsidRPr="005F12F1" w:rsidRDefault="00B82C88"/>
    <w:p w14:paraId="21C92354" w14:textId="2F3C85B8" w:rsidR="00B82C88" w:rsidRPr="005F12F1" w:rsidRDefault="00B82C88">
      <w:pPr>
        <w:rPr>
          <w:b/>
        </w:rPr>
      </w:pPr>
      <w:r>
        <w:t>It was estimated that</w:t>
      </w:r>
      <w:r w:rsidRPr="005F12F1">
        <w:t xml:space="preserve"> 5% of arrests for ecstasy possession resulted in a prison sentence, </w:t>
      </w:r>
      <w:r>
        <w:t xml:space="preserve">so </w:t>
      </w:r>
      <w:r w:rsidRPr="005F12F1">
        <w:t xml:space="preserve">the figure of 68 prison </w:t>
      </w:r>
      <w:r w:rsidRPr="00C50ECB">
        <w:t>sentences was used to estimate a total of 1,360 arrests over the same period, (a probability of 0.00</w:t>
      </w:r>
      <w:r w:rsidR="008477A0" w:rsidRPr="003D56F0">
        <w:t>5</w:t>
      </w:r>
      <w:r w:rsidRPr="00C50ECB">
        <w:t>% per</w:t>
      </w:r>
      <w:r w:rsidRPr="005F12F1">
        <w:t xml:space="preserve"> tablet consumed). Each arrest came at an expected cost of £1,346 per arrest</w:t>
      </w:r>
      <w:r w:rsidR="004E6DA1">
        <w:t xml:space="preserve"> </w:t>
      </w:r>
      <w:r w:rsidR="004E6DA1" w:rsidRPr="00C50ECB">
        <w:t>(£1,804.7 after inflating to 2015 prices</w:t>
      </w:r>
      <w:r w:rsidR="004E6DA1">
        <w:t>)</w:t>
      </w:r>
      <w:r w:rsidRPr="005F12F1">
        <w:t>, based on police time,</w:t>
      </w:r>
      <w:r w:rsidR="000E7360" w:rsidRPr="000E7360">
        <w:t xml:space="preserve"> </w:t>
      </w:r>
      <w:r w:rsidR="000E7360" w:rsidRPr="005F12F1">
        <w:fldChar w:fldCharType="begin" w:fldLock="1"/>
      </w:r>
      <w:r w:rsidR="000E7360" w:rsidRPr="005F12F1">
        <w:instrText>ADDIN CSL_CITATION { "citationItems" : [ { "id" : "ITEM-1", "itemData" : { "DOI" : "10.1111/j.1360-0443.2004.00752.x", "ISBN" : "0965-2140 (Print)", "ISSN" : "09652140", "PMID" : "15139868", "abstract" : "AIMS: Some economic costs and consequences of drug misuse and treatment were investigated among clients recruited to the National Treatment Outcome Research Study (NTORS). DESIGN: This was a longitudinal prospective cohort design comprising 549 clients recruited from 54 residential and community treatment programmes: data were collected from interviews conducted at treatment intake, at 1 year and at 2-year follow-ups. MEASUREMENTS: Treatment costs included index and other drug treatments. Costs were estimated for use of health and social care services, criminal activity and the use of criminal justice resources. Costs were based upon self-reported data collected by structured face-to-face interviews combined with unit cost estimates taken from a variety of sources. FINDINGS: Addiction treatment was costed at pound 2.9 million in the 2 years prior to index treatment, and a further pound 4.4 million in the subsequent 2 years. Economic benefits were largely accounted for by reduced crime and victim costs of crime. Crime costs fell by pound 16.1 million during the first year, and by pound 11.3 million during the second year. Health-care costs were relatively small but approximately doubled during the course of the study. The ratio of consequences to net treatment investment varied from 18 : 1 to 9.5 : 1, depending on assumptions. This is likely to be a conservative estimate of the benefit-cost ratio because many potential benefits were not estimated. CONCLUSIONS: The data showed clear economic benefits to treating drug misusers in England.", "author" : [ { "dropping-particle" : "", "family" : "Godfrey", "given" : "Christine", "non-dropping-particle" : "", "parse-names" : false, "suffix" : "" }, { "dropping-particle" : "", "family" : "Stewart", "given" : "Duncan", "non-dropping-particle" : "", "parse-names" : false, "suffix" : "" }, { "dropping-particle" : "", "family" : "Gossop", "given" : "Michael", "non-dropping-particle" : "", "parse-names" : false, "suffix" : "" } ], "container-title" : "Addiction", "id" : "ITEM-1", "issue" : "6", "issued" : { "date-parts" : [ [ "2004" ] ] }, "page" : "697-707", "title" : "Economic analysis of costs and consequences of the treatment of drug misuse: 2-Year outcome data from the National Treatment Outcome Research Study (NTORS)", "type" : "article-journal", "volume" : "99" }, "uris" : [ "http://www.mendeley.com/documents/?uuid=b59c81bd-00e6-448f-ac15-0d97ff36d7c7" ] } ], "mendeley" : { "formattedCitation" : "(Godfrey et al. 2004)", "plainTextFormattedCitation" : "(Godfrey et al. 2004)", "previouslyFormattedCitation" : "(Godfrey et al. 2004)" }, "properties" : { "noteIndex" : 0 }, "schema" : "https://github.com/citation-style-language/schema/raw/master/csl-citation.json" }</w:instrText>
      </w:r>
      <w:r w:rsidR="000E7360" w:rsidRPr="005F12F1">
        <w:fldChar w:fldCharType="separate"/>
      </w:r>
      <w:r w:rsidR="000E7360" w:rsidRPr="005F12F1">
        <w:rPr>
          <w:noProof/>
        </w:rPr>
        <w:t>(Godfrey et al. 2004)</w:t>
      </w:r>
      <w:r w:rsidR="000E7360" w:rsidRPr="005F12F1">
        <w:fldChar w:fldCharType="end"/>
      </w:r>
      <w:r w:rsidR="000E7360">
        <w:t>;g</w:t>
      </w:r>
      <w:r w:rsidRPr="005F12F1">
        <w:t xml:space="preserve">iving an estimated arrest </w:t>
      </w:r>
      <w:r w:rsidRPr="00C50ECB">
        <w:t>cost of £0.0</w:t>
      </w:r>
      <w:r w:rsidR="00C50ECB" w:rsidRPr="003D56F0">
        <w:t>9</w:t>
      </w:r>
      <w:r w:rsidRPr="00C50ECB">
        <w:t xml:space="preserve"> per tablet</w:t>
      </w:r>
      <w:r w:rsidRPr="005F12F1">
        <w:t xml:space="preserve"> </w:t>
      </w:r>
    </w:p>
    <w:p w14:paraId="3C5D1CB7" w14:textId="77777777" w:rsidR="00B82C88" w:rsidRPr="005F12F1" w:rsidRDefault="00B82C88"/>
    <w:p w14:paraId="5B237218" w14:textId="79E499A4" w:rsidR="00B82C88" w:rsidRPr="00D31A1F" w:rsidRDefault="00B82C88" w:rsidP="003D56F0">
      <w:pPr>
        <w:pStyle w:val="Heading7"/>
      </w:pPr>
      <w:r w:rsidRPr="00D31A1F">
        <w:t>Hospital admissions</w:t>
      </w:r>
      <w:r w:rsidR="008B04D6">
        <w:t xml:space="preserve"> costs</w:t>
      </w:r>
    </w:p>
    <w:p w14:paraId="79DCE5D8" w14:textId="77777777" w:rsidR="00B82C88" w:rsidRPr="00141EBF" w:rsidRDefault="00B82C88"/>
    <w:p w14:paraId="2A6A9B96" w14:textId="77777777" w:rsidR="00B82C88" w:rsidRPr="005F12F1" w:rsidRDefault="00B82C88">
      <w:r w:rsidRPr="005F12F1">
        <w:t>Data from St Thomas' hospital from 2005-6 to 2007-08 reported 382 Ecstasy-related hospital presentations, of which 52 were attributable to ecstasy as a 'sole drug', giving an average of 17.3 hospital admissions per year in this Trust over a three year period.</w:t>
      </w:r>
    </w:p>
    <w:p w14:paraId="56DF9698" w14:textId="77777777" w:rsidR="00B82C88" w:rsidRPr="005F12F1" w:rsidRDefault="00B82C88"/>
    <w:p w14:paraId="5AA11B89" w14:textId="77777777" w:rsidR="00B82C88" w:rsidRPr="005F12F1" w:rsidRDefault="00B82C88">
      <w:r w:rsidRPr="005F12F1">
        <w:t xml:space="preserve">Data from the most up-to-date available HES statistics </w:t>
      </w:r>
      <w:r w:rsidRPr="005F12F1">
        <w:fldChar w:fldCharType="begin" w:fldLock="1"/>
      </w:r>
      <w:r>
        <w:instrText>ADDIN CSL_CITATION { "citationItems" : [ { "id" : "ITEM-1", "itemData" : { "URL" : "http://www.hscic.gov.uk/", "author" : [ { "dropping-particle" : "", "family" : "HSCIC", "given" : "", "non-dropping-particle" : "", "parse-names" : false, "suffix" : "" } ], "container-title" : "Health &amp; Social Care Information Centre", "id" : "ITEM-1", "issued" : { "date-parts" : [ [ "2016" ] ] }, "title" : "Hospital episode statistics 2014/15", "type" : "webpage" }, "uris" : [ "http://www.mendeley.com/documents/?uuid=4ee99b0d-f988-4612-bba4-d268e2a30eb4" ] } ], "mendeley" : { "formattedCitation" : "(HSCIC 2016)", "plainTextFormattedCitation" : "(HSCIC 2016)", "previouslyFormattedCitation" : "(HSCIC 2016)" }, "properties" : { "noteIndex" : 0 }, "schema" : "https://github.com/citation-style-language/schema/raw/master/csl-citation.json" }</w:instrText>
      </w:r>
      <w:r w:rsidRPr="005F12F1">
        <w:fldChar w:fldCharType="separate"/>
      </w:r>
      <w:r w:rsidRPr="005F12F1">
        <w:rPr>
          <w:noProof/>
        </w:rPr>
        <w:t>(HSCIC 2016)</w:t>
      </w:r>
      <w:r w:rsidRPr="005F12F1">
        <w:fldChar w:fldCharType="end"/>
      </w:r>
      <w:r w:rsidRPr="005F12F1">
        <w:t xml:space="preserve"> suggested that St Thomas' hospital experienced a total of 134,718 all cause admissions during 2012-13, out of a total 15,145,626 in England that year. Using data from the CSEW 2014/15, the number of ecstasy related admissions observed from 2005-08 were adjusted to reflect the present day prevalence of ecstasy use </w:t>
      </w:r>
      <w:r w:rsidRPr="005F12F1">
        <w:fldChar w:fldCharType="begin" w:fldLock="1"/>
      </w:r>
      <w:r w:rsidRPr="005F12F1">
        <w:instrText>ADDIN CSL_CITATION { "citationItems" : [ { "id" : "ITEM-1", "itemData" : { "author" : [ { "dropping-particle" : "", "family" : "CSEW", "given" : "", "non-dropping-particle" : "", "parse-names" : false, "suffix" : "" } ], "id" : "ITEM-1", "issue" : "15 August 2014", "issued" : { "date-parts" : [ [ "2015" ] ] }, "number-of-pages" : "1-29", "title" : "Drug misuse: Findings from the 2014/15 Crime Survey for England and Wales", "type" : "report" }, "uris" : [ "http://www.mendeley.com/documents/?uuid=87318f2e-ab8c-4100-921e-cd7c64c366ea" ] } ], "mendeley" : { "formattedCitation" : "(CSEW 2015)", "plainTextFormattedCitation" : "(CSEW 2015)", "previouslyFormattedCitation" : "(CSEW 2015)" }, "properties" : { "noteIndex" : 0 }, "schema" : "https://github.com/citation-style-language/schema/raw/master/csl-citation.json" }</w:instrText>
      </w:r>
      <w:r w:rsidRPr="005F12F1">
        <w:fldChar w:fldCharType="separate"/>
      </w:r>
      <w:r w:rsidRPr="005F12F1">
        <w:rPr>
          <w:noProof/>
        </w:rPr>
        <w:t>(CSEW 2015)</w:t>
      </w:r>
      <w:r w:rsidRPr="005F12F1">
        <w:fldChar w:fldCharType="end"/>
      </w:r>
      <w:r w:rsidRPr="005F12F1">
        <w:t>, as this was deemed a suitable predictor of admissions. Subsequently, the 17.3 admissions per year during this period were reduced by 20% to 13.84 per year to reflect the change in ecstasy tablet consumption over time. Combining the HES data and ecstasy poisoning data gave an estimated (13.84/134,718) = 0.0103% of all hospital admissions in this Trust being due to ecstasy poisoning.</w:t>
      </w:r>
    </w:p>
    <w:p w14:paraId="71AA3A32" w14:textId="77777777" w:rsidR="00B82C88" w:rsidRPr="005F12F1" w:rsidRDefault="00B82C88"/>
    <w:p w14:paraId="2A8791CB" w14:textId="77777777" w:rsidR="00B82C88" w:rsidRPr="005F12F1" w:rsidRDefault="00B82C88">
      <w:r w:rsidRPr="005F12F1">
        <w:t>Assuming this proportion is representative of the wider population</w:t>
      </w:r>
      <w:r>
        <w:t xml:space="preserve"> (</w:t>
      </w:r>
      <w:r w:rsidRPr="005F12F1">
        <w:t>without any evidence to the contrary</w:t>
      </w:r>
      <w:r>
        <w:t>)</w:t>
      </w:r>
      <w:r w:rsidRPr="005F12F1">
        <w:t xml:space="preserve"> and applying this 0.0103% to the total number of hospital admissions in 2012-13 (15,145,626) gives an estimated 1,556 admissions per year within the NHS</w:t>
      </w:r>
      <w:r>
        <w:t>,</w:t>
      </w:r>
      <w:r w:rsidRPr="005F12F1">
        <w:t xml:space="preserve"> and a probability of hospital admission of 0.006% per tablet consumed.</w:t>
      </w:r>
    </w:p>
    <w:p w14:paraId="2DF0D55D" w14:textId="77777777" w:rsidR="00B82C88" w:rsidRPr="005F12F1" w:rsidRDefault="00B82C88"/>
    <w:p w14:paraId="0B36289B" w14:textId="4C5410ED" w:rsidR="00B82C88" w:rsidRPr="005F12F1" w:rsidRDefault="00B82C88">
      <w:r w:rsidRPr="005F12F1">
        <w:t xml:space="preserve">Australian data </w:t>
      </w:r>
      <w:r w:rsidRPr="005F12F1">
        <w:fldChar w:fldCharType="begin" w:fldLock="1"/>
      </w:r>
      <w:r w:rsidRPr="005F12F1">
        <w:instrText>ADDIN CSL_CITATION { "citationItems" : [ { "id" : "ITEM-1", "itemData" : { "DOI" : "10.1136/emermed-2012-202174", "ISBN" : "1472-0205", "ISSN" : "1472-0213", "PMID" : "23404807", "abstract" : "OBJECTIVE: To describe patterns and characteristics of emergency department (ED) presentations related to the use of ecstasy and related drugs (ERDs) in Melbourne, Australia.\\n\\nMETHODS: Retrospective audit of ERD-related presentations from 1 January 2008 to 31 December 2010 at two tertiary hospital EDs. Variation in presentations across years was tested using a two-tailed test for proportions. Univariate and multivariate logistic regressions were used to compare sociodemographic and clinical characteristics across groups.\\n\\nRESULTS: Most of the 1347 presentations occurred on weekends, 24:00-06:00. Most patients arrived by ambulance (69%) from public places (42%), private residences (26%) and licensed venues (21%). Ecstasy-related presentations decreased from 26% of presentations in 2008 to 14% in 2009 (p&lt;0.05); \u03b3-hydroxybutyrate (GHB) presentations were most common overall. GHB presentations were commonly related to altered conscious state (89%); other presentations were due to psychological concerns or nausea/vomiting. Compared with GHB presentations, patients in ecstasy-related presentations were significantly less likely to require intubation (OR 0.04, 95% CI 0.01 to 0.18), but more likely to result in hospital admission (OR 1.77, 95% CI 1.08 to 2.91). Patients in amphetamine-related cases were older than those in GHB-related cases (median 28.4 years vs 23.9 years; p&lt;0.05), and more likely to have a history of substance use (OR 4.85, 95% CI 3.50 to 6.74) or psychiatric illness (OR 6.64, 95% CI 4.47 to 9.87). Overall, the median length of stay was 3.0 h (IQR 1.8-4.8), with most (81%) patients discharged directly home.\\n\\nCONCLUSIONS: Although the majority of ERD-related presentations were effectively treated, with discharge within a short time frame, the number and timing of presentations places a significant burden on EDs. ERD harm reduction and improved management of minor harms at licensed venues could reduce this burden.", "author" : [ { "dropping-particle" : "", "family" : "Horyniak", "given" : "Danielle", "non-dropping-particle" : "", "parse-names" : false, "suffix" : "" }, { "dropping-particle" : "", "family" : "Degenhardt", "given" : "Louisa", "non-dropping-particle" : "", "parse-names" : false, "suffix" : "" }, { "dropping-particle" : "", "family" : "Smit", "given" : "De Villiers", "non-dropping-particle" : "", "parse-names" : false, "suffix" : "" }, { "dropping-particle" : "", "family" : "Munir", "given" : "Venita", "non-dropping-particle" : "", "parse-names" : false, "suffix" : "" }, { "dropping-particle" : "", "family" : "Johnston", "given" : "Jennifer", "non-dropping-particle" : "", "parse-names" : false, "suffix" : "" }, { "dropping-particle" : "", "family" : "Fry", "given" : "Craig", "non-dropping-particle" : "", "parse-names" : false, "suffix" : "" }, { "dropping-particle" : "", "family" : "Dietze", "given" : "Paul", "non-dropping-particle" : "", "parse-names" : false, "suffix" : "" } ], "container-title" : "Emergency medicine journal : EMJ", "id" : "ITEM-1", "issue" : "4", "issued" : { "date-parts" : [ [ "2014" ] ] }, "page" : "317-22", "title" : "Pattern and characteristics of ecstasy and related drug (ERD) presentations at two hospital emergency departments, Melbourne, Australia, 2008-2010.", "type" : "article-journal", "volume" : "31" }, "uris" : [ "http://www.mendeley.com/documents/?uuid=6a1e8a29-6b90-4a6e-9bec-a75e215192f9" ] } ], "mendeley" : { "formattedCitation" : "(Horyniak et al. 2014)", "plainTextFormattedCitation" : "(Horyniak et al. 2014)", "previouslyFormattedCitation" : "(Horyniak et al. 2014)" }, "properties" : { "noteIndex" : 0 }, "schema" : "https://github.com/citation-style-language/schema/raw/master/csl-citation.json" }</w:instrText>
      </w:r>
      <w:r w:rsidRPr="005F12F1">
        <w:fldChar w:fldCharType="separate"/>
      </w:r>
      <w:r w:rsidRPr="005F12F1">
        <w:rPr>
          <w:noProof/>
        </w:rPr>
        <w:t>(Horyniak et al. 2014)</w:t>
      </w:r>
      <w:r w:rsidRPr="005F12F1">
        <w:fldChar w:fldCharType="end"/>
      </w:r>
      <w:r w:rsidRPr="005F12F1">
        <w:t>, suggest an average hospital stay of 3 hours in the case of ecstasy poisoning, which when combined with NHS reference cost data of £124 per hour of patient contact (all costs are quoted at 2013-14 prices) gave an estimate of £372 per admission</w:t>
      </w:r>
      <w:r w:rsidR="003124B2">
        <w:t xml:space="preserve"> (£378 after inflating to 2015 prices)</w:t>
      </w:r>
      <w:r w:rsidRPr="005F12F1">
        <w:t xml:space="preserve"> or £0.02 per tablet.</w:t>
      </w:r>
    </w:p>
    <w:p w14:paraId="37C0714A" w14:textId="77777777" w:rsidR="00B82C88" w:rsidRPr="005F12F1" w:rsidRDefault="00B82C88"/>
    <w:p w14:paraId="6CC6F973" w14:textId="1672CA1B" w:rsidR="00B82C88" w:rsidRPr="00D31A1F" w:rsidRDefault="00B82C88" w:rsidP="003D56F0">
      <w:pPr>
        <w:pStyle w:val="Heading7"/>
      </w:pPr>
      <w:r w:rsidRPr="00D31A1F">
        <w:t xml:space="preserve">A&amp;E </w:t>
      </w:r>
      <w:r w:rsidR="008B04D6">
        <w:t>a</w:t>
      </w:r>
      <w:r w:rsidRPr="00D31A1F">
        <w:t>ttendances</w:t>
      </w:r>
      <w:r w:rsidR="008B04D6">
        <w:t xml:space="preserve"> costs</w:t>
      </w:r>
    </w:p>
    <w:p w14:paraId="285C9B41" w14:textId="77777777" w:rsidR="00B82C88" w:rsidRDefault="00B82C88"/>
    <w:p w14:paraId="03BCC470" w14:textId="3FE2ADA6" w:rsidR="00B82C88" w:rsidRPr="005F12F1" w:rsidRDefault="00B82C88">
      <w:r w:rsidRPr="005F12F1">
        <w:t>It was assumed that all hospital admissions result from an initial A&amp;E a</w:t>
      </w:r>
      <w:r>
        <w:t>ttendance</w:t>
      </w:r>
      <w:r w:rsidRPr="005F12F1">
        <w:t xml:space="preserve">. As such, each of the 1,556 ecstasy-related inpatient admissions per year had an </w:t>
      </w:r>
      <w:r w:rsidRPr="005F12F1">
        <w:lastRenderedPageBreak/>
        <w:t>additional cost of £1</w:t>
      </w:r>
      <w:r w:rsidR="003124B2">
        <w:t>17</w:t>
      </w:r>
      <w:r w:rsidRPr="005F12F1">
        <w:t xml:space="preserve"> per A&amp;E presentation</w:t>
      </w:r>
      <w:r w:rsidR="007C1D8F">
        <w:t xml:space="preserve"> (2015 prices, </w:t>
      </w:r>
      <w:r w:rsidR="003124B2">
        <w:t>£109 at 2012 prices)</w:t>
      </w:r>
      <w:r w:rsidRPr="005F12F1">
        <w:t>, equal to or £0.007 per tablet, based on NHS reference costing, 2011-12.</w:t>
      </w:r>
      <w:r w:rsidRPr="0018299D">
        <w:rPr>
          <w:rStyle w:val="FootnoteReference"/>
        </w:rPr>
        <w:footnoteReference w:id="3"/>
      </w:r>
      <w:r w:rsidRPr="005F12F1">
        <w:t xml:space="preserve"> </w:t>
      </w:r>
    </w:p>
    <w:p w14:paraId="7BC8BC86" w14:textId="77777777" w:rsidR="00B82C88" w:rsidRDefault="00B82C88"/>
    <w:p w14:paraId="052E1FE3" w14:textId="21E68E10" w:rsidR="00B82C88" w:rsidRPr="00D31A1F" w:rsidRDefault="00B82C88" w:rsidP="003D56F0">
      <w:pPr>
        <w:pStyle w:val="Heading7"/>
      </w:pPr>
      <w:r w:rsidRPr="00D31A1F">
        <w:t>Ambulance conveyances</w:t>
      </w:r>
      <w:r w:rsidR="008B04D6">
        <w:t xml:space="preserve"> costs</w:t>
      </w:r>
    </w:p>
    <w:p w14:paraId="558A0DBF" w14:textId="77777777" w:rsidR="00B82C88" w:rsidRPr="008372D5" w:rsidRDefault="00B82C88"/>
    <w:p w14:paraId="2C3E40C3" w14:textId="762C8FEB" w:rsidR="00B82C88" w:rsidRPr="005F12F1" w:rsidRDefault="00B82C88">
      <w:r w:rsidRPr="005F12F1">
        <w:t xml:space="preserve">Estimates </w:t>
      </w:r>
      <w:r>
        <w:t xml:space="preserve">from </w:t>
      </w:r>
      <w:r w:rsidRPr="005F12F1">
        <w:fldChar w:fldCharType="begin" w:fldLock="1"/>
      </w:r>
      <w:r>
        <w:instrText>ADDIN CSL_CITATION { "citationItems" : [ { "id" : "ITEM-1", "itemData" : { "DOI" : "10.1136/emermed-2012-202174", "ISBN" : "1472-0205", "ISSN" : "1472-0213", "PMID" : "23404807", "abstract" : "OBJECTIVE: To describe patterns and characteristics of emergency department (ED) presentations related to the use of ecstasy and related drugs (ERDs) in Melbourne, Australia.\\n\\nMETHODS: Retrospective audit of ERD-related presentations from 1 January 2008 to 31 December 2010 at two tertiary hospital EDs. Variation in presentations across years was tested using a two-tailed test for proportions. Univariate and multivariate logistic regressions were used to compare sociodemographic and clinical characteristics across groups.\\n\\nRESULTS: Most of the 1347 presentations occurred on weekends, 24:00-06:00. Most patients arrived by ambulance (69%) from public places (42%), private residences (26%) and licensed venues (21%). Ecstasy-related presentations decreased from 26% of presentations in 2008 to 14% in 2009 (p&lt;0.05); \u03b3-hydroxybutyrate (GHB) presentations were most common overall. GHB presentations were commonly related to altered conscious state (89%); other presentations were due to psychological concerns or nausea/vomiting. Compared with GHB presentations, patients in ecstasy-related presentations were significantly less likely to require intubation (OR 0.04, 95% CI 0.01 to 0.18), but more likely to result in hospital admission (OR 1.77, 95% CI 1.08 to 2.91). Patients in amphetamine-related cases were older than those in GHB-related cases (median 28.4 years vs 23.9 years; p&lt;0.05), and more likely to have a history of substance use (OR 4.85, 95% CI 3.50 to 6.74) or psychiatric illness (OR 6.64, 95% CI 4.47 to 9.87). Overall, the median length of stay was 3.0 h (IQR 1.8-4.8), with most (81%) patients discharged directly home.\\n\\nCONCLUSIONS: Although the majority of ERD-related presentations were effectively treated, with discharge within a short time frame, the number and timing of presentations places a significant burden on EDs. ERD harm reduction and improved management of minor harms at licensed venues could reduce this burden.", "author" : [ { "dropping-particle" : "", "family" : "Horyniak", "given" : "Danielle", "non-dropping-particle" : "", "parse-names" : false, "suffix" : "" }, { "dropping-particle" : "", "family" : "Degenhardt", "given" : "Louisa", "non-dropping-particle" : "", "parse-names" : false, "suffix" : "" }, { "dropping-particle" : "", "family" : "Smit", "given" : "De Villiers", "non-dropping-particle" : "", "parse-names" : false, "suffix" : "" }, { "dropping-particle" : "", "family" : "Munir", "given" : "Venita", "non-dropping-particle" : "", "parse-names" : false, "suffix" : "" }, { "dropping-particle" : "", "family" : "Johnston", "given" : "Jennifer", "non-dropping-particle" : "", "parse-names" : false, "suffix" : "" }, { "dropping-particle" : "", "family" : "Fry", "given" : "Craig", "non-dropping-particle" : "", "parse-names" : false, "suffix" : "" }, { "dropping-particle" : "", "family" : "Dietze", "given" : "Paul", "non-dropping-particle" : "", "parse-names" : false, "suffix" : "" } ], "container-title" : "Emergency medicine journal : EMJ", "id" : "ITEM-1", "issue" : "4", "issued" : { "date-parts" : [ [ "2014" ] ] }, "page" : "317-22", "title" : "Pattern and characteristics of ecstasy and related drug (ERD) presentations at two hospital emergency departments, Melbourne, Australia, 2008-2010.", "type" : "article-journal", "volume" : "31" }, "uris" : [ "http://www.mendeley.com/documents/?uuid=6a1e8a29-6b90-4a6e-9bec-a75e215192f9" ] } ], "mendeley" : { "formattedCitation" : "(Horyniak et al. 2014)", "manualFormatting" : "Horyniak et al. (2014)", "plainTextFormattedCitation" : "(Horyniak et al. 2014)", "previouslyFormattedCitation" : "(Horyniak et al. 2014)" }, "properties" : { "noteIndex" : 0 }, "schema" : "https://github.com/citation-style-language/schema/raw/master/csl-citation.json" }</w:instrText>
      </w:r>
      <w:r w:rsidRPr="005F12F1">
        <w:fldChar w:fldCharType="separate"/>
      </w:r>
      <w:r w:rsidRPr="005F12F1">
        <w:rPr>
          <w:noProof/>
        </w:rPr>
        <w:t xml:space="preserve">Horyniak et al. </w:t>
      </w:r>
      <w:r>
        <w:rPr>
          <w:noProof/>
        </w:rPr>
        <w:t>(</w:t>
      </w:r>
      <w:r w:rsidRPr="005F12F1">
        <w:rPr>
          <w:noProof/>
        </w:rPr>
        <w:t>2014)</w:t>
      </w:r>
      <w:r w:rsidRPr="005F12F1">
        <w:fldChar w:fldCharType="end"/>
      </w:r>
      <w:r w:rsidRPr="005F12F1">
        <w:t>, suggested that approximately 69% of all A&amp;E attendances citing ecstasy poisoning required an ambulance conveyance, resulting in an estimated 1,074 ecstasy-related ambulance conveyances per year in the UK. Using data from NHS Reference Costs 2013-14, we estimated the average cost per call-out for ambulance services where the patient is seen, treated accordingly, and either referred or conveyed to hospital to be £21</w:t>
      </w:r>
      <w:r w:rsidR="00142763">
        <w:t>9</w:t>
      </w:r>
      <w:r w:rsidR="007C1D8F">
        <w:t xml:space="preserve"> at 2015 prices</w:t>
      </w:r>
      <w:r w:rsidRPr="005F12F1">
        <w:t>,</w:t>
      </w:r>
      <w:r w:rsidR="00142763">
        <w:t xml:space="preserve"> (£216 in 2014 prices)</w:t>
      </w:r>
      <w:r w:rsidRPr="005F12F1">
        <w:t xml:space="preserve"> or £0.009 per tablet consumed.</w:t>
      </w:r>
    </w:p>
    <w:p w14:paraId="6B4753A7" w14:textId="77777777" w:rsidR="00B82C88" w:rsidRPr="00D31A1F" w:rsidRDefault="00B82C88"/>
    <w:p w14:paraId="2A610D34" w14:textId="24D37633" w:rsidR="00B82C88" w:rsidRPr="00D31A1F" w:rsidRDefault="008B04D6" w:rsidP="003D56F0">
      <w:pPr>
        <w:pStyle w:val="Heading7"/>
      </w:pPr>
      <w:r>
        <w:t>Death costs</w:t>
      </w:r>
    </w:p>
    <w:p w14:paraId="68444E24" w14:textId="77777777" w:rsidR="00B82C88" w:rsidRDefault="00B82C88"/>
    <w:p w14:paraId="1F76BB82" w14:textId="269A29AD" w:rsidR="00B82C88" w:rsidRPr="005F12F1" w:rsidRDefault="00B82C88">
      <w:r w:rsidRPr="005F12F1">
        <w:rPr>
          <w:rFonts w:eastAsia="Calibri"/>
        </w:rPr>
        <w:t xml:space="preserve">Using data from the </w:t>
      </w:r>
      <w:r w:rsidRPr="005F12F1">
        <w:t xml:space="preserve">ONS Statistical Bulletin: Deaths related to drug poisoning in England and Wales, 2014 registrations, 25 ecstasy-related deaths were observed in 2014, where ‘no other drugs’ were mentioned in the cause of death. </w:t>
      </w:r>
      <w:r>
        <w:t xml:space="preserve">This </w:t>
      </w:r>
      <w:r w:rsidRPr="005F12F1">
        <w:t>gave a death rate of 1 in every 520,000 tablets (26,000,000 tablets/25 deaths). For each death, an estimate of £</w:t>
      </w:r>
      <w:r w:rsidR="00142763">
        <w:t>622</w:t>
      </w:r>
      <w:r w:rsidRPr="005F12F1">
        <w:t xml:space="preserve"> was used to reflect hospital costs,</w:t>
      </w:r>
      <w:r w:rsidR="00142763">
        <w:t xml:space="preserve"> (£464 in 2002 prices</w:t>
      </w:r>
      <w:r w:rsidR="007C1D8F">
        <w:t xml:space="preserve"> inflated to 2015</w:t>
      </w:r>
      <w:r w:rsidR="00142763">
        <w:t>)</w:t>
      </w:r>
      <w:r w:rsidRPr="005F12F1">
        <w:t xml:space="preserve"> as reported </w:t>
      </w:r>
      <w:r>
        <w:t xml:space="preserve">by </w:t>
      </w:r>
      <w:r w:rsidRPr="005F12F1">
        <w:fldChar w:fldCharType="begin" w:fldLock="1"/>
      </w:r>
      <w:r>
        <w:instrText>ADDIN CSL_CITATION { "citationItems" : [ { "id" : "ITEM-1", "itemData" : { "author" : [ { "dropping-particle" : "", "family" : "Godfrey", "given" : "Christine", "non-dropping-particle" : "", "parse-names" : false, "suffix" : "" }, { "dropping-particle" : "", "family" : "Eaton", "given" : "Gail", "non-dropping-particle" : "", "parse-names" : false, "suffix" : "" }, { "dropping-particle" : "", "family" : "McDougall", "given" : "Cynthia", "non-dropping-particle" : "", "parse-names" : false, "suffix" : "" }, { "dropping-particle" : "", "family" : "Culyer", "given" : "Anthony", "non-dropping-particle" : "", "parse-names" : false, "suffix" : "" } ], "id" : "ITEM-1", "issue" : "July", "issued" : { "date-parts" : [ [ "2002" ] ] }, "title" : "The economic and social costs of Class A drug use in England and Wales", "type" : "report" }, "uris" : [ "http://www.mendeley.com/documents/?uuid=86a6e458-e8ab-43ce-b2ab-12fe942ba45b" ] } ], "mendeley" : { "formattedCitation" : "(Godfrey et al. 2002)", "manualFormatting" : "Godfrey et al. (2002)", "plainTextFormattedCitation" : "(Godfrey et al. 2002)", "previouslyFormattedCitation" : "(Godfrey et al. 2002)" }, "properties" : { "noteIndex" : 0 }, "schema" : "https://github.com/citation-style-language/schema/raw/master/csl-citation.json" }</w:instrText>
      </w:r>
      <w:r w:rsidRPr="005F12F1">
        <w:fldChar w:fldCharType="separate"/>
      </w:r>
      <w:r w:rsidRPr="005F12F1">
        <w:rPr>
          <w:noProof/>
        </w:rPr>
        <w:t xml:space="preserve">Godfrey et al. </w:t>
      </w:r>
      <w:r>
        <w:rPr>
          <w:noProof/>
        </w:rPr>
        <w:t>(</w:t>
      </w:r>
      <w:r w:rsidRPr="005F12F1">
        <w:rPr>
          <w:noProof/>
        </w:rPr>
        <w:t>2002)</w:t>
      </w:r>
      <w:r w:rsidRPr="005F12F1">
        <w:fldChar w:fldCharType="end"/>
      </w:r>
      <w:r w:rsidRPr="005F12F1">
        <w:t>, resulting in a cost of £0.0006 per tablet consumed.</w:t>
      </w:r>
    </w:p>
    <w:p w14:paraId="29042A71" w14:textId="77777777" w:rsidR="00B82C88" w:rsidRPr="005F12F1" w:rsidRDefault="00B82C88"/>
    <w:p w14:paraId="1FDCFE14" w14:textId="1403450A" w:rsidR="00B82C88" w:rsidRPr="00D31A1F" w:rsidRDefault="00B82C88" w:rsidP="003D56F0">
      <w:pPr>
        <w:pStyle w:val="Heading7"/>
      </w:pPr>
      <w:r w:rsidRPr="00D31A1F">
        <w:t>Treatment for dependence</w:t>
      </w:r>
      <w:r w:rsidR="008B04D6">
        <w:t xml:space="preserve"> costs</w:t>
      </w:r>
    </w:p>
    <w:p w14:paraId="7C0C149D" w14:textId="77777777" w:rsidR="00B82C88" w:rsidRDefault="00B82C88"/>
    <w:p w14:paraId="767FB295" w14:textId="398B7FE2" w:rsidR="00B82C88" w:rsidRPr="005006EE" w:rsidRDefault="00B82C88">
      <w:pPr>
        <w:rPr>
          <w:rFonts w:eastAsia="Times New Roman"/>
          <w:color w:val="000000"/>
        </w:rPr>
      </w:pPr>
      <w:r w:rsidRPr="005006EE">
        <w:t>Data from the National Drug Treatment Monitoring System (NDTMS)</w:t>
      </w:r>
      <w:r>
        <w:t xml:space="preserve"> </w:t>
      </w:r>
      <w:r w:rsidRPr="005006EE">
        <w:t>show that there were a total of 433 people in drug treatment with a primary indication of ecstasy use in England during 2014/15</w:t>
      </w:r>
      <w:r>
        <w:t>:</w:t>
      </w:r>
      <w:r w:rsidRPr="005006EE">
        <w:t xml:space="preserve"> 165 aged 9-17 years old and 268 aged 18-59 years old. Treatment costs from Public Health England were estimated at £2,620 per treatment episode</w:t>
      </w:r>
      <w:r w:rsidR="00AF0C69">
        <w:t xml:space="preserve"> </w:t>
      </w:r>
      <w:r w:rsidR="006815C1">
        <w:t xml:space="preserve">from </w:t>
      </w:r>
      <w:r w:rsidR="00023D29">
        <w:t xml:space="preserve">This value is based on </w:t>
      </w:r>
      <w:r w:rsidR="006815C1">
        <w:t>c</w:t>
      </w:r>
      <w:r w:rsidR="00AF0C69">
        <w:t>orrespondence with Public Health England</w:t>
      </w:r>
      <w:r w:rsidR="007C1D8F">
        <w:t xml:space="preserve"> in 2015</w:t>
      </w:r>
      <w:r w:rsidR="006815C1">
        <w:t xml:space="preserve"> based on their Value for Money Tool methods</w:t>
      </w:r>
      <w:r w:rsidR="00CC7EC2">
        <w:t xml:space="preserve"> which consider</w:t>
      </w:r>
      <w:r w:rsidR="00023D29">
        <w:t>s</w:t>
      </w:r>
      <w:r w:rsidR="00CC7EC2">
        <w:t xml:space="preserve"> average numbers of days in drug treatment</w:t>
      </w:r>
      <w:r w:rsidR="00023D29">
        <w:t xml:space="preserve"> </w:t>
      </w:r>
      <w:r w:rsidR="00023D29">
        <w:fldChar w:fldCharType="begin" w:fldLock="1"/>
      </w:r>
      <w:r w:rsidR="00783AD3">
        <w:instrText>ADDIN CSL_CITATION { "citationItems" : [ { "id" : "ITEM-1", "itemData" : { "URL" : "https://www.ndtms.net/ValueForMoney.aspx", "author" : [ { "dropping-particle" : "", "family" : "NDTMS", "given" : "", "non-dropping-particle" : "", "parse-names" : false, "suffix" : "" } ], "id" : "ITEM-1", "issued" : { "date-parts" : [ [ "2016" ] ] }, "title" : "Value for Money tool", "type" : "webpage" }, "uris" : [ "http://www.mendeley.com/documents/?uuid=44525986-b5c5-4d48-9eb1-0c8cc74a57f9" ] } ], "mendeley" : { "formattedCitation" : "(NDTMS 2016)", "plainTextFormattedCitation" : "(NDTMS 2016)", "previouslyFormattedCitation" : "(NDTMS 2016)" }, "properties" : { "noteIndex" : 0 }, "schema" : "https://github.com/citation-style-language/schema/raw/master/csl-citation.json" }</w:instrText>
      </w:r>
      <w:r w:rsidR="00023D29">
        <w:fldChar w:fldCharType="separate"/>
      </w:r>
      <w:r w:rsidR="00023D29" w:rsidRPr="00023D29">
        <w:rPr>
          <w:noProof/>
        </w:rPr>
        <w:t>(NDTMS 2016)</w:t>
      </w:r>
      <w:r w:rsidR="00023D29">
        <w:fldChar w:fldCharType="end"/>
      </w:r>
      <w:r w:rsidR="00023D29">
        <w:t>.</w:t>
      </w:r>
      <w:r w:rsidRPr="005006EE">
        <w:t xml:space="preserve"> Combining the treatment cost with a probability of treatment of 0.00064% and </w:t>
      </w:r>
      <w:r w:rsidRPr="005006EE">
        <w:rPr>
          <w:rFonts w:eastAsia="Times New Roman"/>
          <w:color w:val="000000"/>
        </w:rPr>
        <w:t>0.001%, for those aged 16-24 and 25-59, gave an average treatment cost of £0.012 and £0.30 per tablet respectively.</w:t>
      </w:r>
    </w:p>
    <w:p w14:paraId="543C12D0" w14:textId="77777777" w:rsidR="00B82C88" w:rsidRPr="005F12F1" w:rsidRDefault="00B82C88"/>
    <w:p w14:paraId="1FAAA8F4" w14:textId="77777777" w:rsidR="00B82C88" w:rsidRDefault="00B82C88">
      <w:pPr>
        <w:pStyle w:val="Heading6"/>
      </w:pPr>
      <w:r w:rsidRPr="005F12F1">
        <w:t>QALY losses associated with premature death</w:t>
      </w:r>
    </w:p>
    <w:p w14:paraId="712067FD" w14:textId="77777777" w:rsidR="00B82C88" w:rsidRPr="005006EE" w:rsidRDefault="00B82C88"/>
    <w:p w14:paraId="03423C77" w14:textId="268B73C1" w:rsidR="00440A0B" w:rsidRDefault="00B82C88">
      <w:r w:rsidRPr="005F12F1">
        <w:t xml:space="preserve">Because ecstasy-related deaths are most likely to occur in those aged 18-59 years old, and in particular, those aged less than 25, the QALY losses associated with premature death can be substantial. In order to account for the </w:t>
      </w:r>
      <w:r>
        <w:t>QALY</w:t>
      </w:r>
      <w:r w:rsidRPr="005F12F1">
        <w:t xml:space="preserve"> losses of premature death, EQ-5D population norms </w:t>
      </w:r>
      <w:r w:rsidRPr="005F12F1">
        <w:fldChar w:fldCharType="begin" w:fldLock="1"/>
      </w:r>
      <w:r w:rsidRPr="005F12F1">
        <w:instrText>ADDIN CSL_CITATION { "citationItems" : [ { "id" : "ITEM-1", "itemData" : { "ISBN" : "172", "abstract" : "This discussion paper presents data from the Department of Health funded Measurement and Valuation of Health survey conducted at the Centre for Health Economics in 1993. This was a nationally representative interview survey of 3395 men and women aged 18 or over living in the UK. Amongst other things, the survey collected information on health status using the EuroQol (EQ-5D) descriptive system. The data is presented as a series of tables of age/sex population norms for the EQ-5D, for both self rated health status and weighted health state index. The tables are likely to be useful for researchers, clinicians, health care providers and policy makers, who are using EQ-5D to evaluate health care and who require baseline values for comparative purposes for monitoring population variations in health.", "author" : [ { "dropping-particle" : "", "family" : "Kind", "given" : "Paul", "non-dropping-particle" : "", "parse-names" : false, "suffix" : "" }, { "dropping-particle" : "", "family" : "Hardman", "given" : "Geoffrey", "non-dropping-particle" : "", "parse-names" : false, "suffix" : "" }, { "dropping-particle" : "", "family" : "Macran", "given" : "Susan", "non-dropping-particle" : "", "parse-names" : false, "suffix" : "" } ], "container-title" : "CHE Working Papers", "id" : "ITEM-1", "issued" : { "date-parts" : [ [ "1999" ] ] }, "title" : "UK population norms for EQ-5D", "type" : "report" }, "uris" : [ "http://www.mendeley.com/documents/?uuid=26ca521e-cc53-4d88-a631-4bb01139222a" ] } ], "mendeley" : { "formattedCitation" : "(Kind et al. 1999)", "plainTextFormattedCitation" : "(Kind et al. 1999)", "previouslyFormattedCitation" : "(Kind et al. 1999)" }, "properties" : { "noteIndex" : 0 }, "schema" : "https://github.com/citation-style-language/schema/raw/master/csl-citation.json" }</w:instrText>
      </w:r>
      <w:r w:rsidRPr="005F12F1">
        <w:fldChar w:fldCharType="separate"/>
      </w:r>
      <w:r w:rsidRPr="005F12F1">
        <w:rPr>
          <w:noProof/>
        </w:rPr>
        <w:t>(Kind et al. 1999)</w:t>
      </w:r>
      <w:r w:rsidRPr="005F12F1">
        <w:fldChar w:fldCharType="end"/>
      </w:r>
      <w:r w:rsidRPr="005F12F1">
        <w:t xml:space="preserve"> were used to provide an estimate of these losses. Deaths were assumed to occur in the mid-point of any </w:t>
      </w:r>
      <w:r w:rsidRPr="005F12F1">
        <w:lastRenderedPageBreak/>
        <w:t>age group such that those aged 16-24 were expected to die aged 20, and for those aged 25-59, deaths were assumed to occur at age 42. For each group discounted values for EQ-5D population norms, as reported</w:t>
      </w:r>
      <w:r>
        <w:t xml:space="preserve"> by</w:t>
      </w:r>
      <w:r w:rsidRPr="005F12F1">
        <w:t xml:space="preserve"> </w:t>
      </w:r>
      <w:r w:rsidRPr="005F12F1">
        <w:fldChar w:fldCharType="begin" w:fldLock="1"/>
      </w:r>
      <w:r>
        <w:instrText>ADDIN CSL_CITATION { "citationItems" : [ { "id" : "ITEM-1", "itemData" : { "ISBN" : "172", "abstract" : "This discussion paper presents data from the Department of Health funded Measurement and Valuation of Health survey conducted at the Centre for Health Economics in 1993. This was a nationally representative interview survey of 3395 men and women aged 18 or over living in the UK. Amongst other things, the survey collected information on health status using the EuroQol (EQ-5D) descriptive system. The data is presented as a series of tables of age/sex population norms for the EQ-5D, for both self rated health status and weighted health state index. The tables are likely to be useful for researchers, clinicians, health care providers and policy makers, who are using EQ-5D to evaluate health care and who require baseline values for comparative purposes for monitoring population variations in health.", "author" : [ { "dropping-particle" : "", "family" : "Kind", "given" : "Paul", "non-dropping-particle" : "", "parse-names" : false, "suffix" : "" }, { "dropping-particle" : "", "family" : "Hardman", "given" : "Geoffrey", "non-dropping-particle" : "", "parse-names" : false, "suffix" : "" }, { "dropping-particle" : "", "family" : "Macran", "given" : "Susan", "non-dropping-particle" : "", "parse-names" : false, "suffix" : "" } ], "container-title" : "CHE Working Papers", "id" : "ITEM-1", "issued" : { "date-parts" : [ [ "1999" ] ] }, "title" : "UK population norms for EQ-5D", "type" : "report" }, "uris" : [ "http://www.mendeley.com/documents/?uuid=26ca521e-cc53-4d88-a631-4bb01139222a" ] } ], "mendeley" : { "formattedCitation" : "(Kind et al. 1999)", "manualFormatting" : "Kind et al. (1999)", "plainTextFormattedCitation" : "(Kind et al. 1999)", "previouslyFormattedCitation" : "(Kind et al. 1999)" }, "properties" : { "noteIndex" : 0 }, "schema" : "https://github.com/citation-style-language/schema/raw/master/csl-citation.json" }</w:instrText>
      </w:r>
      <w:r w:rsidRPr="005F12F1">
        <w:fldChar w:fldCharType="separate"/>
      </w:r>
      <w:r w:rsidRPr="005F12F1">
        <w:rPr>
          <w:noProof/>
        </w:rPr>
        <w:t xml:space="preserve">Kind et al. </w:t>
      </w:r>
      <w:r>
        <w:rPr>
          <w:noProof/>
        </w:rPr>
        <w:t>(</w:t>
      </w:r>
      <w:r w:rsidRPr="005F12F1">
        <w:rPr>
          <w:noProof/>
        </w:rPr>
        <w:t>1999)</w:t>
      </w:r>
      <w:r w:rsidRPr="005F12F1">
        <w:fldChar w:fldCharType="end"/>
      </w:r>
      <w:r w:rsidRPr="005F12F1">
        <w:t xml:space="preserve"> were summed from the age of death until age 82, when it was assumed that all individuals would have died in absence of an ecstasy-related death.</w:t>
      </w:r>
    </w:p>
    <w:p w14:paraId="616C78D7" w14:textId="77777777" w:rsidR="00440A0B" w:rsidRDefault="00440A0B"/>
    <w:p w14:paraId="4442F1BA" w14:textId="77777777" w:rsidR="00440A0B" w:rsidRPr="000957AD" w:rsidRDefault="00440A0B">
      <w:pPr>
        <w:pStyle w:val="Heading6"/>
      </w:pPr>
      <w:r w:rsidRPr="000957AD">
        <w:t>Other outcomes that could possibly be included the model but with insufficient evidence or data</w:t>
      </w:r>
    </w:p>
    <w:p w14:paraId="574058C4" w14:textId="77777777" w:rsidR="00440A0B" w:rsidRPr="000957AD" w:rsidRDefault="00440A0B"/>
    <w:p w14:paraId="5A9A3C21" w14:textId="77777777" w:rsidR="00440A0B" w:rsidRPr="000957AD" w:rsidRDefault="00440A0B">
      <w:r w:rsidRPr="000957AD">
        <w:t>It is worth noting that had the following outcomes also been included, the intervention may have become more cost-effective, however given the extent of cost-ineffectiveness, this is unlikely to have changed the outcome of the model greatly.</w:t>
      </w:r>
    </w:p>
    <w:p w14:paraId="6A01B187" w14:textId="77777777" w:rsidR="00440A0B" w:rsidRPr="005F12F1" w:rsidRDefault="00440A0B"/>
    <w:p w14:paraId="5E046554" w14:textId="77777777" w:rsidR="00440A0B" w:rsidRPr="007A52E5" w:rsidRDefault="00440A0B">
      <w:pPr>
        <w:pStyle w:val="Heading6"/>
      </w:pPr>
      <w:r w:rsidRPr="007A52E5">
        <w:t>Acquisitive crime</w:t>
      </w:r>
    </w:p>
    <w:p w14:paraId="69B026D2" w14:textId="77777777" w:rsidR="00440A0B" w:rsidRPr="008372D5" w:rsidRDefault="00440A0B"/>
    <w:p w14:paraId="25CE484B" w14:textId="77777777" w:rsidR="00440A0B" w:rsidRPr="005F12F1" w:rsidRDefault="00440A0B">
      <w:r w:rsidRPr="000F0AF6">
        <w:t xml:space="preserve">Because it is reported that MDMA/ecstasy users usually fund </w:t>
      </w:r>
      <w:r w:rsidRPr="005F12F1">
        <w:t xml:space="preserve">their drug purchases from their own income rather than from acquisitive crime </w:t>
      </w:r>
      <w:r w:rsidRPr="005F12F1">
        <w:fldChar w:fldCharType="begin" w:fldLock="1"/>
      </w:r>
      <w:r>
        <w:instrText>ADDIN CSL_CITATION { "citationItems" : [ { "id" : "ITEM-1", "itemData" : { "URL" : "http://www.publications.parliament.uk/pa/cm201314/cmselect/cmhaff/819/819we04.htm", "author" : [ { "dropping-particle" : "", "family" : "ACPO", "given" : "", "non-dropping-particle" : "", "parse-names" : false, "suffix" : "" } ], "container-title" : "Association of Chief Police Officers", "id" : "ITEM-1", "issued" : { "date-parts" : [ [ "2013" ] ] }, "title" : "Written evidence submitted to the ACMD", "type" : "webpage" }, "uris" : [ "http://www.mendeley.com/documents/?uuid=f12c9111-d231-4c51-b444-d73210a2612d" ] } ], "mendeley" : { "formattedCitation" : "(ACPO 2013)", "plainTextFormattedCitation" : "(ACPO 2013)", "previouslyFormattedCitation" : "(ACPO 2013)" }, "properties" : { "noteIndex" : 0 }, "schema" : "https://github.com/citation-style-language/schema/raw/master/csl-citation.json" }</w:instrText>
      </w:r>
      <w:r w:rsidRPr="005F12F1">
        <w:fldChar w:fldCharType="separate"/>
      </w:r>
      <w:r w:rsidRPr="003720A2">
        <w:rPr>
          <w:noProof/>
        </w:rPr>
        <w:t>(ACPO 2013)</w:t>
      </w:r>
      <w:r w:rsidRPr="005F12F1">
        <w:fldChar w:fldCharType="end"/>
      </w:r>
      <w:r w:rsidRPr="005F12F1">
        <w:t>, such costs were not estimated within the model, but we do appreciate that in some, more problematic users, this may be an important consideration.</w:t>
      </w:r>
    </w:p>
    <w:p w14:paraId="75B81E57" w14:textId="77777777" w:rsidR="00440A0B" w:rsidRPr="005F12F1" w:rsidRDefault="00440A0B"/>
    <w:p w14:paraId="3370D92E" w14:textId="77777777" w:rsidR="00440A0B" w:rsidRPr="007A52E5" w:rsidRDefault="00440A0B">
      <w:pPr>
        <w:pStyle w:val="Heading6"/>
      </w:pPr>
      <w:r w:rsidRPr="007A52E5">
        <w:t>Psychological morbidity (depression)</w:t>
      </w:r>
    </w:p>
    <w:p w14:paraId="0B489102" w14:textId="77777777" w:rsidR="00440A0B" w:rsidRPr="005006EE" w:rsidRDefault="00440A0B"/>
    <w:p w14:paraId="79EF9E4A" w14:textId="77777777" w:rsidR="00440A0B" w:rsidRPr="005F12F1" w:rsidRDefault="00440A0B">
      <w:r w:rsidRPr="005F12F1">
        <w:t xml:space="preserve">An extensive systematic assessment of observational data on the recreational use of MDMA  </w:t>
      </w:r>
      <w:r>
        <w:t xml:space="preserve">has been </w:t>
      </w:r>
      <w:r w:rsidRPr="005F12F1">
        <w:t>examined studies that compared MDMA users versus poly-drug users and MDMA users versus drug-naïve controls with separate analyses for current MDMA users and ex-users</w:t>
      </w:r>
      <w:r>
        <w:t xml:space="preserve"> </w:t>
      </w:r>
      <w:r w:rsidRPr="005F12F1">
        <w:fldChar w:fldCharType="begin" w:fldLock="1"/>
      </w:r>
      <w:r w:rsidRPr="005F12F1">
        <w:instrText>ADDIN CSL_CITATION { "citationItems" : [ { "id" : "ITEM-1", "itemData" : { "DOI" : "10.3310/hta13060", "ISBN" : "1366-5278", "ISSN" : "20464924", "PMID" : "19195429", "abstract" : "OBJECTIVES: To investigate the harmful health effects of taking ecstasy (3,4-methylenedioxymethamphetamine, MDMA) for recreational purposes. DATA SOURCES: MEDLINE, EMBASE, PsycINFO and Web of Knowledge were searched. Additional information on deaths was collected from the General Mortality Register (GMR) and the Special Mortality Register collated by the National Programme on Substance Abuse Deaths (np-SAD). REVIEW METHODS: Studies were categorised according to design, with systematic research syntheses (Level I evidence) the most valid and least open to bias. Where Level I evidence was not available, controlled observational studies (Level II evidence) were systematically reviewed. If neither Level I nor Level II evidence was available, uncontrolled case series and case reports (Level III evidence) were systematically surveyed. Data were extracted by one reviewer and a sample checked by a second. The heterogeneity of Level II evidence was addressed by undertaking stratified analyses for current and former ecstasy users and comparing them either with control groups using other illegal drugs but not ecstasy (polydrug controls) or with controls na\u00efve to illegal drugs (drug-na\u00efve controls). Statistical heterogeneity was minimised by using a random-effects model throughout and investigated using study-level regression analysis (metaregression). RESULTS: Five Level I syntheses were identified; for each it was difficult to ascertain the exact methods adopted and evidence included. Small but significant deficits for ecstasy users compared to controls were reported in areas relating to attention, memory, psychomotor speed, executive systems functioning, and self-reported depressive symptoms. Data from Level II studies were directly pooled for seven individual outcomes, suggesting that ecstasy users performed worse than controls on common measures of immediate and delayed verbal recall (RAVLT, RBMT, digit span). No difference was seen in IQ (NART). The 915 outcome measures identified in Level II studies were analysed in broad domains: immediate and delayed verbal and visual memory, working memory, two measures of attention, three measures of executive function, perceptual organisation, self-rated depression, memory and anxiety, and impulsivity measured objectively and subjectively. Ecstasy users performed significantly worse than polydrug controls in 13/16 domains and significantly worse than drug-na\u00efve controls in 7/12 domains for which sufficient data were ava\u2026", "author" : [ { "dropping-particle" : "", "family" : "Rogers", "given" : "G", "non-dropping-particle" : "", "parse-names" : false, "suffix" : "" }, { "dropping-particle" : "", "family" : "Elston", "given" : "J", "non-dropping-particle" : "", "parse-names" : false, "suffix" : "" }, { "dropping-particle" : "", "family" : "Garside", "given" : "R", "non-dropping-particle" : "", "parse-names" : false, "suffix" : "" }, { "dropping-particle" : "", "family" : "Roome", "given" : "C", "non-dropping-particle" : "", "parse-names" : false, "suffix" : "" }, { "dropping-particle" : "", "family" : "Taylor", "given" : "R", "non-dropping-particle" : "", "parse-names" : false, "suffix" : "" }, { "dropping-particle" : "", "family" : "Younger", "given" : "P", "non-dropping-particle" : "", "parse-names" : false, "suffix" : "" }, { "dropping-particle" : "", "family" : "Zawada", "given" : "A", "non-dropping-particle" : "", "parse-names" : false, "suffix" : "" }, { "dropping-particle" : "", "family" : "Somerville", "given" : "M", "non-dropping-particle" : "", "parse-names" : false, "suffix" : "" }, { "dropping-particle" : "", "family" : "Primary", "given" : "Devon", "non-dropping-particle" : "", "parse-names" : false, "suffix" : "" }, { "dropping-particle" : "", "family" : "Trust", "given" : "Care", "non-dropping-particle" : "", "parse-names" : false, "suffix" : "" } ], "container-title" : "Health Technology Assessment", "id" : "ITEM-1", "issue" : "6", "issued" : { "date-parts" : [ [ "2009" ] ] }, "title" : "The harmful health effects of recreational ecstasy The harmful health effects of recreational ecstasy : a systematic review of observational evidence", "type" : "report", "volume" : "13" }, "uris" : [ "http://www.mendeley.com/documents/?uuid=8d3196be-042a-4219-9fd4-f1f7683525f4" ] } ], "mendeley" : { "formattedCitation" : "(Rogers et al. 2009)", "plainTextFormattedCitation" : "(Rogers et al. 2009)", "previouslyFormattedCitation" : "(Rogers et al. 2009)" }, "properties" : { "noteIndex" : 0 }, "schema" : "https://github.com/citation-style-language/schema/raw/master/csl-citation.json" }</w:instrText>
      </w:r>
      <w:r w:rsidRPr="005F12F1">
        <w:fldChar w:fldCharType="separate"/>
      </w:r>
      <w:r w:rsidRPr="005F12F1">
        <w:rPr>
          <w:noProof/>
        </w:rPr>
        <w:t>(Rogers et al. 2009)</w:t>
      </w:r>
      <w:r w:rsidRPr="005F12F1">
        <w:fldChar w:fldCharType="end"/>
      </w:r>
      <w:r w:rsidRPr="005F12F1">
        <w:t xml:space="preserve">. The review found that there was a small but consistent negative effect of ‘ecstasy’ on cognitive and psychomotor function across a large number of controlled observational studies. The authors considered these effects tended to be ‘small’ in magnitude, noting that the mean scores of ‘ecstasy’-exposed cohorts were commonly still in the ‘normal range’. Furthermore, the authors noted that reported results should be considered in the context of methodological flaws in studies, which were numerous, including publication bias, selective reporting of outcomes and confounding, particularly with respect to alcohol </w:t>
      </w:r>
      <w:r w:rsidRPr="005F12F1">
        <w:fldChar w:fldCharType="begin" w:fldLock="1"/>
      </w:r>
      <w:r w:rsidRPr="005F12F1">
        <w:instrText>ADDIN CSL_CITATION { "citationItems" : [ { "id" : "ITEM-1", "itemData" : { "DOI" : "10.3310/hta13060", "ISBN" : "1366-5278", "ISSN" : "20464924", "PMID" : "19195429", "abstract" : "OBJECTIVES: To investigate the harmful health effects of taking ecstasy (3,4-methylenedioxymethamphetamine, MDMA) for recreational purposes. DATA SOURCES: MEDLINE, EMBASE, PsycINFO and Web of Knowledge were searched. Additional information on deaths was collected from the General Mortality Register (GMR) and the Special Mortality Register collated by the National Programme on Substance Abuse Deaths (np-SAD). REVIEW METHODS: Studies were categorised according to design, with systematic research syntheses (Level I evidence) the most valid and least open to bias. Where Level I evidence was not available, controlled observational studies (Level II evidence) were systematically reviewed. If neither Level I nor Level II evidence was available, uncontrolled case series and case reports (Level III evidence) were systematically surveyed. Data were extracted by one reviewer and a sample checked by a second. The heterogeneity of Level II evidence was addressed by undertaking stratified analyses for current and former ecstasy users and comparing them either with control groups using other illegal drugs but not ecstasy (polydrug controls) or with controls na\u00efve to illegal drugs (drug-na\u00efve controls). Statistical heterogeneity was minimised by using a random-effects model throughout and investigated using study-level regression analysis (metaregression). RESULTS: Five Level I syntheses were identified; for each it was difficult to ascertain the exact methods adopted and evidence included. Small but significant deficits for ecstasy users compared to controls were reported in areas relating to attention, memory, psychomotor speed, executive systems functioning, and self-reported depressive symptoms. Data from Level II studies were directly pooled for seven individual outcomes, suggesting that ecstasy users performed worse than controls on common measures of immediate and delayed verbal recall (RAVLT, RBMT, digit span). No difference was seen in IQ (NART). The 915 outcome measures identified in Level II studies were analysed in broad domains: immediate and delayed verbal and visual memory, working memory, two measures of attention, three measures of executive function, perceptual organisation, self-rated depression, memory and anxiety, and impulsivity measured objectively and subjectively. Ecstasy users performed significantly worse than polydrug controls in 13/16 domains and significantly worse than drug-na\u00efve controls in 7/12 domains for which sufficient data were ava\u2026", "author" : [ { "dropping-particle" : "", "family" : "Rogers", "given" : "G", "non-dropping-particle" : "", "parse-names" : false, "suffix" : "" }, { "dropping-particle" : "", "family" : "Elston", "given" : "J", "non-dropping-particle" : "", "parse-names" : false, "suffix" : "" }, { "dropping-particle" : "", "family" : "Garside", "given" : "R", "non-dropping-particle" : "", "parse-names" : false, "suffix" : "" }, { "dropping-particle" : "", "family" : "Roome", "given" : "C", "non-dropping-particle" : "", "parse-names" : false, "suffix" : "" }, { "dropping-particle" : "", "family" : "Taylor", "given" : "R", "non-dropping-particle" : "", "parse-names" : false, "suffix" : "" }, { "dropping-particle" : "", "family" : "Younger", "given" : "P", "non-dropping-particle" : "", "parse-names" : false, "suffix" : "" }, { "dropping-particle" : "", "family" : "Zawada", "given" : "A", "non-dropping-particle" : "", "parse-names" : false, "suffix" : "" }, { "dropping-particle" : "", "family" : "Somerville", "given" : "M", "non-dropping-particle" : "", "parse-names" : false, "suffix" : "" }, { "dropping-particle" : "", "family" : "Primary", "given" : "Devon", "non-dropping-particle" : "", "parse-names" : false, "suffix" : "" }, { "dropping-particle" : "", "family" : "Trust", "given" : "Care", "non-dropping-particle" : "", "parse-names" : false, "suffix" : "" } ], "container-title" : "Health Technology Assessment", "id" : "ITEM-1", "issue" : "6", "issued" : { "date-parts" : [ [ "2009" ] ] }, "title" : "The harmful health effects of recreational ecstasy The harmful health effects of recreational ecstasy : a systematic review of observational evidence", "type" : "report", "volume" : "13" }, "uris" : [ "http://www.mendeley.com/documents/?uuid=8d3196be-042a-4219-9fd4-f1f7683525f4" ] } ], "mendeley" : { "formattedCitation" : "(Rogers et al. 2009)", "plainTextFormattedCitation" : "(Rogers et al. 2009)", "previouslyFormattedCitation" : "(Rogers et al. 2009)" }, "properties" : { "noteIndex" : 0 }, "schema" : "https://github.com/citation-style-language/schema/raw/master/csl-citation.json" }</w:instrText>
      </w:r>
      <w:r w:rsidRPr="005F12F1">
        <w:fldChar w:fldCharType="separate"/>
      </w:r>
      <w:r w:rsidRPr="005F12F1">
        <w:rPr>
          <w:noProof/>
        </w:rPr>
        <w:t>(Rogers et al. 2009)</w:t>
      </w:r>
      <w:r w:rsidRPr="005F12F1">
        <w:fldChar w:fldCharType="end"/>
      </w:r>
      <w:r w:rsidRPr="005F12F1">
        <w:t xml:space="preserve">. As such, despite the potential for ecstasy-related depression to be included within the modelling approach, based on the sum of available evidence and variability in results, this outcome was not included. </w:t>
      </w:r>
    </w:p>
    <w:p w14:paraId="78986F4C" w14:textId="77777777" w:rsidR="00440A0B" w:rsidRPr="005F12F1" w:rsidRDefault="00440A0B"/>
    <w:p w14:paraId="0AF29E8A" w14:textId="77777777" w:rsidR="00440A0B" w:rsidRPr="007A52E5" w:rsidRDefault="00440A0B">
      <w:pPr>
        <w:pStyle w:val="Heading6"/>
        <w:rPr>
          <w:szCs w:val="20"/>
        </w:rPr>
      </w:pPr>
      <w:r w:rsidRPr="007A52E5">
        <w:t>Acute psychological effects of ecstasy (memory &amp; cognition)</w:t>
      </w:r>
    </w:p>
    <w:p w14:paraId="18B8C537" w14:textId="77777777" w:rsidR="00440A0B" w:rsidRPr="005F12F1" w:rsidRDefault="00440A0B"/>
    <w:p w14:paraId="0372817C" w14:textId="77777777" w:rsidR="00440A0B" w:rsidRPr="005F12F1" w:rsidRDefault="00440A0B">
      <w:r w:rsidRPr="005F12F1">
        <w:t xml:space="preserve">Evidence from self-reporting studies demonstrates that memory problems have been attributed to ‘ecstasy’ use in mainly ‘moderate’ and ‘heavy’ users </w:t>
      </w:r>
      <w:r w:rsidRPr="005F12F1">
        <w:fldChar w:fldCharType="begin" w:fldLock="1"/>
      </w:r>
      <w:r w:rsidRPr="005F12F1">
        <w:instrText>ADDIN CSL_CITATION { "citationItems" : [ { "id" : "ITEM-1", "itemData" : { "DOI" : "10.1002/hup.415", "ISBN" : "1099-1077", "ISSN" : "08856222", "PMID" : "12404677", "abstract" : "RATIONALE: The recreational use of MDMA/Ecstasy (3,4-methylenedioxymethamphetamine) is associated with many psychobiological problems, but there is a paucity of data on how these relate to the level of past use. OBJECTIVES: to assess the incidence of Ecstasy-attributed problems as reported by novice, moderate and heavy users. METHODS: 763 unpaid volunteers took part in a WWW study of recreational drug use. This report is based on the 282 Ecstasy users from that sample, who comprised 109 novice users (1-9 occasions), 136 moderate users (10-99 occasions), and 36 heavy users (+100 occasions). Yes/no responses were automatically recorded to a series of questions covering psychobiological problems experienced when drug-free, which were attributed by the respondents to their Ecstasy use. RESULTS: Depression, memory problems, anxiety, mood fluctuation, poor concentration, infections, tremors/twitches and weight loss, were all significantly associated with the extent of Ecstasy use. Thus memory problems attributed to Ecstasy were reported by 19% of novice users, 52% of heavy users and 73% of heavy users (chi-square 42.74, df=2, p&lt;0.001); many of the other variables showed similar trends. CONCLUSIONS: The incidence of problems attributed to Ecstasy use, is directly related to the number of occasions it has been used.", "author" : [ { "dropping-particle" : "", "family" : "Parrott", "given" : "A. C.", "non-dropping-particle" : "", "parse-names" : false, "suffix" : "" }, { "dropping-particle" : "", "family" : "Buchanan", "given" : "T.", "non-dropping-particle" : "", "parse-names" : false, "suffix" : "" }, { "dropping-particle" : "", "family" : "Scholey", "given" : "A. B.", "non-dropping-particle" : "", "parse-names" : false, "suffix" : "" }, { "dropping-particle" : "", "family" : "Heffernan", "given" : "T.", "non-dropping-particle" : "", "parse-names" : false, "suffix" : "" }, { "dropping-particle" : "", "family" : "Ling", "given" : "J.", "non-dropping-particle" : "", "parse-names" : false, "suffix" : "" }, { "dropping-particle" : "", "family" : "Rodgers", "given" : "J.", "non-dropping-particle" : "", "parse-names" : false, "suffix" : "" } ], "container-title" : "Human Psychopharmacology", "id" : "ITEM-1", "issue" : "6", "issued" : { "date-parts" : [ [ "2002" ] ] }, "page" : "309-312", "title" : "Ecstacy/MDMA attributed problems reported by novice, moderate and heavy recretional users", "type" : "article-journal", "volume" : "17" }, "uris" : [ "http://www.mendeley.com/documents/?uuid=929a9e9d-4a91-4e3b-91e3-15ccd4aeebe6" ] } ], "mendeley" : { "formattedCitation" : "(Parrott et al. 2002)", "plainTextFormattedCitation" : "(Parrott et al. 2002)", "previouslyFormattedCitation" : "(Parrott et al. 2002)" }, "properties" : { "noteIndex" : 0 }, "schema" : "https://github.com/citation-style-language/schema/raw/master/csl-citation.json" }</w:instrText>
      </w:r>
      <w:r w:rsidRPr="005F12F1">
        <w:fldChar w:fldCharType="separate"/>
      </w:r>
      <w:r w:rsidRPr="005F12F1">
        <w:rPr>
          <w:noProof/>
        </w:rPr>
        <w:t>(Parrott et al. 2002)</w:t>
      </w:r>
      <w:r w:rsidRPr="005F12F1">
        <w:fldChar w:fldCharType="end"/>
      </w:r>
      <w:r w:rsidRPr="005F12F1">
        <w:t xml:space="preserve">. However, the degree of self-reported psychobiological problems following MDMA use is to an extent determined by the more extreme the physical exertion of the user, with more exertion leading to more reported problems </w:t>
      </w:r>
      <w:r w:rsidRPr="005F12F1">
        <w:fldChar w:fldCharType="begin" w:fldLock="1"/>
      </w:r>
      <w:r w:rsidRPr="005F12F1">
        <w:instrText>ADDIN CSL_CITATION { "citationItems" : [ { "id" : "ITEM-1", "itemData" : { "DOI" : "10.1002/hup.773", "ISBN" : "0885-6222", "ISSN" : "08856222", "PMID" : "16856221", "abstract" : "BACKGROUND: Non-drug factors such as ambient temperature can heighten the adverse effects of MDMA (3,4-methylendioxymethamphetamine) in animals. We assessed whether dancing and feeling hot on Ecstasy would be associated with more psychobiological problems in recreational users.\\n\\nMETHODS: In an internet study, 206 unpaid participants (modal age 16-24) reported that they had used recreational Ecstasy/MDMA. They completed a drug use questionnaire, the Prospective Memory Questionnaire (PMQ), questions about dancing and feeling hot when on Ecstasy, and psychobiological problems afterwards.\\n\\nRESULTS: Those who danced 'all the time' when on Ecstasy, reported significantly more PMQ memory problems than the less intensive dancers. Prolonged dancing was also associated with more complaints of depression, memory problems, concentration and organizational difficulties afterwards. Feeling hot when on Ecstasy was associated with poor concentration in the comedown period, and with mood fluctuation and impulsivity off-drug. PMQ long-term problems demonstrated a significant curvilinear relationship with thermal self-ratings; more memory problems were noted by those who felt very hot, and by those who did not feel hot when on Ecstasy.\\n\\nCONCLUSIONS: Non-drug factors such as dancing and feeling hot are associated with the incidence of psychobiological problems reported by recreational Ecstasy/MDMA users.", "author" : [ { "dropping-particle" : "", "family" : "Parrott", "given" : "A. C.", "non-dropping-particle" : "", "parse-names" : false, "suffix" : "" }, { "dropping-particle" : "", "family" : "Rodgers", "given" : "J.", "non-dropping-particle" : "", "parse-names" : false, "suffix" : "" }, { "dropping-particle" : "", "family" : "Buchanan", "given" : "T.", "non-dropping-particle" : "", "parse-names" : false, "suffix" : "" }, { "dropping-particle" : "", "family" : "Ling", "given" : "J.", "non-dropping-particle" : "", "parse-names" : false, "suffix" : "" }, { "dropping-particle" : "", "family" : "Heffernan", "given" : "T.", "non-dropping-particle" : "", "parse-names" : false, "suffix" : "" }, { "dropping-particle" : "", "family" : "Scholey", "given" : "A. B.", "non-dropping-particle" : "", "parse-names" : false, "suffix" : "" } ], "container-title" : "Human Psychopharmacology", "id" : "ITEM-1", "issue" : "5", "issued" : { "date-parts" : [ [ "2006" ] ] }, "page" : "285-298", "title" : "Dancing hot on Ecstasy: Physical activity and thermal comfort ratings are associated with the memory and other psychobiological problems reported by recreational MDMA users", "type" : "article-journal", "volume" : "21" }, "uris" : [ "http://www.mendeley.com/documents/?uuid=28b9b2cd-d26c-45bb-9ae0-1afcc5498ba8" ] } ], "mendeley" : { "formattedCitation" : "(Parrott et al. 2006)", "plainTextFormattedCitation" : "(Parrott et al. 2006)", "previouslyFormattedCitation" : "(Parrott et al. 2006)" }, "properties" : { "noteIndex" : 0 }, "schema" : "https://github.com/citation-style-language/schema/raw/master/csl-citation.json" }</w:instrText>
      </w:r>
      <w:r w:rsidRPr="005F12F1">
        <w:fldChar w:fldCharType="separate"/>
      </w:r>
      <w:r w:rsidRPr="005F12F1">
        <w:rPr>
          <w:noProof/>
        </w:rPr>
        <w:t>(Parrott et al. 2006)</w:t>
      </w:r>
      <w:r w:rsidRPr="005F12F1">
        <w:fldChar w:fldCharType="end"/>
      </w:r>
      <w:r w:rsidRPr="005F12F1">
        <w:t xml:space="preserve">. </w:t>
      </w:r>
      <w:r w:rsidRPr="005F12F1">
        <w:lastRenderedPageBreak/>
        <w:t>As such, novice’ or short-term users (in terms of lifetime usage) generally remain unimpaired regarding memory or other psychobiological problems which are attributed to ‘ecstasy’</w:t>
      </w:r>
      <w:r w:rsidRPr="005F12F1">
        <w:fldChar w:fldCharType="begin" w:fldLock="1"/>
      </w:r>
      <w:r w:rsidRPr="005F12F1">
        <w:instrText>ADDIN CSL_CITATION { "citationItems" : [ { "id" : "ITEM-1", "itemData" : { "DOI" : "10.1177/0269881106063268", "ISBN" : "0269-8811 (Print)", "ISSN" : "0269-8811", "PMID" : "16510474", "abstract" : "Many recreational ecstasy/MDMA users display neuropsychobiological deficits, whereas others remain problem free. This review will investigate some of the drug and non-drug factors which influence the occurrence of these deficits. Acute and chronic MDMA usage are both important. Intensive use within a session is often associated with more problems. In term of lifetime usage, novice users generally remain unimpaired, whereas most heavy users report memory or other psychobiological problems which they attribute to ecstasy. These complaints are confirmed by objective deficits in working memory, attention, frontal-executive, and episodic memory tasks. Psychobiological deficits include disturbed sleep, sexual dysfunction, reduced immuno-competence, and increased oxidative stress. Further MDMA-related factors which may contribute to these changes, include acute and chronic tolerance, and drug dependence. Around 90\u00f195% of ecstasy/MDMA users also take cannabis, and this can independently contribute to the adverse neuropsychobiological pro.les; although in some situations the acute co-use of these two drugs may be interactive rather than additive, since cannabis has relaxant and hypothermic properties. Alcohol, nicotine, amphetamine, and other drugs, can also affect the psychobiological pro.les of ecstasy polydrug users in complex ways. Pure MDMA users are rare but they have been shown to display significant neurocognitive deficits. Psychiatric aspects are debated in the context of the diathesis-stress model. Here the stressor of ecstasy polydrug drug use, interacts with various predisposition factors (genetic, neurochemical, personality), to determine the psychiatric outcome. Recreational MDMA is typically taken in hot and crowded dances/raves. Prolonged dancing, feeling hot, and raised body temperature, can also be associated with more psychobiological problems. This is consistent with the animal literature, where high ambient temperature and other metabolic stimulants boost the acute effects of MDMA, and cause greater serotonergic neurotoxicity. In conclusion, the neuropsychobiological effects of MDMA are modulated by a wide range of drug and non-drug factors. These multiple influences are integrated within a bioenergetic stress model, where factors which heighten acute metabolic distress lead to more neuropsychobiological problems.", "author" : [ { "dropping-particle" : "", "family" : "Milani", "given" : "RM.", "non-dropping-particle" : "", "parse-names" : false, "suffix" : "" }, { "dropping-particle" : "", "family" : "Parrott", "given" : "AC.", "non-dropping-particle" : "", "parse-names" : false, "suffix" : "" }, { "dropping-particle" : "", "family" : "Schifano", "given" : "F.", "non-dropping-particle" : "", "parse-names" : false, "suffix" : "" }, { "dropping-particle" : "", "family" : "Turner", "given" : "JJ.", "non-dropping-particle" : "", "parse-names" : false, "suffix" : "" } ], "container-title" : "Journal of psychopharmacology (Oxford, England)", "id" : "ITEM-1", "issue" : "2", "issued" : { "date-parts" : [ [ "2006" ] ] }, "page" : "147-163", "title" : "MDMA in humans: factors which affect the neuropsychobiological profiles of recreational ecstasy users, the integrative role of bioenergetic stress.", "type" : "article-journal", "volume" : "20" }, "uris" : [ "http://www.mendeley.com/documents/?uuid=8febe7d9-b192-4614-bc1e-4e2b0dab3adf" ] } ], "mendeley" : { "formattedCitation" : "(Milani et al. 2006)", "plainTextFormattedCitation" : "(Milani et al. 2006)", "previouslyFormattedCitation" : "(Milani et al. 2006)" }, "properties" : { "noteIndex" : 0 }, "schema" : "https://github.com/citation-style-language/schema/raw/master/csl-citation.json" }</w:instrText>
      </w:r>
      <w:r w:rsidRPr="005F12F1">
        <w:fldChar w:fldCharType="separate"/>
      </w:r>
      <w:r w:rsidRPr="005F12F1">
        <w:rPr>
          <w:noProof/>
        </w:rPr>
        <w:t>(Milani et al. 2006)</w:t>
      </w:r>
      <w:r w:rsidRPr="005F12F1">
        <w:fldChar w:fldCharType="end"/>
      </w:r>
      <w:r w:rsidRPr="005F12F1">
        <w:t>.</w:t>
      </w:r>
    </w:p>
    <w:p w14:paraId="5ADE35DB" w14:textId="77777777" w:rsidR="00440A0B" w:rsidRPr="005F12F1" w:rsidRDefault="00440A0B"/>
    <w:p w14:paraId="19C4FB29" w14:textId="77777777" w:rsidR="00440A0B" w:rsidRPr="005F12F1" w:rsidRDefault="00440A0B">
      <w:r w:rsidRPr="005F12F1">
        <w:t xml:space="preserve">Despite the consistency within the literature </w:t>
      </w:r>
      <w:r>
        <w:t>for</w:t>
      </w:r>
      <w:r w:rsidRPr="005F12F1">
        <w:t xml:space="preserve"> short term cognitive effects of ecstasy consumption, with no obvious means of monetising such effects, this information was considered of limited use, and as such, was excluded from the model.</w:t>
      </w:r>
    </w:p>
    <w:p w14:paraId="34E41D40" w14:textId="77777777" w:rsidR="00440A0B" w:rsidRPr="005F12F1" w:rsidRDefault="00440A0B"/>
    <w:p w14:paraId="2E42F36C" w14:textId="77777777" w:rsidR="00440A0B" w:rsidRPr="005F12F1" w:rsidRDefault="00440A0B">
      <w:r w:rsidRPr="005F12F1">
        <w:t>It is possible that if these additional outcomes were included, in addition to ecstasy ‘poly-drug’ deaths and ‘poly-drug’ hospital admissions, the results of the model may be affected</w:t>
      </w:r>
      <w:r>
        <w:t>.</w:t>
      </w:r>
    </w:p>
    <w:p w14:paraId="6F6B080A" w14:textId="77777777" w:rsidR="00440A0B" w:rsidRDefault="00440A0B"/>
    <w:p w14:paraId="0575D723" w14:textId="21CD0E9F" w:rsidR="0017770B" w:rsidRPr="0010783E" w:rsidRDefault="00B82C88" w:rsidP="00CC7EC2">
      <w:pPr>
        <w:pStyle w:val="Heading3"/>
      </w:pPr>
      <w:bookmarkStart w:id="48" w:name="_Toc452035644"/>
      <w:r>
        <w:t xml:space="preserve">5.2.1 </w:t>
      </w:r>
      <w:r w:rsidR="00BE6EE1">
        <w:t xml:space="preserve">Model of </w:t>
      </w:r>
      <w:r w:rsidR="00F82766">
        <w:t>B</w:t>
      </w:r>
      <w:r w:rsidR="0017770B" w:rsidRPr="0010783E">
        <w:t xml:space="preserve">rief </w:t>
      </w:r>
      <w:r w:rsidR="00F82766">
        <w:t>I</w:t>
      </w:r>
      <w:r w:rsidR="00F82766" w:rsidRPr="0010783E">
        <w:t xml:space="preserve">ntervention </w:t>
      </w:r>
      <w:r w:rsidR="0017770B" w:rsidRPr="0010783E">
        <w:t>for reducing ecstasy consumption amongst those attending nightclubs</w:t>
      </w:r>
      <w:r w:rsidR="00BE6EE1">
        <w:t xml:space="preserve"> based on Martin et al. (2010)</w:t>
      </w:r>
      <w:bookmarkEnd w:id="48"/>
    </w:p>
    <w:p w14:paraId="14CB11C4" w14:textId="77777777" w:rsidR="0017770B" w:rsidRPr="0017770B" w:rsidRDefault="0017770B" w:rsidP="00AD2788"/>
    <w:p w14:paraId="6C62B819" w14:textId="5F159C30" w:rsidR="001521A5" w:rsidRDefault="00440A0B" w:rsidP="003D56F0">
      <w:pPr>
        <w:pStyle w:val="Heading6"/>
      </w:pPr>
      <w:r>
        <w:t>Study</w:t>
      </w:r>
    </w:p>
    <w:p w14:paraId="0328B729" w14:textId="77777777" w:rsidR="00440A0B" w:rsidRPr="00440A0B" w:rsidRDefault="00440A0B"/>
    <w:p w14:paraId="5ABB8C1F" w14:textId="2AC9AF97" w:rsidR="008136FA" w:rsidRPr="0017770B" w:rsidRDefault="008136FA">
      <w:r w:rsidRPr="0017770B">
        <w:t>In a randomized controlled trial conducted in Sydney, Australia, 50 adult ecstasy users were assigned to either a single session brief intervention</w:t>
      </w:r>
      <w:r w:rsidR="00440A0B">
        <w:t xml:space="preserve"> (motivational interviewing)</w:t>
      </w:r>
      <w:r w:rsidRPr="0017770B">
        <w:t xml:space="preserve"> or an assessment-only 3-month delayed treatment control condition. Primary outcome measures were days of ecstasy use and number of DSM-IV dependence symptoms reported, with secondary outcome measures including abstinence and the total number of pills consumed at both baseline and 90 days post intervention. </w:t>
      </w:r>
    </w:p>
    <w:p w14:paraId="67FB68CF" w14:textId="77777777" w:rsidR="008136FA" w:rsidRPr="0017770B" w:rsidRDefault="008136FA"/>
    <w:p w14:paraId="32F0CE74" w14:textId="1A868C67" w:rsidR="008136FA" w:rsidRDefault="001521A5">
      <w:r>
        <w:t>At</w:t>
      </w:r>
      <w:r w:rsidR="008136FA" w:rsidRPr="0017770B">
        <w:t xml:space="preserve"> 3-month follow-up, significant differences were observed in favour of the intervention group, particularly </w:t>
      </w:r>
      <w:r>
        <w:t>for</w:t>
      </w:r>
      <w:r w:rsidR="008136FA" w:rsidRPr="0017770B">
        <w:t xml:space="preserve"> measures of DSM-IV dependence symptoms reported, and Severity of Dependence Scale score. Numerically, but not statistically significant differences were detected </w:t>
      </w:r>
      <w:r>
        <w:t>for</w:t>
      </w:r>
      <w:r w:rsidR="008136FA" w:rsidRPr="0017770B">
        <w:t xml:space="preserve"> quantity and frequency of use, with abstinence rates </w:t>
      </w:r>
      <w:r>
        <w:t xml:space="preserve">for intervention and control </w:t>
      </w:r>
      <w:r w:rsidR="008136FA" w:rsidRPr="0017770B">
        <w:t xml:space="preserve">16% </w:t>
      </w:r>
      <w:r>
        <w:t>and</w:t>
      </w:r>
      <w:r w:rsidR="008136FA" w:rsidRPr="0017770B">
        <w:t xml:space="preserve"> 4%</w:t>
      </w:r>
      <w:r>
        <w:t xml:space="preserve"> respectively</w:t>
      </w:r>
      <w:r w:rsidR="008136FA" w:rsidRPr="0017770B">
        <w:t>, and overall consumption of ecstasy reducing by 32.6% in the intervention group.</w:t>
      </w:r>
    </w:p>
    <w:p w14:paraId="50C463E6" w14:textId="77777777" w:rsidR="003D6648" w:rsidRDefault="003D6648"/>
    <w:p w14:paraId="42F9E346" w14:textId="385DC2B3" w:rsidR="00AB3D8A" w:rsidRDefault="000505C6" w:rsidP="003D56F0">
      <w:pPr>
        <w:pStyle w:val="Heading6"/>
      </w:pPr>
      <w:r>
        <w:t>Population</w:t>
      </w:r>
    </w:p>
    <w:p w14:paraId="6FD77984" w14:textId="77777777" w:rsidR="000505C6" w:rsidRDefault="000505C6"/>
    <w:p w14:paraId="515E7585" w14:textId="217589FC" w:rsidR="000505C6" w:rsidRDefault="000505C6">
      <w:r>
        <w:t xml:space="preserve">The model considers the 16-24 year old population and 25-59 year old populations separately, and as a whole. (See section </w:t>
      </w:r>
      <w:r>
        <w:fldChar w:fldCharType="begin"/>
      </w:r>
      <w:r>
        <w:instrText xml:space="preserve"> REF _Ref451419747 \h </w:instrText>
      </w:r>
      <w:r>
        <w:fldChar w:fldCharType="separate"/>
      </w:r>
      <w:r w:rsidR="0087365D">
        <w:t>Assumptions</w:t>
      </w:r>
      <w:r>
        <w:fldChar w:fldCharType="end"/>
      </w:r>
      <w:r>
        <w:t xml:space="preserve"> for detail).</w:t>
      </w:r>
    </w:p>
    <w:p w14:paraId="3DAD1C81" w14:textId="77777777" w:rsidR="000505C6" w:rsidRPr="000505C6" w:rsidRDefault="000505C6"/>
    <w:p w14:paraId="673DA836" w14:textId="77777777" w:rsidR="008136FA" w:rsidRPr="0017770B" w:rsidRDefault="008136FA">
      <w:pPr>
        <w:pStyle w:val="Heading6"/>
      </w:pPr>
      <w:r w:rsidRPr="0017770B">
        <w:t>Decision tree</w:t>
      </w:r>
    </w:p>
    <w:p w14:paraId="436B1973" w14:textId="77777777" w:rsidR="008136FA" w:rsidRPr="0017770B" w:rsidRDefault="008136FA"/>
    <w:p w14:paraId="61F45FEE" w14:textId="56B58304" w:rsidR="00FB10D3" w:rsidRDefault="00FB10D3">
      <w:r>
        <w:t>The decision tree (</w:t>
      </w:r>
      <w:r w:rsidR="003D6648">
        <w:fldChar w:fldCharType="begin"/>
      </w:r>
      <w:r w:rsidR="003D6648">
        <w:instrText xml:space="preserve"> REF _Ref452625376 \h </w:instrText>
      </w:r>
      <w:r w:rsidR="003D6648">
        <w:fldChar w:fldCharType="separate"/>
      </w:r>
      <w:r w:rsidR="003D6648">
        <w:t xml:space="preserve">Figure </w:t>
      </w:r>
      <w:r w:rsidR="003D6648">
        <w:rPr>
          <w:noProof/>
        </w:rPr>
        <w:t>12</w:t>
      </w:r>
      <w:r w:rsidR="003D6648">
        <w:fldChar w:fldCharType="end"/>
      </w:r>
      <w:r>
        <w:t>) compares intervention to control.</w:t>
      </w:r>
      <w:r w:rsidR="008136FA" w:rsidRPr="0017770B">
        <w:t xml:space="preserve"> Those in the intervention arm experience</w:t>
      </w:r>
      <w:r w:rsidR="008136FA">
        <w:t>d</w:t>
      </w:r>
      <w:r w:rsidR="008136FA" w:rsidRPr="0017770B">
        <w:t xml:space="preserve"> a reduction</w:t>
      </w:r>
      <w:r w:rsidR="008136FA">
        <w:t xml:space="preserve"> </w:t>
      </w:r>
      <w:r w:rsidR="008136FA" w:rsidRPr="0017770B">
        <w:t>of 32.6% in the number of ecstasy pills consumed compared to the comparator</w:t>
      </w:r>
      <w:r>
        <w:t xml:space="preserve"> </w:t>
      </w:r>
      <w:r w:rsidR="008136FA" w:rsidRPr="0017770B">
        <w:t xml:space="preserve">arm. </w:t>
      </w:r>
      <w:r>
        <w:t xml:space="preserve">Reduction in ecstasy use for the </w:t>
      </w:r>
      <w:r>
        <w:lastRenderedPageBreak/>
        <w:t>intervention arm peaks at 90 days (32.6%). Between day 0 and day 90, ecstasy use for the intervention arm decreases linearly.</w:t>
      </w:r>
    </w:p>
    <w:p w14:paraId="26BF2E41" w14:textId="77777777" w:rsidR="00440A0B" w:rsidRDefault="00440A0B"/>
    <w:p w14:paraId="2CAF10C4" w14:textId="77777777" w:rsidR="00440A0B" w:rsidRDefault="00440A0B">
      <w:r>
        <w:t xml:space="preserve">The base case model has a one year time horizon. </w:t>
      </w:r>
      <w:r w:rsidRPr="0017770B">
        <w:t>Beyond day 90 days, the probability of ecstasy consumption increases linearly back to pre-intervention levels up to a period of 12</w:t>
      </w:r>
      <w:r>
        <w:t xml:space="preserve"> </w:t>
      </w:r>
      <w:r w:rsidRPr="0017770B">
        <w:t xml:space="preserve">months, 9 months post intervention, at which point both groups </w:t>
      </w:r>
      <w:r>
        <w:t xml:space="preserve">consume the same amount of ecstasy. Discounting was not considered. </w:t>
      </w:r>
    </w:p>
    <w:p w14:paraId="53230359" w14:textId="77777777" w:rsidR="00440A0B" w:rsidRDefault="00440A0B"/>
    <w:p w14:paraId="335155D2" w14:textId="77777777" w:rsidR="00440A0B" w:rsidRDefault="00440A0B">
      <w:r w:rsidRPr="0017770B">
        <w:t>In the scenario the sustainability of the intervention is doubled</w:t>
      </w:r>
      <w:r>
        <w:t xml:space="preserve"> - </w:t>
      </w:r>
      <w:r w:rsidRPr="0017770B">
        <w:t xml:space="preserve">the return to pre-intervention consumption takes twice as long, becoming </w:t>
      </w:r>
      <w:r>
        <w:t>equal</w:t>
      </w:r>
      <w:r w:rsidRPr="0017770B">
        <w:t xml:space="preserve"> in both groups at month 24 (week 104). </w:t>
      </w:r>
      <w:r>
        <w:t>T</w:t>
      </w:r>
      <w:r w:rsidRPr="0017770B">
        <w:t xml:space="preserve">he NICE recommended </w:t>
      </w:r>
      <w:r>
        <w:t xml:space="preserve">discount </w:t>
      </w:r>
      <w:r w:rsidRPr="0017770B">
        <w:t>rate of 3.5% for both costs and outcomes was applied.</w:t>
      </w:r>
    </w:p>
    <w:p w14:paraId="733AA360" w14:textId="77777777" w:rsidR="00440A0B" w:rsidRDefault="00440A0B"/>
    <w:p w14:paraId="6E9B53E5" w14:textId="01698710" w:rsidR="00EC2D1F" w:rsidRDefault="00EC2D1F">
      <w:pPr>
        <w:pStyle w:val="Caption"/>
      </w:pPr>
      <w:bookmarkStart w:id="49" w:name="_Ref452625376"/>
      <w:r>
        <w:t xml:space="preserve">Figure </w:t>
      </w:r>
      <w:fldSimple w:instr=" SEQ Figure \* ARABIC ">
        <w:r w:rsidR="0087365D">
          <w:rPr>
            <w:noProof/>
          </w:rPr>
          <w:t>12</w:t>
        </w:r>
      </w:fldSimple>
      <w:bookmarkEnd w:id="49"/>
      <w:r>
        <w:t>. Decision tree for model based on Martin et al. (2010) study.</w:t>
      </w:r>
    </w:p>
    <w:p w14:paraId="57EE680F" w14:textId="77777777" w:rsidR="00EC2D1F" w:rsidRPr="0017770B" w:rsidRDefault="00EC2D1F">
      <w:r w:rsidRPr="0017770B">
        <w:rPr>
          <w:noProof/>
        </w:rPr>
        <w:drawing>
          <wp:inline distT="0" distB="0" distL="0" distR="0" wp14:anchorId="701AE8A1" wp14:editId="535B58E1">
            <wp:extent cx="3749040" cy="30175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49040" cy="3017520"/>
                    </a:xfrm>
                    <a:prstGeom prst="rect">
                      <a:avLst/>
                    </a:prstGeom>
                    <a:noFill/>
                    <a:ln>
                      <a:noFill/>
                    </a:ln>
                  </pic:spPr>
                </pic:pic>
              </a:graphicData>
            </a:graphic>
          </wp:inline>
        </w:drawing>
      </w:r>
    </w:p>
    <w:p w14:paraId="4A6BF721" w14:textId="77777777" w:rsidR="00EC2D1F" w:rsidRDefault="00EC2D1F"/>
    <w:p w14:paraId="55FA8ECD" w14:textId="77777777" w:rsidR="008136FA" w:rsidRDefault="008136FA" w:rsidP="003D56F0">
      <w:pPr>
        <w:pStyle w:val="Heading6"/>
      </w:pPr>
    </w:p>
    <w:p w14:paraId="79342F34" w14:textId="094C674D" w:rsidR="00F76BBC" w:rsidRDefault="00F76BBC" w:rsidP="003D56F0">
      <w:pPr>
        <w:pStyle w:val="Heading6"/>
      </w:pPr>
      <w:r>
        <w:t>Results</w:t>
      </w:r>
    </w:p>
    <w:p w14:paraId="05076F7B" w14:textId="77777777" w:rsidR="00F76BBC" w:rsidRPr="00F76BBC" w:rsidRDefault="00F76BBC"/>
    <w:p w14:paraId="66C91423" w14:textId="1BE05F7D" w:rsidR="00D00623" w:rsidRDefault="00F76BBC">
      <w:r>
        <w:t xml:space="preserve">Disaggregated </w:t>
      </w:r>
      <w:r w:rsidR="00440A0B">
        <w:t xml:space="preserve">base case </w:t>
      </w:r>
      <w:r>
        <w:t xml:space="preserve">results are shown for the 16-24 year old population in </w:t>
      </w:r>
      <w:r>
        <w:fldChar w:fldCharType="begin"/>
      </w:r>
      <w:r>
        <w:instrText xml:space="preserve"> REF _Ref451257333 \h </w:instrText>
      </w:r>
      <w:r w:rsidR="00940B3D">
        <w:instrText xml:space="preserve"> \* MERGEFORMAT </w:instrText>
      </w:r>
      <w:r>
        <w:fldChar w:fldCharType="separate"/>
      </w:r>
      <w:r w:rsidR="0087365D">
        <w:t xml:space="preserve">Table </w:t>
      </w:r>
      <w:r w:rsidR="0087365D">
        <w:rPr>
          <w:noProof/>
        </w:rPr>
        <w:t>6</w:t>
      </w:r>
      <w:r>
        <w:fldChar w:fldCharType="end"/>
      </w:r>
      <w:r>
        <w:t xml:space="preserve">, for the 25-59 year old population in </w:t>
      </w:r>
      <w:r>
        <w:fldChar w:fldCharType="begin"/>
      </w:r>
      <w:r>
        <w:instrText xml:space="preserve"> REF _Ref451257347 \h </w:instrText>
      </w:r>
      <w:r w:rsidR="00940B3D">
        <w:instrText xml:space="preserve"> \* MERGEFORMAT </w:instrText>
      </w:r>
      <w:r>
        <w:fldChar w:fldCharType="separate"/>
      </w:r>
      <w:r w:rsidR="0087365D">
        <w:t xml:space="preserve">able </w:t>
      </w:r>
      <w:r w:rsidR="0087365D">
        <w:rPr>
          <w:noProof/>
        </w:rPr>
        <w:t>7</w:t>
      </w:r>
      <w:r>
        <w:fldChar w:fldCharType="end"/>
      </w:r>
      <w:r>
        <w:t xml:space="preserve">, and for the16-59 year old population in </w:t>
      </w:r>
      <w:r>
        <w:fldChar w:fldCharType="begin"/>
      </w:r>
      <w:r>
        <w:instrText xml:space="preserve"> REF _Ref451257405 \h </w:instrText>
      </w:r>
      <w:r w:rsidR="00940B3D">
        <w:instrText xml:space="preserve"> \* MERGEFORMAT </w:instrText>
      </w:r>
      <w:r>
        <w:fldChar w:fldCharType="separate"/>
      </w:r>
      <w:r w:rsidR="0087365D">
        <w:t xml:space="preserve">Table </w:t>
      </w:r>
      <w:r w:rsidR="0087365D">
        <w:rPr>
          <w:noProof/>
        </w:rPr>
        <w:t>8</w:t>
      </w:r>
      <w:r>
        <w:fldChar w:fldCharType="end"/>
      </w:r>
      <w:r>
        <w:t>.</w:t>
      </w:r>
    </w:p>
    <w:p w14:paraId="084527B7" w14:textId="77777777" w:rsidR="008136FA" w:rsidRPr="005006EE" w:rsidRDefault="008136FA" w:rsidP="001C12B3">
      <w:pPr>
        <w:pStyle w:val="Caption"/>
      </w:pPr>
      <w:bookmarkStart w:id="50" w:name="_Ref451257333"/>
      <w:r>
        <w:lastRenderedPageBreak/>
        <w:t xml:space="preserve">Table </w:t>
      </w:r>
      <w:fldSimple w:instr=" SEQ Table \* ARABIC ">
        <w:r w:rsidR="00D00623">
          <w:rPr>
            <w:noProof/>
          </w:rPr>
          <w:t>6</w:t>
        </w:r>
      </w:fldSimple>
      <w:bookmarkEnd w:id="50"/>
      <w:r>
        <w:t xml:space="preserve">. </w:t>
      </w:r>
      <w:r w:rsidRPr="00A35AE1">
        <w:t>Model Results</w:t>
      </w:r>
      <w:r>
        <w:t xml:space="preserve"> – Ecstasy MI Intervention, 16-24 year olds</w:t>
      </w:r>
    </w:p>
    <w:tbl>
      <w:tblPr>
        <w:tblW w:w="5000" w:type="pct"/>
        <w:tblLayout w:type="fixed"/>
        <w:tblLook w:val="04A0" w:firstRow="1" w:lastRow="0" w:firstColumn="1" w:lastColumn="0" w:noHBand="0" w:noVBand="1"/>
      </w:tblPr>
      <w:tblGrid>
        <w:gridCol w:w="3630"/>
        <w:gridCol w:w="1769"/>
        <w:gridCol w:w="1797"/>
        <w:gridCol w:w="2046"/>
      </w:tblGrid>
      <w:tr w:rsidR="00D830A9" w:rsidRPr="00D830A9" w14:paraId="4E698F4E" w14:textId="77777777" w:rsidTr="003D56F0">
        <w:trPr>
          <w:trHeight w:val="375"/>
        </w:trPr>
        <w:tc>
          <w:tcPr>
            <w:tcW w:w="5000" w:type="pct"/>
            <w:gridSpan w:val="4"/>
            <w:tcBorders>
              <w:top w:val="single" w:sz="8" w:space="0" w:color="auto"/>
              <w:left w:val="single" w:sz="8" w:space="0" w:color="auto"/>
              <w:bottom w:val="nil"/>
              <w:right w:val="single" w:sz="8" w:space="0" w:color="000000"/>
            </w:tcBorders>
            <w:shd w:val="clear" w:color="auto" w:fill="auto"/>
            <w:noWrap/>
            <w:vAlign w:val="bottom"/>
            <w:hideMark/>
          </w:tcPr>
          <w:p w14:paraId="565678EA" w14:textId="77777777" w:rsidR="00D830A9" w:rsidRPr="00D830A9" w:rsidRDefault="00D830A9" w:rsidP="001C12B3">
            <w:pPr>
              <w:keepNext/>
            </w:pPr>
            <w:r w:rsidRPr="00D830A9">
              <w:t>16-24 year olds</w:t>
            </w:r>
          </w:p>
        </w:tc>
      </w:tr>
      <w:tr w:rsidR="00D830A9" w:rsidRPr="00D830A9" w14:paraId="7C603140" w14:textId="77777777" w:rsidTr="003D56F0">
        <w:trPr>
          <w:trHeight w:val="390"/>
        </w:trPr>
        <w:tc>
          <w:tcPr>
            <w:tcW w:w="1964" w:type="pct"/>
            <w:tcBorders>
              <w:top w:val="nil"/>
              <w:left w:val="single" w:sz="8" w:space="0" w:color="auto"/>
              <w:bottom w:val="single" w:sz="8" w:space="0" w:color="auto"/>
              <w:right w:val="single" w:sz="4" w:space="0" w:color="auto"/>
            </w:tcBorders>
            <w:shd w:val="clear" w:color="000000" w:fill="9BC2E6"/>
            <w:noWrap/>
            <w:vAlign w:val="bottom"/>
            <w:hideMark/>
          </w:tcPr>
          <w:p w14:paraId="42AB72FC" w14:textId="77777777" w:rsidR="00D830A9" w:rsidRPr="00D830A9" w:rsidRDefault="00D830A9" w:rsidP="001C12B3">
            <w:pPr>
              <w:keepNext/>
            </w:pPr>
            <w:r w:rsidRPr="00D830A9">
              <w:t> </w:t>
            </w:r>
          </w:p>
        </w:tc>
        <w:tc>
          <w:tcPr>
            <w:tcW w:w="957" w:type="pct"/>
            <w:tcBorders>
              <w:top w:val="nil"/>
              <w:left w:val="nil"/>
              <w:bottom w:val="single" w:sz="8" w:space="0" w:color="auto"/>
              <w:right w:val="single" w:sz="4" w:space="0" w:color="auto"/>
            </w:tcBorders>
            <w:shd w:val="clear" w:color="000000" w:fill="9BC2E6"/>
            <w:noWrap/>
            <w:vAlign w:val="bottom"/>
            <w:hideMark/>
          </w:tcPr>
          <w:p w14:paraId="46670A9C" w14:textId="6C818FDA" w:rsidR="00D830A9" w:rsidRPr="00D830A9" w:rsidRDefault="00F76BBC" w:rsidP="001C12B3">
            <w:pPr>
              <w:keepNext/>
            </w:pPr>
            <w:r>
              <w:t>Comparator</w:t>
            </w:r>
          </w:p>
        </w:tc>
        <w:tc>
          <w:tcPr>
            <w:tcW w:w="972" w:type="pct"/>
            <w:tcBorders>
              <w:top w:val="nil"/>
              <w:left w:val="nil"/>
              <w:bottom w:val="single" w:sz="8" w:space="0" w:color="auto"/>
              <w:right w:val="single" w:sz="4" w:space="0" w:color="auto"/>
            </w:tcBorders>
            <w:shd w:val="clear" w:color="000000" w:fill="9BC2E6"/>
            <w:noWrap/>
            <w:vAlign w:val="bottom"/>
            <w:hideMark/>
          </w:tcPr>
          <w:p w14:paraId="7A0ECD13" w14:textId="4B89BEFE" w:rsidR="00D830A9" w:rsidRPr="00D830A9" w:rsidRDefault="00F76BBC" w:rsidP="001C12B3">
            <w:pPr>
              <w:keepNext/>
            </w:pPr>
            <w:r>
              <w:t>Intervention</w:t>
            </w:r>
          </w:p>
        </w:tc>
        <w:tc>
          <w:tcPr>
            <w:tcW w:w="1107" w:type="pct"/>
            <w:tcBorders>
              <w:top w:val="nil"/>
              <w:left w:val="nil"/>
              <w:bottom w:val="single" w:sz="8" w:space="0" w:color="auto"/>
              <w:right w:val="single" w:sz="8" w:space="0" w:color="auto"/>
            </w:tcBorders>
            <w:shd w:val="clear" w:color="000000" w:fill="9BC2E6"/>
            <w:noWrap/>
            <w:vAlign w:val="bottom"/>
            <w:hideMark/>
          </w:tcPr>
          <w:p w14:paraId="24DE39E8" w14:textId="7E70E34C" w:rsidR="00D830A9" w:rsidRPr="00D830A9" w:rsidRDefault="00F76BBC" w:rsidP="001C12B3">
            <w:pPr>
              <w:keepNext/>
            </w:pPr>
            <w:r>
              <w:t>Incremental</w:t>
            </w:r>
          </w:p>
        </w:tc>
      </w:tr>
      <w:tr w:rsidR="00D830A9" w:rsidRPr="00D830A9" w14:paraId="4FB02B66" w14:textId="77777777" w:rsidTr="003D56F0">
        <w:trPr>
          <w:trHeight w:val="300"/>
        </w:trPr>
        <w:tc>
          <w:tcPr>
            <w:tcW w:w="1964" w:type="pct"/>
            <w:tcBorders>
              <w:top w:val="nil"/>
              <w:left w:val="single" w:sz="8" w:space="0" w:color="auto"/>
              <w:bottom w:val="nil"/>
              <w:right w:val="single" w:sz="4" w:space="0" w:color="auto"/>
            </w:tcBorders>
            <w:shd w:val="clear" w:color="000000" w:fill="DDEBF7"/>
            <w:noWrap/>
            <w:vAlign w:val="bottom"/>
            <w:hideMark/>
          </w:tcPr>
          <w:p w14:paraId="114E5864" w14:textId="77777777" w:rsidR="00D830A9" w:rsidRPr="00D830A9" w:rsidRDefault="00D830A9" w:rsidP="001C12B3">
            <w:pPr>
              <w:keepNext/>
            </w:pPr>
            <w:r w:rsidRPr="00D830A9">
              <w:t>Total annual costs (£'000s)</w:t>
            </w:r>
          </w:p>
        </w:tc>
        <w:tc>
          <w:tcPr>
            <w:tcW w:w="957" w:type="pct"/>
            <w:tcBorders>
              <w:top w:val="nil"/>
              <w:left w:val="nil"/>
              <w:bottom w:val="nil"/>
              <w:right w:val="single" w:sz="4" w:space="0" w:color="auto"/>
            </w:tcBorders>
            <w:shd w:val="clear" w:color="000000" w:fill="DDEBF7"/>
            <w:noWrap/>
            <w:vAlign w:val="bottom"/>
            <w:hideMark/>
          </w:tcPr>
          <w:p w14:paraId="05A1BCCA" w14:textId="77777777" w:rsidR="00D830A9" w:rsidRPr="00D830A9" w:rsidRDefault="00D830A9" w:rsidP="001C12B3">
            <w:pPr>
              <w:keepNext/>
            </w:pPr>
            <w:r w:rsidRPr="00D830A9">
              <w:t>£11,159</w:t>
            </w:r>
          </w:p>
        </w:tc>
        <w:tc>
          <w:tcPr>
            <w:tcW w:w="972" w:type="pct"/>
            <w:tcBorders>
              <w:top w:val="nil"/>
              <w:left w:val="nil"/>
              <w:bottom w:val="nil"/>
              <w:right w:val="single" w:sz="4" w:space="0" w:color="auto"/>
            </w:tcBorders>
            <w:shd w:val="clear" w:color="000000" w:fill="DDEBF7"/>
            <w:noWrap/>
            <w:vAlign w:val="bottom"/>
            <w:hideMark/>
          </w:tcPr>
          <w:p w14:paraId="28D4374C" w14:textId="77777777" w:rsidR="00D830A9" w:rsidRPr="00D830A9" w:rsidRDefault="00D830A9" w:rsidP="001C12B3">
            <w:pPr>
              <w:keepNext/>
              <w:rPr>
                <w:rFonts w:eastAsia="Times New Roman"/>
                <w:color w:val="000000"/>
              </w:rPr>
            </w:pPr>
            <w:r w:rsidRPr="00D830A9">
              <w:t>£36,185</w:t>
            </w:r>
          </w:p>
        </w:tc>
        <w:tc>
          <w:tcPr>
            <w:tcW w:w="1107" w:type="pct"/>
            <w:tcBorders>
              <w:top w:val="nil"/>
              <w:left w:val="nil"/>
              <w:bottom w:val="nil"/>
              <w:right w:val="single" w:sz="8" w:space="0" w:color="auto"/>
            </w:tcBorders>
            <w:shd w:val="clear" w:color="000000" w:fill="DDEBF7"/>
            <w:noWrap/>
            <w:vAlign w:val="bottom"/>
            <w:hideMark/>
          </w:tcPr>
          <w:p w14:paraId="705A3500" w14:textId="77777777" w:rsidR="00D830A9" w:rsidRPr="00D830A9" w:rsidRDefault="00D830A9" w:rsidP="001C12B3">
            <w:pPr>
              <w:keepNext/>
              <w:rPr>
                <w:rFonts w:eastAsia="Times New Roman"/>
                <w:color w:val="000000"/>
              </w:rPr>
            </w:pPr>
            <w:r w:rsidRPr="00D830A9">
              <w:t>£25,026</w:t>
            </w:r>
          </w:p>
        </w:tc>
      </w:tr>
      <w:tr w:rsidR="00D830A9" w:rsidRPr="00D830A9" w14:paraId="4C84745F"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347DBF33" w14:textId="77777777" w:rsidR="00D830A9" w:rsidRPr="00D830A9" w:rsidRDefault="00D830A9" w:rsidP="001C12B3">
            <w:pPr>
              <w:keepNext/>
            </w:pPr>
            <w:r w:rsidRPr="00D830A9">
              <w:t>Cost per Ecstasy user (£)</w:t>
            </w:r>
          </w:p>
        </w:tc>
        <w:tc>
          <w:tcPr>
            <w:tcW w:w="957" w:type="pct"/>
            <w:tcBorders>
              <w:top w:val="nil"/>
              <w:left w:val="nil"/>
              <w:bottom w:val="nil"/>
              <w:right w:val="single" w:sz="4" w:space="0" w:color="auto"/>
            </w:tcBorders>
            <w:shd w:val="clear" w:color="auto" w:fill="auto"/>
            <w:noWrap/>
            <w:vAlign w:val="bottom"/>
            <w:hideMark/>
          </w:tcPr>
          <w:p w14:paraId="571CC485" w14:textId="77777777" w:rsidR="00D830A9" w:rsidRPr="00D830A9" w:rsidRDefault="00D830A9" w:rsidP="001C12B3">
            <w:pPr>
              <w:keepNext/>
              <w:rPr>
                <w:rFonts w:eastAsia="Times New Roman"/>
              </w:rPr>
            </w:pPr>
            <w:r w:rsidRPr="00D830A9">
              <w:t>£28</w:t>
            </w:r>
          </w:p>
        </w:tc>
        <w:tc>
          <w:tcPr>
            <w:tcW w:w="972" w:type="pct"/>
            <w:tcBorders>
              <w:top w:val="nil"/>
              <w:left w:val="nil"/>
              <w:bottom w:val="nil"/>
              <w:right w:val="single" w:sz="4" w:space="0" w:color="auto"/>
            </w:tcBorders>
            <w:shd w:val="clear" w:color="auto" w:fill="auto"/>
            <w:noWrap/>
            <w:vAlign w:val="bottom"/>
            <w:hideMark/>
          </w:tcPr>
          <w:p w14:paraId="05ABF69D" w14:textId="77777777" w:rsidR="00D830A9" w:rsidRPr="00D830A9" w:rsidRDefault="00D830A9" w:rsidP="001C12B3">
            <w:pPr>
              <w:keepNext/>
              <w:rPr>
                <w:rFonts w:eastAsia="Times New Roman"/>
                <w:color w:val="000000"/>
              </w:rPr>
            </w:pPr>
            <w:r w:rsidRPr="00D830A9">
              <w:t>£90</w:t>
            </w:r>
          </w:p>
        </w:tc>
        <w:tc>
          <w:tcPr>
            <w:tcW w:w="1107" w:type="pct"/>
            <w:tcBorders>
              <w:top w:val="nil"/>
              <w:left w:val="nil"/>
              <w:bottom w:val="nil"/>
              <w:right w:val="single" w:sz="8" w:space="0" w:color="auto"/>
            </w:tcBorders>
            <w:shd w:val="clear" w:color="auto" w:fill="auto"/>
            <w:noWrap/>
            <w:vAlign w:val="bottom"/>
            <w:hideMark/>
          </w:tcPr>
          <w:p w14:paraId="3120A5C6" w14:textId="77777777" w:rsidR="00D830A9" w:rsidRPr="00D830A9" w:rsidRDefault="00D830A9" w:rsidP="001C12B3">
            <w:pPr>
              <w:keepNext/>
              <w:rPr>
                <w:rFonts w:eastAsia="Times New Roman"/>
                <w:color w:val="000000"/>
              </w:rPr>
            </w:pPr>
            <w:r w:rsidRPr="00D830A9">
              <w:t>£62</w:t>
            </w:r>
          </w:p>
        </w:tc>
      </w:tr>
      <w:tr w:rsidR="00D830A9" w:rsidRPr="00D830A9" w14:paraId="2D543861"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10713961" w14:textId="77777777" w:rsidR="00D830A9" w:rsidRPr="00D830A9" w:rsidRDefault="00D830A9" w:rsidP="001C12B3">
            <w:pPr>
              <w:keepNext/>
            </w:pPr>
            <w:r w:rsidRPr="00D830A9">
              <w:t> </w:t>
            </w:r>
          </w:p>
        </w:tc>
        <w:tc>
          <w:tcPr>
            <w:tcW w:w="957" w:type="pct"/>
            <w:tcBorders>
              <w:top w:val="nil"/>
              <w:left w:val="nil"/>
              <w:bottom w:val="nil"/>
              <w:right w:val="single" w:sz="4" w:space="0" w:color="auto"/>
            </w:tcBorders>
            <w:shd w:val="clear" w:color="auto" w:fill="auto"/>
            <w:noWrap/>
            <w:vAlign w:val="bottom"/>
            <w:hideMark/>
          </w:tcPr>
          <w:p w14:paraId="62B3020C" w14:textId="77777777" w:rsidR="00D830A9" w:rsidRPr="00D830A9" w:rsidRDefault="00D830A9" w:rsidP="001C12B3">
            <w:pPr>
              <w:keepNext/>
            </w:pPr>
          </w:p>
        </w:tc>
        <w:tc>
          <w:tcPr>
            <w:tcW w:w="972" w:type="pct"/>
            <w:tcBorders>
              <w:top w:val="nil"/>
              <w:left w:val="nil"/>
              <w:bottom w:val="nil"/>
              <w:right w:val="single" w:sz="4" w:space="0" w:color="auto"/>
            </w:tcBorders>
            <w:shd w:val="clear" w:color="auto" w:fill="auto"/>
            <w:noWrap/>
            <w:vAlign w:val="bottom"/>
            <w:hideMark/>
          </w:tcPr>
          <w:p w14:paraId="08626EF7" w14:textId="77777777" w:rsidR="00D830A9" w:rsidRPr="00D830A9" w:rsidRDefault="00D830A9" w:rsidP="001C12B3">
            <w:pPr>
              <w:keepNext/>
            </w:pPr>
          </w:p>
        </w:tc>
        <w:tc>
          <w:tcPr>
            <w:tcW w:w="1107" w:type="pct"/>
            <w:tcBorders>
              <w:top w:val="nil"/>
              <w:left w:val="nil"/>
              <w:bottom w:val="nil"/>
              <w:right w:val="single" w:sz="8" w:space="0" w:color="auto"/>
            </w:tcBorders>
            <w:shd w:val="clear" w:color="auto" w:fill="auto"/>
            <w:noWrap/>
            <w:vAlign w:val="bottom"/>
            <w:hideMark/>
          </w:tcPr>
          <w:p w14:paraId="43479CB9" w14:textId="77777777" w:rsidR="00D830A9" w:rsidRPr="00D830A9" w:rsidRDefault="00D830A9" w:rsidP="001C12B3">
            <w:pPr>
              <w:keepNext/>
            </w:pPr>
          </w:p>
        </w:tc>
      </w:tr>
      <w:tr w:rsidR="00D830A9" w:rsidRPr="00D830A9" w14:paraId="6D41E097" w14:textId="77777777" w:rsidTr="003D56F0">
        <w:trPr>
          <w:trHeight w:val="300"/>
        </w:trPr>
        <w:tc>
          <w:tcPr>
            <w:tcW w:w="1964" w:type="pct"/>
            <w:tcBorders>
              <w:top w:val="nil"/>
              <w:left w:val="single" w:sz="8" w:space="0" w:color="auto"/>
              <w:bottom w:val="nil"/>
              <w:right w:val="single" w:sz="4" w:space="0" w:color="auto"/>
            </w:tcBorders>
            <w:shd w:val="clear" w:color="000000" w:fill="DDEBF7"/>
            <w:noWrap/>
            <w:vAlign w:val="bottom"/>
            <w:hideMark/>
          </w:tcPr>
          <w:p w14:paraId="1303AC8B" w14:textId="77777777" w:rsidR="00D830A9" w:rsidRPr="00D830A9" w:rsidRDefault="00D830A9" w:rsidP="001C12B3">
            <w:pPr>
              <w:keepNext/>
            </w:pPr>
            <w:r w:rsidRPr="00D830A9">
              <w:t>Total healthcare costs (£'000s)</w:t>
            </w:r>
          </w:p>
        </w:tc>
        <w:tc>
          <w:tcPr>
            <w:tcW w:w="957" w:type="pct"/>
            <w:tcBorders>
              <w:top w:val="nil"/>
              <w:left w:val="nil"/>
              <w:bottom w:val="nil"/>
              <w:right w:val="single" w:sz="4" w:space="0" w:color="auto"/>
            </w:tcBorders>
            <w:shd w:val="clear" w:color="000000" w:fill="DDEBF7"/>
            <w:noWrap/>
            <w:vAlign w:val="bottom"/>
            <w:hideMark/>
          </w:tcPr>
          <w:p w14:paraId="0EFF1908" w14:textId="77777777" w:rsidR="00D830A9" w:rsidRPr="00D830A9" w:rsidRDefault="00D830A9" w:rsidP="001C12B3">
            <w:pPr>
              <w:keepNext/>
              <w:rPr>
                <w:rFonts w:eastAsia="Times New Roman"/>
              </w:rPr>
            </w:pPr>
            <w:r w:rsidRPr="00D830A9">
              <w:t>£1,353</w:t>
            </w:r>
          </w:p>
        </w:tc>
        <w:tc>
          <w:tcPr>
            <w:tcW w:w="972" w:type="pct"/>
            <w:tcBorders>
              <w:top w:val="nil"/>
              <w:left w:val="nil"/>
              <w:bottom w:val="nil"/>
              <w:right w:val="single" w:sz="4" w:space="0" w:color="auto"/>
            </w:tcBorders>
            <w:shd w:val="clear" w:color="000000" w:fill="DDEBF7"/>
            <w:noWrap/>
            <w:vAlign w:val="bottom"/>
            <w:hideMark/>
          </w:tcPr>
          <w:p w14:paraId="6B6FF4C9" w14:textId="77777777" w:rsidR="00D830A9" w:rsidRPr="00D830A9" w:rsidRDefault="00D830A9" w:rsidP="001C12B3">
            <w:pPr>
              <w:keepNext/>
              <w:rPr>
                <w:rFonts w:eastAsia="Times New Roman"/>
                <w:color w:val="000000"/>
              </w:rPr>
            </w:pPr>
            <w:r w:rsidRPr="00D830A9">
              <w:t>£1,133</w:t>
            </w:r>
          </w:p>
        </w:tc>
        <w:tc>
          <w:tcPr>
            <w:tcW w:w="1107" w:type="pct"/>
            <w:tcBorders>
              <w:top w:val="nil"/>
              <w:left w:val="nil"/>
              <w:bottom w:val="nil"/>
              <w:right w:val="single" w:sz="8" w:space="0" w:color="auto"/>
            </w:tcBorders>
            <w:shd w:val="clear" w:color="000000" w:fill="DDEBF7"/>
            <w:noWrap/>
            <w:vAlign w:val="bottom"/>
            <w:hideMark/>
          </w:tcPr>
          <w:p w14:paraId="410EBBA8" w14:textId="77777777" w:rsidR="00D830A9" w:rsidRPr="00D830A9" w:rsidRDefault="00D830A9" w:rsidP="001C12B3">
            <w:pPr>
              <w:keepNext/>
              <w:rPr>
                <w:rFonts w:eastAsia="Times New Roman"/>
                <w:color w:val="000000"/>
              </w:rPr>
            </w:pPr>
            <w:r w:rsidRPr="00D830A9">
              <w:t>-£221</w:t>
            </w:r>
          </w:p>
        </w:tc>
      </w:tr>
      <w:tr w:rsidR="00D830A9" w:rsidRPr="00D830A9" w14:paraId="65B4BF81"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1351E26A" w14:textId="77777777" w:rsidR="00D830A9" w:rsidRPr="00D830A9" w:rsidRDefault="00D830A9" w:rsidP="001C12B3">
            <w:pPr>
              <w:keepNext/>
            </w:pPr>
            <w:r w:rsidRPr="00D830A9">
              <w:t>Ambulance costs</w:t>
            </w:r>
          </w:p>
        </w:tc>
        <w:tc>
          <w:tcPr>
            <w:tcW w:w="957" w:type="pct"/>
            <w:tcBorders>
              <w:top w:val="nil"/>
              <w:left w:val="nil"/>
              <w:bottom w:val="nil"/>
              <w:right w:val="single" w:sz="4" w:space="0" w:color="auto"/>
            </w:tcBorders>
            <w:shd w:val="clear" w:color="auto" w:fill="auto"/>
            <w:noWrap/>
            <w:vAlign w:val="bottom"/>
            <w:hideMark/>
          </w:tcPr>
          <w:p w14:paraId="4767C32A" w14:textId="77777777" w:rsidR="00D830A9" w:rsidRPr="00D830A9" w:rsidRDefault="00D830A9" w:rsidP="001C12B3">
            <w:pPr>
              <w:keepNext/>
              <w:rPr>
                <w:rFonts w:eastAsia="Times New Roman"/>
              </w:rPr>
            </w:pPr>
            <w:r w:rsidRPr="00D830A9">
              <w:t>£148</w:t>
            </w:r>
          </w:p>
        </w:tc>
        <w:tc>
          <w:tcPr>
            <w:tcW w:w="972" w:type="pct"/>
            <w:tcBorders>
              <w:top w:val="nil"/>
              <w:left w:val="nil"/>
              <w:bottom w:val="nil"/>
              <w:right w:val="single" w:sz="4" w:space="0" w:color="auto"/>
            </w:tcBorders>
            <w:shd w:val="clear" w:color="auto" w:fill="auto"/>
            <w:noWrap/>
            <w:vAlign w:val="bottom"/>
            <w:hideMark/>
          </w:tcPr>
          <w:p w14:paraId="72B7071C" w14:textId="77777777" w:rsidR="00D830A9" w:rsidRPr="00D830A9" w:rsidRDefault="00D830A9" w:rsidP="001C12B3">
            <w:pPr>
              <w:keepNext/>
              <w:rPr>
                <w:rFonts w:eastAsia="Times New Roman"/>
                <w:color w:val="000000"/>
              </w:rPr>
            </w:pPr>
            <w:r w:rsidRPr="00D830A9">
              <w:t>£124</w:t>
            </w:r>
          </w:p>
        </w:tc>
        <w:tc>
          <w:tcPr>
            <w:tcW w:w="1107" w:type="pct"/>
            <w:tcBorders>
              <w:top w:val="nil"/>
              <w:left w:val="nil"/>
              <w:bottom w:val="nil"/>
              <w:right w:val="single" w:sz="8" w:space="0" w:color="auto"/>
            </w:tcBorders>
            <w:shd w:val="clear" w:color="auto" w:fill="auto"/>
            <w:noWrap/>
            <w:vAlign w:val="bottom"/>
            <w:hideMark/>
          </w:tcPr>
          <w:p w14:paraId="7298A9BD" w14:textId="77777777" w:rsidR="00D830A9" w:rsidRPr="00D830A9" w:rsidRDefault="00D830A9" w:rsidP="001C12B3">
            <w:pPr>
              <w:keepNext/>
              <w:rPr>
                <w:rFonts w:eastAsia="Times New Roman"/>
                <w:color w:val="000000"/>
              </w:rPr>
            </w:pPr>
            <w:r w:rsidRPr="00D830A9">
              <w:t>-£24</w:t>
            </w:r>
          </w:p>
        </w:tc>
      </w:tr>
      <w:tr w:rsidR="00D830A9" w:rsidRPr="00D830A9" w14:paraId="3145F86E"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62239DD7" w14:textId="77777777" w:rsidR="00D830A9" w:rsidRPr="00D830A9" w:rsidRDefault="00D830A9" w:rsidP="001C12B3">
            <w:pPr>
              <w:keepNext/>
            </w:pPr>
            <w:r w:rsidRPr="00D830A9">
              <w:t>A&amp;E costs</w:t>
            </w:r>
          </w:p>
        </w:tc>
        <w:tc>
          <w:tcPr>
            <w:tcW w:w="957" w:type="pct"/>
            <w:tcBorders>
              <w:top w:val="nil"/>
              <w:left w:val="nil"/>
              <w:bottom w:val="nil"/>
              <w:right w:val="single" w:sz="4" w:space="0" w:color="auto"/>
            </w:tcBorders>
            <w:shd w:val="clear" w:color="auto" w:fill="auto"/>
            <w:noWrap/>
            <w:vAlign w:val="bottom"/>
            <w:hideMark/>
          </w:tcPr>
          <w:p w14:paraId="0B6B231D" w14:textId="77777777" w:rsidR="00D830A9" w:rsidRPr="00D830A9" w:rsidRDefault="00D830A9" w:rsidP="001C12B3">
            <w:pPr>
              <w:keepNext/>
              <w:rPr>
                <w:rFonts w:eastAsia="Times New Roman"/>
              </w:rPr>
            </w:pPr>
            <w:r w:rsidRPr="00D830A9">
              <w:t>£114</w:t>
            </w:r>
          </w:p>
        </w:tc>
        <w:tc>
          <w:tcPr>
            <w:tcW w:w="972" w:type="pct"/>
            <w:tcBorders>
              <w:top w:val="nil"/>
              <w:left w:val="nil"/>
              <w:bottom w:val="nil"/>
              <w:right w:val="single" w:sz="4" w:space="0" w:color="auto"/>
            </w:tcBorders>
            <w:shd w:val="clear" w:color="auto" w:fill="auto"/>
            <w:noWrap/>
            <w:vAlign w:val="bottom"/>
            <w:hideMark/>
          </w:tcPr>
          <w:p w14:paraId="282ED97E" w14:textId="77777777" w:rsidR="00D830A9" w:rsidRPr="00D830A9" w:rsidRDefault="00D830A9" w:rsidP="001C12B3">
            <w:pPr>
              <w:keepNext/>
              <w:rPr>
                <w:rFonts w:eastAsia="Times New Roman"/>
                <w:color w:val="000000"/>
              </w:rPr>
            </w:pPr>
            <w:r w:rsidRPr="00D830A9">
              <w:t>£95</w:t>
            </w:r>
          </w:p>
        </w:tc>
        <w:tc>
          <w:tcPr>
            <w:tcW w:w="1107" w:type="pct"/>
            <w:tcBorders>
              <w:top w:val="nil"/>
              <w:left w:val="nil"/>
              <w:bottom w:val="nil"/>
              <w:right w:val="single" w:sz="8" w:space="0" w:color="auto"/>
            </w:tcBorders>
            <w:shd w:val="clear" w:color="auto" w:fill="auto"/>
            <w:noWrap/>
            <w:vAlign w:val="bottom"/>
            <w:hideMark/>
          </w:tcPr>
          <w:p w14:paraId="285A74F7" w14:textId="77777777" w:rsidR="00D830A9" w:rsidRPr="00D830A9" w:rsidRDefault="00D830A9" w:rsidP="001C12B3">
            <w:pPr>
              <w:keepNext/>
              <w:rPr>
                <w:rFonts w:eastAsia="Times New Roman"/>
                <w:color w:val="000000"/>
              </w:rPr>
            </w:pPr>
            <w:r w:rsidRPr="00D830A9">
              <w:t>-£19</w:t>
            </w:r>
          </w:p>
        </w:tc>
      </w:tr>
      <w:tr w:rsidR="00D830A9" w:rsidRPr="00D830A9" w14:paraId="06D2BE96"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64585F7D" w14:textId="77777777" w:rsidR="00D830A9" w:rsidRPr="00D830A9" w:rsidRDefault="00D830A9" w:rsidP="001C12B3">
            <w:pPr>
              <w:keepNext/>
            </w:pPr>
            <w:r w:rsidRPr="00D830A9">
              <w:t>Inpatient admission costs</w:t>
            </w:r>
          </w:p>
        </w:tc>
        <w:tc>
          <w:tcPr>
            <w:tcW w:w="957" w:type="pct"/>
            <w:tcBorders>
              <w:top w:val="nil"/>
              <w:left w:val="nil"/>
              <w:bottom w:val="nil"/>
              <w:right w:val="single" w:sz="4" w:space="0" w:color="auto"/>
            </w:tcBorders>
            <w:shd w:val="clear" w:color="auto" w:fill="auto"/>
            <w:noWrap/>
            <w:vAlign w:val="bottom"/>
            <w:hideMark/>
          </w:tcPr>
          <w:p w14:paraId="2D541BD9" w14:textId="77777777" w:rsidR="00D830A9" w:rsidRPr="00D830A9" w:rsidRDefault="00D830A9" w:rsidP="001C12B3">
            <w:pPr>
              <w:keepNext/>
              <w:rPr>
                <w:rFonts w:eastAsia="Times New Roman"/>
              </w:rPr>
            </w:pPr>
            <w:r w:rsidRPr="00D830A9">
              <w:t>£369</w:t>
            </w:r>
          </w:p>
        </w:tc>
        <w:tc>
          <w:tcPr>
            <w:tcW w:w="972" w:type="pct"/>
            <w:tcBorders>
              <w:top w:val="nil"/>
              <w:left w:val="nil"/>
              <w:bottom w:val="nil"/>
              <w:right w:val="single" w:sz="4" w:space="0" w:color="auto"/>
            </w:tcBorders>
            <w:shd w:val="clear" w:color="auto" w:fill="auto"/>
            <w:noWrap/>
            <w:vAlign w:val="bottom"/>
            <w:hideMark/>
          </w:tcPr>
          <w:p w14:paraId="0EBD1AB8" w14:textId="77777777" w:rsidR="00D830A9" w:rsidRPr="00D830A9" w:rsidRDefault="00D830A9" w:rsidP="001C12B3">
            <w:pPr>
              <w:keepNext/>
              <w:rPr>
                <w:rFonts w:eastAsia="Times New Roman"/>
                <w:color w:val="000000"/>
              </w:rPr>
            </w:pPr>
            <w:r w:rsidRPr="00D830A9">
              <w:t>£309</w:t>
            </w:r>
          </w:p>
        </w:tc>
        <w:tc>
          <w:tcPr>
            <w:tcW w:w="1107" w:type="pct"/>
            <w:tcBorders>
              <w:top w:val="nil"/>
              <w:left w:val="nil"/>
              <w:bottom w:val="nil"/>
              <w:right w:val="single" w:sz="8" w:space="0" w:color="auto"/>
            </w:tcBorders>
            <w:shd w:val="clear" w:color="auto" w:fill="auto"/>
            <w:noWrap/>
            <w:vAlign w:val="bottom"/>
            <w:hideMark/>
          </w:tcPr>
          <w:p w14:paraId="07B6B1E1" w14:textId="77777777" w:rsidR="00D830A9" w:rsidRPr="00D830A9" w:rsidRDefault="00D830A9" w:rsidP="001C12B3">
            <w:pPr>
              <w:keepNext/>
              <w:rPr>
                <w:rFonts w:eastAsia="Times New Roman"/>
                <w:color w:val="000000"/>
              </w:rPr>
            </w:pPr>
            <w:r w:rsidRPr="00D830A9">
              <w:t>-£60</w:t>
            </w:r>
          </w:p>
        </w:tc>
      </w:tr>
      <w:tr w:rsidR="00D830A9" w:rsidRPr="00D830A9" w14:paraId="240F1AF9"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5DE63CA8" w14:textId="77777777" w:rsidR="00D830A9" w:rsidRPr="00D830A9" w:rsidRDefault="00D830A9" w:rsidP="001C12B3">
            <w:pPr>
              <w:keepNext/>
            </w:pPr>
            <w:r w:rsidRPr="00D830A9">
              <w:t>Costs of treating Ecstasy dependence</w:t>
            </w:r>
          </w:p>
        </w:tc>
        <w:tc>
          <w:tcPr>
            <w:tcW w:w="957" w:type="pct"/>
            <w:tcBorders>
              <w:top w:val="nil"/>
              <w:left w:val="nil"/>
              <w:bottom w:val="nil"/>
              <w:right w:val="single" w:sz="4" w:space="0" w:color="auto"/>
            </w:tcBorders>
            <w:shd w:val="clear" w:color="auto" w:fill="auto"/>
            <w:noWrap/>
            <w:vAlign w:val="bottom"/>
            <w:hideMark/>
          </w:tcPr>
          <w:p w14:paraId="64B1F3C3" w14:textId="77777777" w:rsidR="00D830A9" w:rsidRPr="00D830A9" w:rsidRDefault="00D830A9" w:rsidP="001C12B3">
            <w:pPr>
              <w:keepNext/>
              <w:rPr>
                <w:rFonts w:eastAsia="Times New Roman"/>
              </w:rPr>
            </w:pPr>
            <w:r w:rsidRPr="00D830A9">
              <w:t>£713</w:t>
            </w:r>
          </w:p>
        </w:tc>
        <w:tc>
          <w:tcPr>
            <w:tcW w:w="972" w:type="pct"/>
            <w:tcBorders>
              <w:top w:val="nil"/>
              <w:left w:val="nil"/>
              <w:bottom w:val="nil"/>
              <w:right w:val="single" w:sz="4" w:space="0" w:color="auto"/>
            </w:tcBorders>
            <w:shd w:val="clear" w:color="auto" w:fill="auto"/>
            <w:noWrap/>
            <w:vAlign w:val="bottom"/>
            <w:hideMark/>
          </w:tcPr>
          <w:p w14:paraId="19E16DEA" w14:textId="77777777" w:rsidR="00D830A9" w:rsidRPr="00D830A9" w:rsidRDefault="00D830A9" w:rsidP="001C12B3">
            <w:pPr>
              <w:keepNext/>
              <w:rPr>
                <w:rFonts w:eastAsia="Times New Roman"/>
                <w:color w:val="000000"/>
              </w:rPr>
            </w:pPr>
            <w:r w:rsidRPr="00D830A9">
              <w:t>£596</w:t>
            </w:r>
          </w:p>
        </w:tc>
        <w:tc>
          <w:tcPr>
            <w:tcW w:w="1107" w:type="pct"/>
            <w:tcBorders>
              <w:top w:val="nil"/>
              <w:left w:val="nil"/>
              <w:bottom w:val="nil"/>
              <w:right w:val="single" w:sz="8" w:space="0" w:color="auto"/>
            </w:tcBorders>
            <w:shd w:val="clear" w:color="auto" w:fill="auto"/>
            <w:noWrap/>
            <w:vAlign w:val="bottom"/>
            <w:hideMark/>
          </w:tcPr>
          <w:p w14:paraId="784256F6" w14:textId="77777777" w:rsidR="00D830A9" w:rsidRPr="00D830A9" w:rsidRDefault="00D830A9" w:rsidP="001C12B3">
            <w:pPr>
              <w:keepNext/>
              <w:rPr>
                <w:rFonts w:eastAsia="Times New Roman"/>
                <w:color w:val="000000"/>
              </w:rPr>
            </w:pPr>
            <w:r w:rsidRPr="00D830A9">
              <w:t>-£116</w:t>
            </w:r>
          </w:p>
        </w:tc>
      </w:tr>
      <w:tr w:rsidR="00D830A9" w:rsidRPr="00D830A9" w14:paraId="46CF4711"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728A82D1" w14:textId="77777777" w:rsidR="00D830A9" w:rsidRPr="00D830A9" w:rsidRDefault="00D830A9" w:rsidP="001C12B3">
            <w:pPr>
              <w:keepNext/>
            </w:pPr>
            <w:r w:rsidRPr="00D830A9">
              <w:t>Costs of Ecstasy-related death</w:t>
            </w:r>
          </w:p>
        </w:tc>
        <w:tc>
          <w:tcPr>
            <w:tcW w:w="957" w:type="pct"/>
            <w:tcBorders>
              <w:top w:val="nil"/>
              <w:left w:val="nil"/>
              <w:bottom w:val="nil"/>
              <w:right w:val="single" w:sz="4" w:space="0" w:color="auto"/>
            </w:tcBorders>
            <w:shd w:val="clear" w:color="auto" w:fill="auto"/>
            <w:noWrap/>
            <w:vAlign w:val="bottom"/>
            <w:hideMark/>
          </w:tcPr>
          <w:p w14:paraId="46C98D40" w14:textId="77777777" w:rsidR="00D830A9" w:rsidRPr="00D830A9" w:rsidRDefault="00D830A9" w:rsidP="001C12B3">
            <w:pPr>
              <w:keepNext/>
              <w:rPr>
                <w:rFonts w:eastAsia="Times New Roman"/>
              </w:rPr>
            </w:pPr>
            <w:r w:rsidRPr="00D830A9">
              <w:t>£10</w:t>
            </w:r>
          </w:p>
        </w:tc>
        <w:tc>
          <w:tcPr>
            <w:tcW w:w="972" w:type="pct"/>
            <w:tcBorders>
              <w:top w:val="nil"/>
              <w:left w:val="nil"/>
              <w:bottom w:val="nil"/>
              <w:right w:val="single" w:sz="4" w:space="0" w:color="auto"/>
            </w:tcBorders>
            <w:shd w:val="clear" w:color="auto" w:fill="auto"/>
            <w:noWrap/>
            <w:vAlign w:val="bottom"/>
            <w:hideMark/>
          </w:tcPr>
          <w:p w14:paraId="3D3CBDDF" w14:textId="77777777" w:rsidR="00D830A9" w:rsidRPr="00D830A9" w:rsidRDefault="00D830A9" w:rsidP="001C12B3">
            <w:pPr>
              <w:keepNext/>
              <w:rPr>
                <w:rFonts w:eastAsia="Times New Roman"/>
                <w:color w:val="000000"/>
              </w:rPr>
            </w:pPr>
            <w:r w:rsidRPr="00D830A9">
              <w:t>£8</w:t>
            </w:r>
          </w:p>
        </w:tc>
        <w:tc>
          <w:tcPr>
            <w:tcW w:w="1107" w:type="pct"/>
            <w:tcBorders>
              <w:top w:val="nil"/>
              <w:left w:val="nil"/>
              <w:bottom w:val="nil"/>
              <w:right w:val="single" w:sz="8" w:space="0" w:color="auto"/>
            </w:tcBorders>
            <w:shd w:val="clear" w:color="auto" w:fill="auto"/>
            <w:noWrap/>
            <w:vAlign w:val="bottom"/>
            <w:hideMark/>
          </w:tcPr>
          <w:p w14:paraId="5E4CE3E2" w14:textId="77777777" w:rsidR="00D830A9" w:rsidRPr="00D830A9" w:rsidRDefault="00D830A9" w:rsidP="001C12B3">
            <w:pPr>
              <w:keepNext/>
              <w:rPr>
                <w:rFonts w:eastAsia="Times New Roman"/>
                <w:color w:val="000000"/>
              </w:rPr>
            </w:pPr>
            <w:r w:rsidRPr="00D830A9">
              <w:t>-£2</w:t>
            </w:r>
          </w:p>
        </w:tc>
      </w:tr>
      <w:tr w:rsidR="00D830A9" w:rsidRPr="00D830A9" w14:paraId="3B118DFE"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18E63B95" w14:textId="77777777" w:rsidR="00D830A9" w:rsidRPr="00D830A9" w:rsidRDefault="00D830A9" w:rsidP="001C12B3">
            <w:pPr>
              <w:keepNext/>
            </w:pPr>
            <w:r w:rsidRPr="00D830A9">
              <w:t> </w:t>
            </w:r>
          </w:p>
        </w:tc>
        <w:tc>
          <w:tcPr>
            <w:tcW w:w="957" w:type="pct"/>
            <w:tcBorders>
              <w:top w:val="nil"/>
              <w:left w:val="nil"/>
              <w:bottom w:val="nil"/>
              <w:right w:val="single" w:sz="4" w:space="0" w:color="auto"/>
            </w:tcBorders>
            <w:shd w:val="clear" w:color="auto" w:fill="auto"/>
            <w:noWrap/>
            <w:vAlign w:val="bottom"/>
            <w:hideMark/>
          </w:tcPr>
          <w:p w14:paraId="538885E4" w14:textId="77777777" w:rsidR="00D830A9" w:rsidRPr="00D830A9" w:rsidRDefault="00D830A9" w:rsidP="001C12B3">
            <w:pPr>
              <w:keepNext/>
            </w:pPr>
          </w:p>
        </w:tc>
        <w:tc>
          <w:tcPr>
            <w:tcW w:w="972" w:type="pct"/>
            <w:tcBorders>
              <w:top w:val="nil"/>
              <w:left w:val="nil"/>
              <w:bottom w:val="nil"/>
              <w:right w:val="single" w:sz="4" w:space="0" w:color="auto"/>
            </w:tcBorders>
            <w:shd w:val="clear" w:color="auto" w:fill="auto"/>
            <w:noWrap/>
            <w:vAlign w:val="bottom"/>
            <w:hideMark/>
          </w:tcPr>
          <w:p w14:paraId="37854F99" w14:textId="77777777" w:rsidR="00D830A9" w:rsidRPr="00D830A9" w:rsidRDefault="00D830A9" w:rsidP="001C12B3">
            <w:pPr>
              <w:keepNext/>
            </w:pPr>
          </w:p>
        </w:tc>
        <w:tc>
          <w:tcPr>
            <w:tcW w:w="1107" w:type="pct"/>
            <w:tcBorders>
              <w:top w:val="nil"/>
              <w:left w:val="nil"/>
              <w:bottom w:val="nil"/>
              <w:right w:val="single" w:sz="8" w:space="0" w:color="auto"/>
            </w:tcBorders>
            <w:shd w:val="clear" w:color="auto" w:fill="auto"/>
            <w:noWrap/>
            <w:vAlign w:val="bottom"/>
            <w:hideMark/>
          </w:tcPr>
          <w:p w14:paraId="104B7D46" w14:textId="77777777" w:rsidR="00D830A9" w:rsidRPr="00D830A9" w:rsidRDefault="00D830A9" w:rsidP="001C12B3">
            <w:pPr>
              <w:keepNext/>
            </w:pPr>
          </w:p>
        </w:tc>
      </w:tr>
      <w:tr w:rsidR="00D830A9" w:rsidRPr="00D830A9" w14:paraId="05DA42AA" w14:textId="77777777" w:rsidTr="003D56F0">
        <w:trPr>
          <w:trHeight w:val="300"/>
        </w:trPr>
        <w:tc>
          <w:tcPr>
            <w:tcW w:w="1964" w:type="pct"/>
            <w:tcBorders>
              <w:top w:val="nil"/>
              <w:left w:val="single" w:sz="8" w:space="0" w:color="auto"/>
              <w:bottom w:val="nil"/>
              <w:right w:val="single" w:sz="4" w:space="0" w:color="auto"/>
            </w:tcBorders>
            <w:shd w:val="clear" w:color="000000" w:fill="DDEBF7"/>
            <w:noWrap/>
            <w:vAlign w:val="bottom"/>
            <w:hideMark/>
          </w:tcPr>
          <w:p w14:paraId="2B811F84" w14:textId="77777777" w:rsidR="00D830A9" w:rsidRPr="00D830A9" w:rsidRDefault="00D830A9" w:rsidP="001C12B3">
            <w:pPr>
              <w:keepNext/>
            </w:pPr>
            <w:r w:rsidRPr="00D830A9">
              <w:t>Total crime costs (£'000s)</w:t>
            </w:r>
          </w:p>
        </w:tc>
        <w:tc>
          <w:tcPr>
            <w:tcW w:w="957" w:type="pct"/>
            <w:tcBorders>
              <w:top w:val="nil"/>
              <w:left w:val="nil"/>
              <w:bottom w:val="nil"/>
              <w:right w:val="single" w:sz="4" w:space="0" w:color="auto"/>
            </w:tcBorders>
            <w:shd w:val="clear" w:color="000000" w:fill="DDEBF7"/>
            <w:noWrap/>
            <w:vAlign w:val="bottom"/>
            <w:hideMark/>
          </w:tcPr>
          <w:p w14:paraId="13A2E76B" w14:textId="77777777" w:rsidR="00D830A9" w:rsidRPr="00D830A9" w:rsidRDefault="00D830A9" w:rsidP="001C12B3">
            <w:pPr>
              <w:keepNext/>
              <w:rPr>
                <w:rFonts w:eastAsia="Times New Roman"/>
              </w:rPr>
            </w:pPr>
            <w:r w:rsidRPr="00D830A9">
              <w:t>£2,580</w:t>
            </w:r>
          </w:p>
        </w:tc>
        <w:tc>
          <w:tcPr>
            <w:tcW w:w="972" w:type="pct"/>
            <w:tcBorders>
              <w:top w:val="nil"/>
              <w:left w:val="nil"/>
              <w:bottom w:val="nil"/>
              <w:right w:val="single" w:sz="4" w:space="0" w:color="auto"/>
            </w:tcBorders>
            <w:shd w:val="clear" w:color="000000" w:fill="DDEBF7"/>
            <w:noWrap/>
            <w:vAlign w:val="bottom"/>
            <w:hideMark/>
          </w:tcPr>
          <w:p w14:paraId="6B94ACE4" w14:textId="77777777" w:rsidR="00D830A9" w:rsidRPr="00D830A9" w:rsidRDefault="00D830A9" w:rsidP="001C12B3">
            <w:pPr>
              <w:keepNext/>
              <w:rPr>
                <w:rFonts w:eastAsia="Times New Roman"/>
                <w:color w:val="000000"/>
              </w:rPr>
            </w:pPr>
            <w:r w:rsidRPr="00D830A9">
              <w:t>£2,160</w:t>
            </w:r>
          </w:p>
        </w:tc>
        <w:tc>
          <w:tcPr>
            <w:tcW w:w="1107" w:type="pct"/>
            <w:tcBorders>
              <w:top w:val="nil"/>
              <w:left w:val="nil"/>
              <w:bottom w:val="nil"/>
              <w:right w:val="single" w:sz="8" w:space="0" w:color="auto"/>
            </w:tcBorders>
            <w:shd w:val="clear" w:color="000000" w:fill="DDEBF7"/>
            <w:noWrap/>
            <w:vAlign w:val="bottom"/>
            <w:hideMark/>
          </w:tcPr>
          <w:p w14:paraId="41B9896F" w14:textId="77777777" w:rsidR="00D830A9" w:rsidRPr="00D830A9" w:rsidRDefault="00D830A9" w:rsidP="001C12B3">
            <w:pPr>
              <w:keepNext/>
              <w:rPr>
                <w:rFonts w:eastAsia="Times New Roman"/>
                <w:color w:val="000000"/>
              </w:rPr>
            </w:pPr>
            <w:r w:rsidRPr="00D830A9">
              <w:t>-£421</w:t>
            </w:r>
          </w:p>
        </w:tc>
      </w:tr>
      <w:tr w:rsidR="00D830A9" w:rsidRPr="00D830A9" w14:paraId="2CCE5B05"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213C3758" w14:textId="77777777" w:rsidR="00D830A9" w:rsidRPr="00D830A9" w:rsidRDefault="00D830A9" w:rsidP="001C12B3">
            <w:pPr>
              <w:keepNext/>
            </w:pPr>
            <w:r w:rsidRPr="00D830A9">
              <w:t>Arrest costs</w:t>
            </w:r>
          </w:p>
        </w:tc>
        <w:tc>
          <w:tcPr>
            <w:tcW w:w="957" w:type="pct"/>
            <w:tcBorders>
              <w:top w:val="nil"/>
              <w:left w:val="nil"/>
              <w:bottom w:val="nil"/>
              <w:right w:val="single" w:sz="4" w:space="0" w:color="auto"/>
            </w:tcBorders>
            <w:shd w:val="clear" w:color="auto" w:fill="auto"/>
            <w:noWrap/>
            <w:vAlign w:val="bottom"/>
            <w:hideMark/>
          </w:tcPr>
          <w:p w14:paraId="1E23FEAB" w14:textId="77777777" w:rsidR="00D830A9" w:rsidRPr="00D830A9" w:rsidRDefault="00D830A9" w:rsidP="001C12B3">
            <w:pPr>
              <w:keepNext/>
              <w:rPr>
                <w:rFonts w:eastAsia="Times New Roman"/>
              </w:rPr>
            </w:pPr>
            <w:r w:rsidRPr="00D830A9">
              <w:t>£1,541</w:t>
            </w:r>
          </w:p>
        </w:tc>
        <w:tc>
          <w:tcPr>
            <w:tcW w:w="972" w:type="pct"/>
            <w:tcBorders>
              <w:top w:val="nil"/>
              <w:left w:val="nil"/>
              <w:bottom w:val="nil"/>
              <w:right w:val="single" w:sz="4" w:space="0" w:color="auto"/>
            </w:tcBorders>
            <w:shd w:val="clear" w:color="auto" w:fill="auto"/>
            <w:noWrap/>
            <w:vAlign w:val="bottom"/>
            <w:hideMark/>
          </w:tcPr>
          <w:p w14:paraId="65ED9579" w14:textId="77777777" w:rsidR="00D830A9" w:rsidRPr="00D830A9" w:rsidRDefault="00D830A9" w:rsidP="001C12B3">
            <w:pPr>
              <w:keepNext/>
              <w:rPr>
                <w:rFonts w:eastAsia="Times New Roman"/>
                <w:color w:val="000000"/>
              </w:rPr>
            </w:pPr>
            <w:r w:rsidRPr="00D830A9">
              <w:t>£1,290</w:t>
            </w:r>
          </w:p>
        </w:tc>
        <w:tc>
          <w:tcPr>
            <w:tcW w:w="1107" w:type="pct"/>
            <w:tcBorders>
              <w:top w:val="nil"/>
              <w:left w:val="nil"/>
              <w:bottom w:val="nil"/>
              <w:right w:val="single" w:sz="8" w:space="0" w:color="auto"/>
            </w:tcBorders>
            <w:shd w:val="clear" w:color="auto" w:fill="auto"/>
            <w:noWrap/>
            <w:vAlign w:val="bottom"/>
            <w:hideMark/>
          </w:tcPr>
          <w:p w14:paraId="668C3B5D" w14:textId="77777777" w:rsidR="00D830A9" w:rsidRPr="00D830A9" w:rsidRDefault="00D830A9" w:rsidP="001C12B3">
            <w:pPr>
              <w:keepNext/>
              <w:rPr>
                <w:rFonts w:eastAsia="Times New Roman"/>
                <w:color w:val="000000"/>
              </w:rPr>
            </w:pPr>
            <w:r w:rsidRPr="00D830A9">
              <w:t>-£251</w:t>
            </w:r>
          </w:p>
        </w:tc>
      </w:tr>
      <w:tr w:rsidR="00D830A9" w:rsidRPr="00D830A9" w14:paraId="35F5D730"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03868871" w14:textId="77777777" w:rsidR="00D830A9" w:rsidRPr="00D830A9" w:rsidRDefault="00D830A9" w:rsidP="001C12B3">
            <w:pPr>
              <w:keepNext/>
            </w:pPr>
            <w:r w:rsidRPr="00D830A9">
              <w:t>Sentencing costs</w:t>
            </w:r>
          </w:p>
        </w:tc>
        <w:tc>
          <w:tcPr>
            <w:tcW w:w="957" w:type="pct"/>
            <w:tcBorders>
              <w:top w:val="nil"/>
              <w:left w:val="nil"/>
              <w:bottom w:val="nil"/>
              <w:right w:val="single" w:sz="4" w:space="0" w:color="auto"/>
            </w:tcBorders>
            <w:shd w:val="clear" w:color="auto" w:fill="auto"/>
            <w:noWrap/>
            <w:vAlign w:val="bottom"/>
            <w:hideMark/>
          </w:tcPr>
          <w:p w14:paraId="5B2CFE50" w14:textId="77777777" w:rsidR="00D830A9" w:rsidRPr="00D830A9" w:rsidRDefault="00D830A9" w:rsidP="001C12B3">
            <w:pPr>
              <w:keepNext/>
              <w:rPr>
                <w:rFonts w:eastAsia="Times New Roman"/>
              </w:rPr>
            </w:pPr>
            <w:r w:rsidRPr="00D830A9">
              <w:t>£372</w:t>
            </w:r>
          </w:p>
        </w:tc>
        <w:tc>
          <w:tcPr>
            <w:tcW w:w="972" w:type="pct"/>
            <w:tcBorders>
              <w:top w:val="nil"/>
              <w:left w:val="nil"/>
              <w:bottom w:val="nil"/>
              <w:right w:val="single" w:sz="4" w:space="0" w:color="auto"/>
            </w:tcBorders>
            <w:shd w:val="clear" w:color="auto" w:fill="auto"/>
            <w:noWrap/>
            <w:vAlign w:val="bottom"/>
            <w:hideMark/>
          </w:tcPr>
          <w:p w14:paraId="682523CB" w14:textId="77777777" w:rsidR="00D830A9" w:rsidRPr="00D830A9" w:rsidRDefault="00D830A9" w:rsidP="001C12B3">
            <w:pPr>
              <w:keepNext/>
              <w:rPr>
                <w:rFonts w:eastAsia="Times New Roman"/>
                <w:color w:val="000000"/>
              </w:rPr>
            </w:pPr>
            <w:r w:rsidRPr="00D830A9">
              <w:t>£312</w:t>
            </w:r>
          </w:p>
        </w:tc>
        <w:tc>
          <w:tcPr>
            <w:tcW w:w="1107" w:type="pct"/>
            <w:tcBorders>
              <w:top w:val="nil"/>
              <w:left w:val="nil"/>
              <w:bottom w:val="nil"/>
              <w:right w:val="single" w:sz="8" w:space="0" w:color="auto"/>
            </w:tcBorders>
            <w:shd w:val="clear" w:color="auto" w:fill="auto"/>
            <w:noWrap/>
            <w:vAlign w:val="bottom"/>
            <w:hideMark/>
          </w:tcPr>
          <w:p w14:paraId="73DB0FB0" w14:textId="77777777" w:rsidR="00D830A9" w:rsidRPr="00D830A9" w:rsidRDefault="00D830A9" w:rsidP="001C12B3">
            <w:pPr>
              <w:keepNext/>
              <w:rPr>
                <w:rFonts w:eastAsia="Times New Roman"/>
                <w:color w:val="000000"/>
              </w:rPr>
            </w:pPr>
            <w:r w:rsidRPr="00D830A9">
              <w:t>-£61</w:t>
            </w:r>
          </w:p>
        </w:tc>
      </w:tr>
      <w:tr w:rsidR="00D830A9" w:rsidRPr="00D830A9" w14:paraId="4BA9D1A6"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334D16D8" w14:textId="77777777" w:rsidR="00D830A9" w:rsidRPr="00D830A9" w:rsidRDefault="00D830A9" w:rsidP="001C12B3">
            <w:pPr>
              <w:keepNext/>
            </w:pPr>
            <w:r w:rsidRPr="00D830A9">
              <w:t>Court costs</w:t>
            </w:r>
          </w:p>
        </w:tc>
        <w:tc>
          <w:tcPr>
            <w:tcW w:w="957" w:type="pct"/>
            <w:tcBorders>
              <w:top w:val="nil"/>
              <w:left w:val="nil"/>
              <w:bottom w:val="nil"/>
              <w:right w:val="single" w:sz="4" w:space="0" w:color="auto"/>
            </w:tcBorders>
            <w:shd w:val="clear" w:color="auto" w:fill="auto"/>
            <w:noWrap/>
            <w:vAlign w:val="bottom"/>
            <w:hideMark/>
          </w:tcPr>
          <w:p w14:paraId="2F721E1B" w14:textId="77777777" w:rsidR="00D830A9" w:rsidRPr="00D830A9" w:rsidRDefault="00D830A9" w:rsidP="001C12B3">
            <w:pPr>
              <w:keepNext/>
              <w:rPr>
                <w:rFonts w:eastAsia="Times New Roman"/>
              </w:rPr>
            </w:pPr>
            <w:r w:rsidRPr="00D830A9">
              <w:t>£667</w:t>
            </w:r>
          </w:p>
        </w:tc>
        <w:tc>
          <w:tcPr>
            <w:tcW w:w="972" w:type="pct"/>
            <w:tcBorders>
              <w:top w:val="nil"/>
              <w:left w:val="nil"/>
              <w:bottom w:val="nil"/>
              <w:right w:val="single" w:sz="4" w:space="0" w:color="auto"/>
            </w:tcBorders>
            <w:shd w:val="clear" w:color="auto" w:fill="auto"/>
            <w:noWrap/>
            <w:vAlign w:val="bottom"/>
            <w:hideMark/>
          </w:tcPr>
          <w:p w14:paraId="47F9D025" w14:textId="77777777" w:rsidR="00D830A9" w:rsidRPr="00D830A9" w:rsidRDefault="00D830A9" w:rsidP="001C12B3">
            <w:pPr>
              <w:keepNext/>
              <w:rPr>
                <w:rFonts w:eastAsia="Times New Roman"/>
                <w:color w:val="000000"/>
              </w:rPr>
            </w:pPr>
            <w:r w:rsidRPr="00D830A9">
              <w:t>£558</w:t>
            </w:r>
          </w:p>
        </w:tc>
        <w:tc>
          <w:tcPr>
            <w:tcW w:w="1107" w:type="pct"/>
            <w:tcBorders>
              <w:top w:val="nil"/>
              <w:left w:val="nil"/>
              <w:bottom w:val="nil"/>
              <w:right w:val="single" w:sz="8" w:space="0" w:color="auto"/>
            </w:tcBorders>
            <w:shd w:val="clear" w:color="auto" w:fill="auto"/>
            <w:noWrap/>
            <w:vAlign w:val="bottom"/>
            <w:hideMark/>
          </w:tcPr>
          <w:p w14:paraId="55B2E937" w14:textId="77777777" w:rsidR="00D830A9" w:rsidRPr="00D830A9" w:rsidRDefault="00D830A9" w:rsidP="001C12B3">
            <w:pPr>
              <w:keepNext/>
              <w:rPr>
                <w:rFonts w:eastAsia="Times New Roman"/>
                <w:color w:val="000000"/>
              </w:rPr>
            </w:pPr>
            <w:r w:rsidRPr="00D830A9">
              <w:t>-£109</w:t>
            </w:r>
          </w:p>
        </w:tc>
      </w:tr>
      <w:tr w:rsidR="00D830A9" w:rsidRPr="00D830A9" w14:paraId="57F2A37C"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4CDCB202" w14:textId="77777777" w:rsidR="00D830A9" w:rsidRPr="00D830A9" w:rsidRDefault="00D830A9" w:rsidP="001C12B3">
            <w:pPr>
              <w:keepNext/>
            </w:pPr>
            <w:r w:rsidRPr="00D830A9">
              <w:t> </w:t>
            </w:r>
          </w:p>
        </w:tc>
        <w:tc>
          <w:tcPr>
            <w:tcW w:w="957" w:type="pct"/>
            <w:tcBorders>
              <w:top w:val="nil"/>
              <w:left w:val="nil"/>
              <w:bottom w:val="nil"/>
              <w:right w:val="single" w:sz="4" w:space="0" w:color="auto"/>
            </w:tcBorders>
            <w:shd w:val="clear" w:color="auto" w:fill="auto"/>
            <w:noWrap/>
            <w:vAlign w:val="bottom"/>
          </w:tcPr>
          <w:p w14:paraId="49A5D55C" w14:textId="77777777" w:rsidR="00D830A9" w:rsidRPr="00D830A9" w:rsidRDefault="00D830A9" w:rsidP="001C12B3">
            <w:pPr>
              <w:keepNext/>
            </w:pPr>
          </w:p>
        </w:tc>
        <w:tc>
          <w:tcPr>
            <w:tcW w:w="972" w:type="pct"/>
            <w:tcBorders>
              <w:top w:val="nil"/>
              <w:left w:val="nil"/>
              <w:bottom w:val="nil"/>
              <w:right w:val="single" w:sz="4" w:space="0" w:color="auto"/>
            </w:tcBorders>
            <w:shd w:val="clear" w:color="auto" w:fill="auto"/>
            <w:noWrap/>
            <w:vAlign w:val="bottom"/>
          </w:tcPr>
          <w:p w14:paraId="79F71411" w14:textId="77777777" w:rsidR="00D830A9" w:rsidRPr="00D830A9" w:rsidRDefault="00D830A9" w:rsidP="001C12B3">
            <w:pPr>
              <w:keepNext/>
            </w:pPr>
          </w:p>
        </w:tc>
        <w:tc>
          <w:tcPr>
            <w:tcW w:w="1107" w:type="pct"/>
            <w:tcBorders>
              <w:top w:val="nil"/>
              <w:left w:val="nil"/>
              <w:bottom w:val="nil"/>
              <w:right w:val="single" w:sz="8" w:space="0" w:color="auto"/>
            </w:tcBorders>
            <w:shd w:val="clear" w:color="auto" w:fill="auto"/>
            <w:noWrap/>
            <w:vAlign w:val="bottom"/>
          </w:tcPr>
          <w:p w14:paraId="16C9D4BA" w14:textId="77777777" w:rsidR="00D830A9" w:rsidRPr="00D830A9" w:rsidRDefault="00D830A9" w:rsidP="001C12B3">
            <w:pPr>
              <w:keepNext/>
            </w:pPr>
          </w:p>
        </w:tc>
      </w:tr>
      <w:tr w:rsidR="00D830A9" w:rsidRPr="00D830A9" w14:paraId="185BBD54" w14:textId="77777777" w:rsidTr="003D56F0">
        <w:trPr>
          <w:trHeight w:val="300"/>
        </w:trPr>
        <w:tc>
          <w:tcPr>
            <w:tcW w:w="1964" w:type="pct"/>
            <w:tcBorders>
              <w:top w:val="nil"/>
              <w:left w:val="single" w:sz="8" w:space="0" w:color="auto"/>
              <w:bottom w:val="nil"/>
              <w:right w:val="single" w:sz="4" w:space="0" w:color="auto"/>
            </w:tcBorders>
            <w:shd w:val="clear" w:color="000000" w:fill="DDEBF7"/>
            <w:noWrap/>
            <w:vAlign w:val="bottom"/>
            <w:hideMark/>
          </w:tcPr>
          <w:p w14:paraId="1276A391" w14:textId="77777777" w:rsidR="00D830A9" w:rsidRPr="00D830A9" w:rsidRDefault="00D830A9" w:rsidP="001C12B3">
            <w:pPr>
              <w:keepNext/>
            </w:pPr>
            <w:r w:rsidRPr="00D830A9">
              <w:t>Societal costs (£'000s)</w:t>
            </w:r>
          </w:p>
        </w:tc>
        <w:tc>
          <w:tcPr>
            <w:tcW w:w="957" w:type="pct"/>
            <w:tcBorders>
              <w:top w:val="nil"/>
              <w:left w:val="nil"/>
              <w:bottom w:val="nil"/>
              <w:right w:val="single" w:sz="4" w:space="0" w:color="auto"/>
            </w:tcBorders>
            <w:shd w:val="clear" w:color="000000" w:fill="DDEBF7"/>
            <w:noWrap/>
            <w:vAlign w:val="bottom"/>
          </w:tcPr>
          <w:p w14:paraId="6C6DAB25" w14:textId="77777777" w:rsidR="00D830A9" w:rsidRPr="00D830A9" w:rsidRDefault="00D830A9" w:rsidP="001C12B3">
            <w:pPr>
              <w:keepNext/>
            </w:pPr>
          </w:p>
        </w:tc>
        <w:tc>
          <w:tcPr>
            <w:tcW w:w="972" w:type="pct"/>
            <w:tcBorders>
              <w:top w:val="nil"/>
              <w:left w:val="nil"/>
              <w:bottom w:val="nil"/>
              <w:right w:val="single" w:sz="4" w:space="0" w:color="auto"/>
            </w:tcBorders>
            <w:shd w:val="clear" w:color="000000" w:fill="DDEBF7"/>
            <w:noWrap/>
            <w:vAlign w:val="bottom"/>
          </w:tcPr>
          <w:p w14:paraId="464B907E" w14:textId="77777777" w:rsidR="00D830A9" w:rsidRPr="00D830A9" w:rsidRDefault="00D830A9" w:rsidP="001C12B3">
            <w:pPr>
              <w:keepNext/>
            </w:pPr>
          </w:p>
        </w:tc>
        <w:tc>
          <w:tcPr>
            <w:tcW w:w="1107" w:type="pct"/>
            <w:tcBorders>
              <w:top w:val="nil"/>
              <w:left w:val="nil"/>
              <w:bottom w:val="nil"/>
              <w:right w:val="single" w:sz="8" w:space="0" w:color="auto"/>
            </w:tcBorders>
            <w:shd w:val="clear" w:color="000000" w:fill="DDEBF7"/>
            <w:noWrap/>
            <w:vAlign w:val="bottom"/>
          </w:tcPr>
          <w:p w14:paraId="5BF31AE5" w14:textId="77777777" w:rsidR="00D830A9" w:rsidRPr="00D830A9" w:rsidRDefault="00D830A9" w:rsidP="001C12B3">
            <w:pPr>
              <w:keepNext/>
            </w:pPr>
          </w:p>
        </w:tc>
      </w:tr>
      <w:tr w:rsidR="00D830A9" w:rsidRPr="00D830A9" w14:paraId="5918DA16"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127AF5D7" w14:textId="77777777" w:rsidR="00D830A9" w:rsidRPr="00D830A9" w:rsidRDefault="00D830A9" w:rsidP="001C12B3">
            <w:pPr>
              <w:keepNext/>
            </w:pPr>
            <w:r w:rsidRPr="00D830A9">
              <w:t>QALY losses attributable to early death</w:t>
            </w:r>
          </w:p>
        </w:tc>
        <w:tc>
          <w:tcPr>
            <w:tcW w:w="957" w:type="pct"/>
            <w:tcBorders>
              <w:top w:val="nil"/>
              <w:left w:val="nil"/>
              <w:bottom w:val="nil"/>
              <w:right w:val="single" w:sz="4" w:space="0" w:color="auto"/>
            </w:tcBorders>
            <w:shd w:val="clear" w:color="auto" w:fill="auto"/>
            <w:noWrap/>
            <w:vAlign w:val="bottom"/>
            <w:hideMark/>
          </w:tcPr>
          <w:p w14:paraId="12360709" w14:textId="77777777" w:rsidR="00D830A9" w:rsidRPr="00D830A9" w:rsidRDefault="00D830A9" w:rsidP="001C12B3">
            <w:pPr>
              <w:keepNext/>
              <w:rPr>
                <w:rFonts w:eastAsia="Times New Roman"/>
              </w:rPr>
            </w:pPr>
            <w:r w:rsidRPr="00D830A9">
              <w:t>£7,226</w:t>
            </w:r>
          </w:p>
        </w:tc>
        <w:tc>
          <w:tcPr>
            <w:tcW w:w="972" w:type="pct"/>
            <w:tcBorders>
              <w:top w:val="nil"/>
              <w:left w:val="nil"/>
              <w:bottom w:val="nil"/>
              <w:right w:val="single" w:sz="4" w:space="0" w:color="auto"/>
            </w:tcBorders>
            <w:shd w:val="clear" w:color="auto" w:fill="auto"/>
            <w:noWrap/>
            <w:vAlign w:val="bottom"/>
            <w:hideMark/>
          </w:tcPr>
          <w:p w14:paraId="3DB89426" w14:textId="77777777" w:rsidR="00D830A9" w:rsidRPr="00D830A9" w:rsidRDefault="00D830A9" w:rsidP="001C12B3">
            <w:pPr>
              <w:keepNext/>
              <w:rPr>
                <w:rFonts w:eastAsia="Times New Roman"/>
                <w:color w:val="000000"/>
              </w:rPr>
            </w:pPr>
            <w:r w:rsidRPr="00D830A9">
              <w:t>£6,048</w:t>
            </w:r>
          </w:p>
        </w:tc>
        <w:tc>
          <w:tcPr>
            <w:tcW w:w="1107" w:type="pct"/>
            <w:tcBorders>
              <w:top w:val="nil"/>
              <w:left w:val="nil"/>
              <w:bottom w:val="nil"/>
              <w:right w:val="single" w:sz="8" w:space="0" w:color="auto"/>
            </w:tcBorders>
            <w:shd w:val="clear" w:color="auto" w:fill="auto"/>
            <w:noWrap/>
            <w:vAlign w:val="bottom"/>
            <w:hideMark/>
          </w:tcPr>
          <w:p w14:paraId="6D185244" w14:textId="77777777" w:rsidR="00D830A9" w:rsidRPr="00D830A9" w:rsidRDefault="00D830A9" w:rsidP="001C12B3">
            <w:pPr>
              <w:keepNext/>
              <w:rPr>
                <w:rFonts w:eastAsia="Times New Roman"/>
                <w:color w:val="000000"/>
              </w:rPr>
            </w:pPr>
            <w:r w:rsidRPr="00D830A9">
              <w:t>-£1,178</w:t>
            </w:r>
          </w:p>
        </w:tc>
      </w:tr>
      <w:tr w:rsidR="00D830A9" w:rsidRPr="00D830A9" w14:paraId="4B18FC22" w14:textId="77777777" w:rsidTr="003D56F0">
        <w:trPr>
          <w:trHeight w:val="300"/>
        </w:trPr>
        <w:tc>
          <w:tcPr>
            <w:tcW w:w="1964" w:type="pct"/>
            <w:tcBorders>
              <w:top w:val="nil"/>
              <w:left w:val="single" w:sz="8" w:space="0" w:color="auto"/>
              <w:bottom w:val="nil"/>
              <w:right w:val="single" w:sz="4" w:space="0" w:color="auto"/>
            </w:tcBorders>
            <w:shd w:val="clear" w:color="auto" w:fill="auto"/>
            <w:noWrap/>
            <w:vAlign w:val="bottom"/>
            <w:hideMark/>
          </w:tcPr>
          <w:p w14:paraId="297360AD" w14:textId="77777777" w:rsidR="00D830A9" w:rsidRPr="00D830A9" w:rsidRDefault="00D830A9" w:rsidP="001C12B3">
            <w:pPr>
              <w:keepNext/>
            </w:pPr>
            <w:r w:rsidRPr="00D830A9">
              <w:t> Number of QALYs</w:t>
            </w:r>
          </w:p>
        </w:tc>
        <w:tc>
          <w:tcPr>
            <w:tcW w:w="957" w:type="pct"/>
            <w:tcBorders>
              <w:top w:val="nil"/>
              <w:left w:val="nil"/>
              <w:bottom w:val="nil"/>
              <w:right w:val="single" w:sz="4" w:space="0" w:color="auto"/>
            </w:tcBorders>
            <w:shd w:val="clear" w:color="auto" w:fill="auto"/>
            <w:noWrap/>
            <w:vAlign w:val="bottom"/>
          </w:tcPr>
          <w:p w14:paraId="4A5088CA" w14:textId="77777777" w:rsidR="00D830A9" w:rsidRPr="00D830A9" w:rsidRDefault="00D830A9" w:rsidP="001C12B3">
            <w:pPr>
              <w:keepNext/>
            </w:pPr>
            <w:r w:rsidRPr="00D830A9">
              <w:t>361.3</w:t>
            </w:r>
          </w:p>
        </w:tc>
        <w:tc>
          <w:tcPr>
            <w:tcW w:w="972" w:type="pct"/>
            <w:tcBorders>
              <w:top w:val="nil"/>
              <w:left w:val="nil"/>
              <w:bottom w:val="nil"/>
              <w:right w:val="single" w:sz="4" w:space="0" w:color="auto"/>
            </w:tcBorders>
            <w:shd w:val="clear" w:color="auto" w:fill="auto"/>
            <w:noWrap/>
            <w:vAlign w:val="bottom"/>
            <w:hideMark/>
          </w:tcPr>
          <w:p w14:paraId="0E9C9337" w14:textId="77777777" w:rsidR="00D830A9" w:rsidRPr="00D830A9" w:rsidRDefault="00D830A9" w:rsidP="001C12B3">
            <w:pPr>
              <w:keepNext/>
              <w:rPr>
                <w:rFonts w:eastAsia="Times New Roman"/>
                <w:color w:val="000000"/>
              </w:rPr>
            </w:pPr>
            <w:r w:rsidRPr="00D830A9">
              <w:t>302.4</w:t>
            </w:r>
          </w:p>
        </w:tc>
        <w:tc>
          <w:tcPr>
            <w:tcW w:w="1107" w:type="pct"/>
            <w:tcBorders>
              <w:top w:val="nil"/>
              <w:left w:val="nil"/>
              <w:bottom w:val="nil"/>
              <w:right w:val="single" w:sz="8" w:space="0" w:color="auto"/>
            </w:tcBorders>
            <w:shd w:val="clear" w:color="auto" w:fill="auto"/>
            <w:noWrap/>
            <w:vAlign w:val="bottom"/>
            <w:hideMark/>
          </w:tcPr>
          <w:p w14:paraId="27C852B0" w14:textId="77777777" w:rsidR="00D830A9" w:rsidRPr="00D830A9" w:rsidRDefault="00D830A9" w:rsidP="001C12B3">
            <w:pPr>
              <w:keepNext/>
              <w:rPr>
                <w:rFonts w:eastAsia="Times New Roman"/>
                <w:color w:val="000000"/>
              </w:rPr>
            </w:pPr>
            <w:r w:rsidRPr="00D830A9">
              <w:t>58.9</w:t>
            </w:r>
          </w:p>
        </w:tc>
      </w:tr>
      <w:tr w:rsidR="00D830A9" w:rsidRPr="00D830A9" w14:paraId="01CDEFDB" w14:textId="77777777" w:rsidTr="003D56F0">
        <w:trPr>
          <w:trHeight w:val="300"/>
        </w:trPr>
        <w:tc>
          <w:tcPr>
            <w:tcW w:w="1964" w:type="pct"/>
            <w:tcBorders>
              <w:top w:val="nil"/>
              <w:left w:val="single" w:sz="8" w:space="0" w:color="auto"/>
              <w:bottom w:val="nil"/>
              <w:right w:val="single" w:sz="4" w:space="0" w:color="auto"/>
            </w:tcBorders>
            <w:shd w:val="clear" w:color="000000" w:fill="DDEBF7"/>
            <w:noWrap/>
            <w:vAlign w:val="bottom"/>
            <w:hideMark/>
          </w:tcPr>
          <w:p w14:paraId="188D8829" w14:textId="77777777" w:rsidR="00D830A9" w:rsidRPr="00D830A9" w:rsidRDefault="00D830A9" w:rsidP="001C12B3">
            <w:pPr>
              <w:keepNext/>
            </w:pPr>
            <w:r w:rsidRPr="00D830A9">
              <w:t>Motivational interviewing costs (£'000s)</w:t>
            </w:r>
          </w:p>
        </w:tc>
        <w:tc>
          <w:tcPr>
            <w:tcW w:w="957" w:type="pct"/>
            <w:tcBorders>
              <w:top w:val="nil"/>
              <w:left w:val="nil"/>
              <w:bottom w:val="nil"/>
              <w:right w:val="single" w:sz="4" w:space="0" w:color="auto"/>
            </w:tcBorders>
            <w:shd w:val="clear" w:color="000000" w:fill="DDEBF7"/>
            <w:noWrap/>
            <w:vAlign w:val="bottom"/>
          </w:tcPr>
          <w:p w14:paraId="08AD3E47" w14:textId="77777777" w:rsidR="00D830A9" w:rsidRPr="00D830A9" w:rsidRDefault="00D830A9" w:rsidP="001C12B3">
            <w:pPr>
              <w:keepNext/>
            </w:pPr>
          </w:p>
        </w:tc>
        <w:tc>
          <w:tcPr>
            <w:tcW w:w="972" w:type="pct"/>
            <w:tcBorders>
              <w:top w:val="nil"/>
              <w:left w:val="nil"/>
              <w:bottom w:val="nil"/>
              <w:right w:val="single" w:sz="4" w:space="0" w:color="auto"/>
            </w:tcBorders>
            <w:shd w:val="clear" w:color="000000" w:fill="DDEBF7"/>
            <w:noWrap/>
            <w:vAlign w:val="bottom"/>
            <w:hideMark/>
          </w:tcPr>
          <w:p w14:paraId="793AD1CD" w14:textId="77777777" w:rsidR="00D830A9" w:rsidRPr="00D830A9" w:rsidRDefault="00D830A9" w:rsidP="001C12B3">
            <w:pPr>
              <w:keepNext/>
              <w:rPr>
                <w:rFonts w:eastAsia="Times New Roman"/>
                <w:color w:val="000000"/>
              </w:rPr>
            </w:pPr>
            <w:r w:rsidRPr="00D830A9">
              <w:t>£26,844</w:t>
            </w:r>
          </w:p>
        </w:tc>
        <w:tc>
          <w:tcPr>
            <w:tcW w:w="1107" w:type="pct"/>
            <w:tcBorders>
              <w:top w:val="nil"/>
              <w:left w:val="nil"/>
              <w:bottom w:val="nil"/>
              <w:right w:val="single" w:sz="8" w:space="0" w:color="auto"/>
            </w:tcBorders>
            <w:shd w:val="clear" w:color="000000" w:fill="DDEBF7"/>
            <w:noWrap/>
            <w:vAlign w:val="bottom"/>
            <w:hideMark/>
          </w:tcPr>
          <w:p w14:paraId="608FA586" w14:textId="77777777" w:rsidR="00D830A9" w:rsidRPr="00D830A9" w:rsidRDefault="00D830A9" w:rsidP="001C12B3">
            <w:pPr>
              <w:keepNext/>
              <w:rPr>
                <w:rFonts w:eastAsia="Times New Roman"/>
                <w:color w:val="000000"/>
              </w:rPr>
            </w:pPr>
            <w:r w:rsidRPr="00D830A9">
              <w:t>£26,844</w:t>
            </w:r>
          </w:p>
        </w:tc>
      </w:tr>
      <w:tr w:rsidR="00D830A9" w:rsidRPr="00D830A9" w14:paraId="5005852C" w14:textId="77777777" w:rsidTr="003D56F0">
        <w:trPr>
          <w:trHeight w:val="315"/>
        </w:trPr>
        <w:tc>
          <w:tcPr>
            <w:tcW w:w="1964" w:type="pct"/>
            <w:tcBorders>
              <w:top w:val="nil"/>
              <w:left w:val="single" w:sz="8" w:space="0" w:color="auto"/>
              <w:bottom w:val="single" w:sz="8" w:space="0" w:color="auto"/>
              <w:right w:val="single" w:sz="4" w:space="0" w:color="auto"/>
            </w:tcBorders>
            <w:shd w:val="clear" w:color="auto" w:fill="auto"/>
            <w:noWrap/>
            <w:vAlign w:val="bottom"/>
            <w:hideMark/>
          </w:tcPr>
          <w:p w14:paraId="547766CB" w14:textId="77777777" w:rsidR="00D830A9" w:rsidRPr="00D830A9" w:rsidRDefault="00D830A9" w:rsidP="001C12B3">
            <w:pPr>
              <w:keepNext/>
            </w:pPr>
            <w:r w:rsidRPr="00D830A9">
              <w:t> </w:t>
            </w:r>
          </w:p>
        </w:tc>
        <w:tc>
          <w:tcPr>
            <w:tcW w:w="957" w:type="pct"/>
            <w:tcBorders>
              <w:top w:val="nil"/>
              <w:left w:val="nil"/>
              <w:bottom w:val="single" w:sz="8" w:space="0" w:color="auto"/>
              <w:right w:val="single" w:sz="4" w:space="0" w:color="auto"/>
            </w:tcBorders>
            <w:shd w:val="clear" w:color="auto" w:fill="auto"/>
            <w:noWrap/>
            <w:vAlign w:val="bottom"/>
            <w:hideMark/>
          </w:tcPr>
          <w:p w14:paraId="03AF6978" w14:textId="77777777" w:rsidR="00D830A9" w:rsidRPr="00D830A9" w:rsidRDefault="00D830A9" w:rsidP="001C12B3">
            <w:pPr>
              <w:keepNext/>
            </w:pPr>
          </w:p>
        </w:tc>
        <w:tc>
          <w:tcPr>
            <w:tcW w:w="972" w:type="pct"/>
            <w:tcBorders>
              <w:top w:val="nil"/>
              <w:left w:val="nil"/>
              <w:bottom w:val="single" w:sz="8" w:space="0" w:color="auto"/>
              <w:right w:val="single" w:sz="4" w:space="0" w:color="auto"/>
            </w:tcBorders>
            <w:shd w:val="clear" w:color="auto" w:fill="auto"/>
            <w:noWrap/>
            <w:hideMark/>
          </w:tcPr>
          <w:p w14:paraId="7B6DE467" w14:textId="77777777" w:rsidR="00D830A9" w:rsidRPr="00D830A9" w:rsidRDefault="00D830A9" w:rsidP="001C12B3">
            <w:pPr>
              <w:keepNext/>
            </w:pPr>
          </w:p>
        </w:tc>
        <w:tc>
          <w:tcPr>
            <w:tcW w:w="1107" w:type="pct"/>
            <w:tcBorders>
              <w:top w:val="nil"/>
              <w:left w:val="nil"/>
              <w:bottom w:val="single" w:sz="8" w:space="0" w:color="auto"/>
              <w:right w:val="single" w:sz="8" w:space="0" w:color="auto"/>
            </w:tcBorders>
            <w:shd w:val="clear" w:color="auto" w:fill="auto"/>
            <w:noWrap/>
            <w:hideMark/>
          </w:tcPr>
          <w:p w14:paraId="41E02C05" w14:textId="77777777" w:rsidR="00D830A9" w:rsidRPr="00D830A9" w:rsidRDefault="00D830A9" w:rsidP="001C12B3">
            <w:pPr>
              <w:keepNext/>
            </w:pPr>
          </w:p>
        </w:tc>
      </w:tr>
    </w:tbl>
    <w:p w14:paraId="1613035B" w14:textId="432DF1D9" w:rsidR="00D00623" w:rsidRDefault="00D00623"/>
    <w:p w14:paraId="01291BCC" w14:textId="19E8E15E" w:rsidR="008136FA" w:rsidRDefault="00440A0B" w:rsidP="001C12B3">
      <w:pPr>
        <w:pStyle w:val="Caption"/>
      </w:pPr>
      <w:r>
        <w:lastRenderedPageBreak/>
        <w:t>T</w:t>
      </w:r>
      <w:bookmarkStart w:id="51" w:name="_Ref451257347"/>
      <w:r w:rsidR="008136FA">
        <w:t xml:space="preserve">able </w:t>
      </w:r>
      <w:fldSimple w:instr=" SEQ Table \* ARABIC ">
        <w:r w:rsidR="00D00623">
          <w:rPr>
            <w:noProof/>
          </w:rPr>
          <w:t>7</w:t>
        </w:r>
      </w:fldSimple>
      <w:bookmarkEnd w:id="51"/>
      <w:r w:rsidR="008136FA">
        <w:t xml:space="preserve">. </w:t>
      </w:r>
      <w:r w:rsidR="008136FA" w:rsidRPr="00A35AE1">
        <w:t>Model Results</w:t>
      </w:r>
      <w:r w:rsidR="008136FA">
        <w:t xml:space="preserve"> – Ecstasy MI Intervention, 25-59 year olds</w:t>
      </w:r>
    </w:p>
    <w:tbl>
      <w:tblPr>
        <w:tblW w:w="9006" w:type="dxa"/>
        <w:tblLook w:val="04A0" w:firstRow="1" w:lastRow="0" w:firstColumn="1" w:lastColumn="0" w:noHBand="0" w:noVBand="1"/>
      </w:tblPr>
      <w:tblGrid>
        <w:gridCol w:w="4031"/>
        <w:gridCol w:w="1661"/>
        <w:gridCol w:w="1763"/>
        <w:gridCol w:w="1551"/>
      </w:tblGrid>
      <w:tr w:rsidR="00D830A9" w:rsidRPr="00D830A9" w14:paraId="373484DA" w14:textId="77777777" w:rsidTr="00D830A9">
        <w:trPr>
          <w:trHeight w:val="375"/>
        </w:trPr>
        <w:tc>
          <w:tcPr>
            <w:tcW w:w="9006"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29AB99B5" w14:textId="77777777" w:rsidR="00D830A9" w:rsidRPr="00D830A9" w:rsidRDefault="00D830A9" w:rsidP="001C12B3">
            <w:pPr>
              <w:keepNext/>
            </w:pPr>
            <w:r w:rsidRPr="00D830A9">
              <w:t>25-59 year olds</w:t>
            </w:r>
          </w:p>
        </w:tc>
      </w:tr>
      <w:tr w:rsidR="00F76BBC" w:rsidRPr="00D830A9" w14:paraId="3F6407ED" w14:textId="77777777" w:rsidTr="00D830A9">
        <w:trPr>
          <w:trHeight w:val="390"/>
        </w:trPr>
        <w:tc>
          <w:tcPr>
            <w:tcW w:w="4031" w:type="dxa"/>
            <w:tcBorders>
              <w:top w:val="nil"/>
              <w:left w:val="single" w:sz="8" w:space="0" w:color="auto"/>
              <w:bottom w:val="single" w:sz="8" w:space="0" w:color="auto"/>
              <w:right w:val="single" w:sz="4" w:space="0" w:color="auto"/>
            </w:tcBorders>
            <w:shd w:val="clear" w:color="000000" w:fill="9BC2E6"/>
            <w:noWrap/>
            <w:vAlign w:val="bottom"/>
            <w:hideMark/>
          </w:tcPr>
          <w:p w14:paraId="74D97FB3" w14:textId="77777777" w:rsidR="00F76BBC" w:rsidRPr="00D830A9" w:rsidRDefault="00F76BBC" w:rsidP="001C12B3">
            <w:pPr>
              <w:keepNext/>
            </w:pPr>
            <w:r w:rsidRPr="00D830A9">
              <w:t> </w:t>
            </w:r>
          </w:p>
        </w:tc>
        <w:tc>
          <w:tcPr>
            <w:tcW w:w="1661" w:type="dxa"/>
            <w:tcBorders>
              <w:top w:val="nil"/>
              <w:left w:val="nil"/>
              <w:bottom w:val="single" w:sz="8" w:space="0" w:color="auto"/>
              <w:right w:val="single" w:sz="4" w:space="0" w:color="auto"/>
            </w:tcBorders>
            <w:shd w:val="clear" w:color="000000" w:fill="9BC2E6"/>
            <w:noWrap/>
            <w:vAlign w:val="bottom"/>
            <w:hideMark/>
          </w:tcPr>
          <w:p w14:paraId="5704F46E" w14:textId="13F32B0F" w:rsidR="00F76BBC" w:rsidRPr="00D830A9" w:rsidRDefault="00F76BBC" w:rsidP="001C12B3">
            <w:pPr>
              <w:keepNext/>
            </w:pPr>
            <w:r>
              <w:t>Comparator</w:t>
            </w:r>
          </w:p>
        </w:tc>
        <w:tc>
          <w:tcPr>
            <w:tcW w:w="1763" w:type="dxa"/>
            <w:tcBorders>
              <w:top w:val="nil"/>
              <w:left w:val="nil"/>
              <w:bottom w:val="single" w:sz="8" w:space="0" w:color="auto"/>
              <w:right w:val="single" w:sz="4" w:space="0" w:color="auto"/>
            </w:tcBorders>
            <w:shd w:val="clear" w:color="000000" w:fill="9BC2E6"/>
            <w:noWrap/>
            <w:vAlign w:val="bottom"/>
            <w:hideMark/>
          </w:tcPr>
          <w:p w14:paraId="74220A48" w14:textId="72C78808" w:rsidR="00F76BBC" w:rsidRPr="00D830A9" w:rsidRDefault="00F76BBC" w:rsidP="001C12B3">
            <w:pPr>
              <w:keepNext/>
            </w:pPr>
            <w:r>
              <w:t>Intervention</w:t>
            </w:r>
          </w:p>
        </w:tc>
        <w:tc>
          <w:tcPr>
            <w:tcW w:w="1551" w:type="dxa"/>
            <w:tcBorders>
              <w:top w:val="nil"/>
              <w:left w:val="nil"/>
              <w:bottom w:val="single" w:sz="8" w:space="0" w:color="auto"/>
              <w:right w:val="single" w:sz="8" w:space="0" w:color="auto"/>
            </w:tcBorders>
            <w:shd w:val="clear" w:color="000000" w:fill="9BC2E6"/>
            <w:noWrap/>
            <w:vAlign w:val="bottom"/>
            <w:hideMark/>
          </w:tcPr>
          <w:p w14:paraId="58F162B1" w14:textId="6BBA93D7" w:rsidR="00F76BBC" w:rsidRPr="00D830A9" w:rsidRDefault="00F76BBC" w:rsidP="001C12B3">
            <w:pPr>
              <w:keepNext/>
            </w:pPr>
            <w:r>
              <w:t>Incremental</w:t>
            </w:r>
          </w:p>
        </w:tc>
      </w:tr>
      <w:tr w:rsidR="00D830A9" w:rsidRPr="00D830A9" w14:paraId="18DB9004" w14:textId="77777777" w:rsidTr="00D830A9">
        <w:trPr>
          <w:trHeight w:val="300"/>
        </w:trPr>
        <w:tc>
          <w:tcPr>
            <w:tcW w:w="4031" w:type="dxa"/>
            <w:tcBorders>
              <w:top w:val="nil"/>
              <w:left w:val="single" w:sz="8" w:space="0" w:color="auto"/>
              <w:bottom w:val="nil"/>
              <w:right w:val="single" w:sz="4" w:space="0" w:color="auto"/>
            </w:tcBorders>
            <w:shd w:val="clear" w:color="000000" w:fill="DDEBF7"/>
            <w:noWrap/>
            <w:vAlign w:val="bottom"/>
            <w:hideMark/>
          </w:tcPr>
          <w:p w14:paraId="7B90F0F3" w14:textId="77777777" w:rsidR="00D830A9" w:rsidRPr="00D830A9" w:rsidRDefault="00D830A9" w:rsidP="001C12B3">
            <w:pPr>
              <w:keepNext/>
            </w:pPr>
            <w:r w:rsidRPr="00D830A9">
              <w:t>Total annual costs (£'000s)</w:t>
            </w:r>
          </w:p>
        </w:tc>
        <w:tc>
          <w:tcPr>
            <w:tcW w:w="1661" w:type="dxa"/>
            <w:tcBorders>
              <w:top w:val="nil"/>
              <w:left w:val="nil"/>
              <w:bottom w:val="nil"/>
              <w:right w:val="single" w:sz="4" w:space="0" w:color="auto"/>
            </w:tcBorders>
            <w:shd w:val="clear" w:color="000000" w:fill="DDEBF7"/>
            <w:noWrap/>
            <w:vAlign w:val="bottom"/>
            <w:hideMark/>
          </w:tcPr>
          <w:p w14:paraId="0278A307" w14:textId="77777777" w:rsidR="00D830A9" w:rsidRPr="00D830A9" w:rsidRDefault="00D830A9" w:rsidP="001C12B3">
            <w:pPr>
              <w:keepNext/>
              <w:rPr>
                <w:rFonts w:eastAsia="Times New Roman"/>
              </w:rPr>
            </w:pPr>
            <w:r w:rsidRPr="00D830A9">
              <w:t>£5,659</w:t>
            </w:r>
          </w:p>
        </w:tc>
        <w:tc>
          <w:tcPr>
            <w:tcW w:w="1763" w:type="dxa"/>
            <w:tcBorders>
              <w:top w:val="nil"/>
              <w:left w:val="nil"/>
              <w:bottom w:val="nil"/>
              <w:right w:val="single" w:sz="4" w:space="0" w:color="auto"/>
            </w:tcBorders>
            <w:shd w:val="clear" w:color="000000" w:fill="DDEBF7"/>
            <w:noWrap/>
            <w:vAlign w:val="bottom"/>
            <w:hideMark/>
          </w:tcPr>
          <w:p w14:paraId="6912E3AF" w14:textId="77777777" w:rsidR="00D830A9" w:rsidRPr="00D830A9" w:rsidRDefault="00D830A9" w:rsidP="001C12B3">
            <w:pPr>
              <w:keepNext/>
              <w:rPr>
                <w:rFonts w:eastAsia="Times New Roman"/>
                <w:color w:val="000000"/>
              </w:rPr>
            </w:pPr>
            <w:r w:rsidRPr="00D830A9">
              <w:t>£20,633</w:t>
            </w:r>
          </w:p>
        </w:tc>
        <w:tc>
          <w:tcPr>
            <w:tcW w:w="1551" w:type="dxa"/>
            <w:tcBorders>
              <w:top w:val="nil"/>
              <w:left w:val="nil"/>
              <w:bottom w:val="nil"/>
              <w:right w:val="single" w:sz="8" w:space="0" w:color="auto"/>
            </w:tcBorders>
            <w:shd w:val="clear" w:color="000000" w:fill="DDEBF7"/>
            <w:noWrap/>
            <w:vAlign w:val="bottom"/>
            <w:hideMark/>
          </w:tcPr>
          <w:p w14:paraId="14B5ADDC" w14:textId="77777777" w:rsidR="00D830A9" w:rsidRPr="00D830A9" w:rsidRDefault="00D830A9" w:rsidP="001C12B3">
            <w:pPr>
              <w:keepNext/>
              <w:rPr>
                <w:rFonts w:eastAsia="Times New Roman"/>
                <w:color w:val="000000"/>
              </w:rPr>
            </w:pPr>
            <w:r w:rsidRPr="00D830A9">
              <w:t>£14,974</w:t>
            </w:r>
          </w:p>
        </w:tc>
      </w:tr>
      <w:tr w:rsidR="00D830A9" w:rsidRPr="00D830A9" w14:paraId="4F11D1CD"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3A309AAF" w14:textId="77777777" w:rsidR="00D830A9" w:rsidRPr="00D830A9" w:rsidRDefault="00D830A9" w:rsidP="001C12B3">
            <w:pPr>
              <w:keepNext/>
            </w:pPr>
            <w:r w:rsidRPr="00D830A9">
              <w:t>Cost per Ecstasy user (£)</w:t>
            </w:r>
          </w:p>
        </w:tc>
        <w:tc>
          <w:tcPr>
            <w:tcW w:w="1661" w:type="dxa"/>
            <w:tcBorders>
              <w:top w:val="nil"/>
              <w:left w:val="nil"/>
              <w:bottom w:val="nil"/>
              <w:right w:val="single" w:sz="4" w:space="0" w:color="auto"/>
            </w:tcBorders>
            <w:shd w:val="clear" w:color="auto" w:fill="auto"/>
            <w:noWrap/>
            <w:vAlign w:val="bottom"/>
            <w:hideMark/>
          </w:tcPr>
          <w:p w14:paraId="75AAEC02" w14:textId="77777777" w:rsidR="00D830A9" w:rsidRPr="00D830A9" w:rsidRDefault="00D830A9" w:rsidP="001C12B3">
            <w:pPr>
              <w:keepNext/>
              <w:rPr>
                <w:rFonts w:eastAsia="Times New Roman"/>
              </w:rPr>
            </w:pPr>
            <w:r w:rsidRPr="00D830A9">
              <w:t>£24</w:t>
            </w:r>
          </w:p>
        </w:tc>
        <w:tc>
          <w:tcPr>
            <w:tcW w:w="1763" w:type="dxa"/>
            <w:tcBorders>
              <w:top w:val="nil"/>
              <w:left w:val="nil"/>
              <w:bottom w:val="nil"/>
              <w:right w:val="single" w:sz="4" w:space="0" w:color="auto"/>
            </w:tcBorders>
            <w:shd w:val="clear" w:color="auto" w:fill="auto"/>
            <w:noWrap/>
            <w:vAlign w:val="bottom"/>
            <w:hideMark/>
          </w:tcPr>
          <w:p w14:paraId="392D1106" w14:textId="77777777" w:rsidR="00D830A9" w:rsidRPr="00D830A9" w:rsidRDefault="00D830A9" w:rsidP="001C12B3">
            <w:pPr>
              <w:keepNext/>
              <w:rPr>
                <w:rFonts w:eastAsia="Times New Roman"/>
                <w:color w:val="000000"/>
              </w:rPr>
            </w:pPr>
            <w:r w:rsidRPr="00D830A9">
              <w:t>£87</w:t>
            </w:r>
          </w:p>
        </w:tc>
        <w:tc>
          <w:tcPr>
            <w:tcW w:w="1551" w:type="dxa"/>
            <w:tcBorders>
              <w:top w:val="nil"/>
              <w:left w:val="nil"/>
              <w:bottom w:val="nil"/>
              <w:right w:val="single" w:sz="8" w:space="0" w:color="auto"/>
            </w:tcBorders>
            <w:shd w:val="clear" w:color="auto" w:fill="auto"/>
            <w:noWrap/>
            <w:vAlign w:val="bottom"/>
            <w:hideMark/>
          </w:tcPr>
          <w:p w14:paraId="10F2D63E" w14:textId="77777777" w:rsidR="00D830A9" w:rsidRPr="00D830A9" w:rsidRDefault="00D830A9" w:rsidP="001C12B3">
            <w:pPr>
              <w:keepNext/>
              <w:rPr>
                <w:rFonts w:eastAsia="Times New Roman"/>
                <w:color w:val="000000"/>
              </w:rPr>
            </w:pPr>
            <w:r w:rsidRPr="00D830A9">
              <w:t>£63</w:t>
            </w:r>
          </w:p>
        </w:tc>
      </w:tr>
      <w:tr w:rsidR="00D830A9" w:rsidRPr="00D830A9" w14:paraId="2B150EEE"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79AA9809" w14:textId="77777777" w:rsidR="00D830A9" w:rsidRPr="00D830A9" w:rsidRDefault="00D830A9" w:rsidP="001C12B3">
            <w:pPr>
              <w:keepNext/>
            </w:pPr>
            <w:r w:rsidRPr="00D830A9">
              <w:t> </w:t>
            </w:r>
          </w:p>
        </w:tc>
        <w:tc>
          <w:tcPr>
            <w:tcW w:w="1661" w:type="dxa"/>
            <w:tcBorders>
              <w:top w:val="nil"/>
              <w:left w:val="nil"/>
              <w:bottom w:val="nil"/>
              <w:right w:val="single" w:sz="4" w:space="0" w:color="auto"/>
            </w:tcBorders>
            <w:shd w:val="clear" w:color="auto" w:fill="auto"/>
            <w:noWrap/>
            <w:vAlign w:val="bottom"/>
            <w:hideMark/>
          </w:tcPr>
          <w:p w14:paraId="2097870F" w14:textId="77777777" w:rsidR="00D830A9" w:rsidRPr="00D830A9" w:rsidRDefault="00D830A9" w:rsidP="001C12B3">
            <w:pPr>
              <w:keepNext/>
            </w:pPr>
          </w:p>
        </w:tc>
        <w:tc>
          <w:tcPr>
            <w:tcW w:w="1763" w:type="dxa"/>
            <w:tcBorders>
              <w:top w:val="nil"/>
              <w:left w:val="nil"/>
              <w:bottom w:val="nil"/>
              <w:right w:val="single" w:sz="4" w:space="0" w:color="auto"/>
            </w:tcBorders>
            <w:shd w:val="clear" w:color="auto" w:fill="auto"/>
            <w:noWrap/>
            <w:vAlign w:val="bottom"/>
            <w:hideMark/>
          </w:tcPr>
          <w:p w14:paraId="7025129A" w14:textId="77777777" w:rsidR="00D830A9" w:rsidRPr="00D830A9" w:rsidRDefault="00D830A9" w:rsidP="001C12B3">
            <w:pPr>
              <w:keepNext/>
            </w:pPr>
          </w:p>
        </w:tc>
        <w:tc>
          <w:tcPr>
            <w:tcW w:w="1551" w:type="dxa"/>
            <w:tcBorders>
              <w:top w:val="nil"/>
              <w:left w:val="nil"/>
              <w:bottom w:val="nil"/>
              <w:right w:val="single" w:sz="8" w:space="0" w:color="auto"/>
            </w:tcBorders>
            <w:shd w:val="clear" w:color="auto" w:fill="auto"/>
            <w:noWrap/>
            <w:vAlign w:val="bottom"/>
            <w:hideMark/>
          </w:tcPr>
          <w:p w14:paraId="59479B13" w14:textId="77777777" w:rsidR="00D830A9" w:rsidRPr="00D830A9" w:rsidRDefault="00D830A9" w:rsidP="001C12B3">
            <w:pPr>
              <w:keepNext/>
            </w:pPr>
          </w:p>
        </w:tc>
      </w:tr>
      <w:tr w:rsidR="00D830A9" w:rsidRPr="00D830A9" w14:paraId="6088196F" w14:textId="77777777" w:rsidTr="00D830A9">
        <w:trPr>
          <w:trHeight w:val="300"/>
        </w:trPr>
        <w:tc>
          <w:tcPr>
            <w:tcW w:w="4031" w:type="dxa"/>
            <w:tcBorders>
              <w:top w:val="nil"/>
              <w:left w:val="single" w:sz="8" w:space="0" w:color="auto"/>
              <w:bottom w:val="nil"/>
              <w:right w:val="single" w:sz="4" w:space="0" w:color="auto"/>
            </w:tcBorders>
            <w:shd w:val="clear" w:color="000000" w:fill="DDEBF7"/>
            <w:noWrap/>
            <w:vAlign w:val="bottom"/>
            <w:hideMark/>
          </w:tcPr>
          <w:p w14:paraId="61EA90EF" w14:textId="77777777" w:rsidR="00D830A9" w:rsidRPr="00D830A9" w:rsidRDefault="00D830A9" w:rsidP="001C12B3">
            <w:pPr>
              <w:keepNext/>
            </w:pPr>
            <w:r w:rsidRPr="00D830A9">
              <w:t>Total healthcare costs (£'000s)</w:t>
            </w:r>
          </w:p>
        </w:tc>
        <w:tc>
          <w:tcPr>
            <w:tcW w:w="1661" w:type="dxa"/>
            <w:tcBorders>
              <w:top w:val="nil"/>
              <w:left w:val="nil"/>
              <w:bottom w:val="nil"/>
              <w:right w:val="single" w:sz="4" w:space="0" w:color="auto"/>
            </w:tcBorders>
            <w:shd w:val="clear" w:color="000000" w:fill="DDEBF7"/>
            <w:noWrap/>
            <w:vAlign w:val="bottom"/>
            <w:hideMark/>
          </w:tcPr>
          <w:p w14:paraId="7EC6FDCF" w14:textId="77777777" w:rsidR="00D830A9" w:rsidRPr="00D830A9" w:rsidRDefault="00D830A9" w:rsidP="001C12B3">
            <w:pPr>
              <w:keepNext/>
              <w:rPr>
                <w:rFonts w:eastAsia="Times New Roman"/>
              </w:rPr>
            </w:pPr>
            <w:r w:rsidRPr="00D830A9">
              <w:t>£801</w:t>
            </w:r>
          </w:p>
        </w:tc>
        <w:tc>
          <w:tcPr>
            <w:tcW w:w="1763" w:type="dxa"/>
            <w:tcBorders>
              <w:top w:val="nil"/>
              <w:left w:val="nil"/>
              <w:bottom w:val="nil"/>
              <w:right w:val="single" w:sz="4" w:space="0" w:color="auto"/>
            </w:tcBorders>
            <w:shd w:val="clear" w:color="000000" w:fill="DDEBF7"/>
            <w:noWrap/>
            <w:vAlign w:val="bottom"/>
            <w:hideMark/>
          </w:tcPr>
          <w:p w14:paraId="3303D800" w14:textId="77777777" w:rsidR="00D830A9" w:rsidRPr="00D830A9" w:rsidRDefault="00D830A9" w:rsidP="001C12B3">
            <w:pPr>
              <w:keepNext/>
              <w:rPr>
                <w:rFonts w:eastAsia="Times New Roman"/>
                <w:color w:val="000000"/>
              </w:rPr>
            </w:pPr>
            <w:r w:rsidRPr="00D830A9">
              <w:t>£671</w:t>
            </w:r>
          </w:p>
        </w:tc>
        <w:tc>
          <w:tcPr>
            <w:tcW w:w="1551" w:type="dxa"/>
            <w:tcBorders>
              <w:top w:val="nil"/>
              <w:left w:val="nil"/>
              <w:bottom w:val="nil"/>
              <w:right w:val="single" w:sz="8" w:space="0" w:color="auto"/>
            </w:tcBorders>
            <w:shd w:val="clear" w:color="000000" w:fill="DDEBF7"/>
            <w:noWrap/>
            <w:vAlign w:val="bottom"/>
            <w:hideMark/>
          </w:tcPr>
          <w:p w14:paraId="35823DC2" w14:textId="77777777" w:rsidR="00D830A9" w:rsidRPr="00D830A9" w:rsidRDefault="00D830A9" w:rsidP="001C12B3">
            <w:pPr>
              <w:keepNext/>
              <w:rPr>
                <w:rFonts w:eastAsia="Times New Roman"/>
                <w:color w:val="000000"/>
              </w:rPr>
            </w:pPr>
            <w:r w:rsidRPr="00D830A9">
              <w:t>-£131</w:t>
            </w:r>
          </w:p>
        </w:tc>
      </w:tr>
      <w:tr w:rsidR="00D830A9" w:rsidRPr="00D830A9" w14:paraId="47058CD9"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6044AEFC" w14:textId="77777777" w:rsidR="00D830A9" w:rsidRPr="00D830A9" w:rsidRDefault="00D830A9" w:rsidP="001C12B3">
            <w:pPr>
              <w:keepNext/>
            </w:pPr>
            <w:r w:rsidRPr="00D830A9">
              <w:t>Ambulance costs</w:t>
            </w:r>
          </w:p>
        </w:tc>
        <w:tc>
          <w:tcPr>
            <w:tcW w:w="1661" w:type="dxa"/>
            <w:tcBorders>
              <w:top w:val="nil"/>
              <w:left w:val="nil"/>
              <w:bottom w:val="nil"/>
              <w:right w:val="single" w:sz="4" w:space="0" w:color="auto"/>
            </w:tcBorders>
            <w:shd w:val="clear" w:color="auto" w:fill="auto"/>
            <w:noWrap/>
            <w:vAlign w:val="bottom"/>
            <w:hideMark/>
          </w:tcPr>
          <w:p w14:paraId="45F9D675" w14:textId="77777777" w:rsidR="00D830A9" w:rsidRPr="00D830A9" w:rsidRDefault="00D830A9" w:rsidP="001C12B3">
            <w:pPr>
              <w:keepNext/>
              <w:rPr>
                <w:rFonts w:eastAsia="Times New Roman"/>
              </w:rPr>
            </w:pPr>
            <w:r w:rsidRPr="00D830A9">
              <w:t>£88</w:t>
            </w:r>
          </w:p>
        </w:tc>
        <w:tc>
          <w:tcPr>
            <w:tcW w:w="1763" w:type="dxa"/>
            <w:tcBorders>
              <w:top w:val="nil"/>
              <w:left w:val="nil"/>
              <w:bottom w:val="nil"/>
              <w:right w:val="single" w:sz="4" w:space="0" w:color="auto"/>
            </w:tcBorders>
            <w:shd w:val="clear" w:color="auto" w:fill="auto"/>
            <w:noWrap/>
            <w:vAlign w:val="bottom"/>
            <w:hideMark/>
          </w:tcPr>
          <w:p w14:paraId="1CA52956" w14:textId="77777777" w:rsidR="00D830A9" w:rsidRPr="00D830A9" w:rsidRDefault="00D830A9" w:rsidP="001C12B3">
            <w:pPr>
              <w:keepNext/>
              <w:rPr>
                <w:rFonts w:eastAsia="Times New Roman"/>
                <w:color w:val="000000"/>
              </w:rPr>
            </w:pPr>
            <w:r w:rsidRPr="00D830A9">
              <w:t>£73</w:t>
            </w:r>
          </w:p>
        </w:tc>
        <w:tc>
          <w:tcPr>
            <w:tcW w:w="1551" w:type="dxa"/>
            <w:tcBorders>
              <w:top w:val="nil"/>
              <w:left w:val="nil"/>
              <w:bottom w:val="nil"/>
              <w:right w:val="single" w:sz="8" w:space="0" w:color="auto"/>
            </w:tcBorders>
            <w:shd w:val="clear" w:color="auto" w:fill="auto"/>
            <w:noWrap/>
            <w:vAlign w:val="bottom"/>
            <w:hideMark/>
          </w:tcPr>
          <w:p w14:paraId="072F9220" w14:textId="77777777" w:rsidR="00D830A9" w:rsidRPr="00D830A9" w:rsidRDefault="00D830A9" w:rsidP="001C12B3">
            <w:pPr>
              <w:keepNext/>
              <w:rPr>
                <w:rFonts w:eastAsia="Times New Roman"/>
                <w:color w:val="000000"/>
              </w:rPr>
            </w:pPr>
            <w:r w:rsidRPr="00D830A9">
              <w:t>-£14</w:t>
            </w:r>
          </w:p>
        </w:tc>
      </w:tr>
      <w:tr w:rsidR="00D830A9" w:rsidRPr="00D830A9" w14:paraId="1BD00B66"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3AF935A7" w14:textId="77777777" w:rsidR="00D830A9" w:rsidRPr="00D830A9" w:rsidRDefault="00D830A9" w:rsidP="001C12B3">
            <w:pPr>
              <w:keepNext/>
            </w:pPr>
            <w:r w:rsidRPr="00D830A9">
              <w:t>A&amp;E costs</w:t>
            </w:r>
          </w:p>
        </w:tc>
        <w:tc>
          <w:tcPr>
            <w:tcW w:w="1661" w:type="dxa"/>
            <w:tcBorders>
              <w:top w:val="nil"/>
              <w:left w:val="nil"/>
              <w:bottom w:val="nil"/>
              <w:right w:val="single" w:sz="4" w:space="0" w:color="auto"/>
            </w:tcBorders>
            <w:shd w:val="clear" w:color="auto" w:fill="auto"/>
            <w:noWrap/>
            <w:vAlign w:val="bottom"/>
            <w:hideMark/>
          </w:tcPr>
          <w:p w14:paraId="058C12D3" w14:textId="77777777" w:rsidR="00D830A9" w:rsidRPr="00D830A9" w:rsidRDefault="00D830A9" w:rsidP="001C12B3">
            <w:pPr>
              <w:keepNext/>
              <w:rPr>
                <w:rFonts w:eastAsia="Times New Roman"/>
              </w:rPr>
            </w:pPr>
            <w:r w:rsidRPr="00D830A9">
              <w:t>£68</w:t>
            </w:r>
          </w:p>
        </w:tc>
        <w:tc>
          <w:tcPr>
            <w:tcW w:w="1763" w:type="dxa"/>
            <w:tcBorders>
              <w:top w:val="nil"/>
              <w:left w:val="nil"/>
              <w:bottom w:val="nil"/>
              <w:right w:val="single" w:sz="4" w:space="0" w:color="auto"/>
            </w:tcBorders>
            <w:shd w:val="clear" w:color="auto" w:fill="auto"/>
            <w:noWrap/>
            <w:vAlign w:val="bottom"/>
            <w:hideMark/>
          </w:tcPr>
          <w:p w14:paraId="69BAE33E" w14:textId="77777777" w:rsidR="00D830A9" w:rsidRPr="00D830A9" w:rsidRDefault="00D830A9" w:rsidP="001C12B3">
            <w:pPr>
              <w:keepNext/>
              <w:rPr>
                <w:rFonts w:eastAsia="Times New Roman"/>
                <w:color w:val="000000"/>
              </w:rPr>
            </w:pPr>
            <w:r w:rsidRPr="00D830A9">
              <w:t>£57</w:t>
            </w:r>
          </w:p>
        </w:tc>
        <w:tc>
          <w:tcPr>
            <w:tcW w:w="1551" w:type="dxa"/>
            <w:tcBorders>
              <w:top w:val="nil"/>
              <w:left w:val="nil"/>
              <w:bottom w:val="nil"/>
              <w:right w:val="single" w:sz="8" w:space="0" w:color="auto"/>
            </w:tcBorders>
            <w:shd w:val="clear" w:color="auto" w:fill="auto"/>
            <w:noWrap/>
            <w:vAlign w:val="bottom"/>
            <w:hideMark/>
          </w:tcPr>
          <w:p w14:paraId="41ACC360" w14:textId="77777777" w:rsidR="00D830A9" w:rsidRPr="00D830A9" w:rsidRDefault="00D830A9" w:rsidP="001C12B3">
            <w:pPr>
              <w:keepNext/>
              <w:rPr>
                <w:rFonts w:eastAsia="Times New Roman"/>
                <w:color w:val="000000"/>
              </w:rPr>
            </w:pPr>
            <w:r w:rsidRPr="00D830A9">
              <w:t>-£11</w:t>
            </w:r>
          </w:p>
        </w:tc>
      </w:tr>
      <w:tr w:rsidR="00D830A9" w:rsidRPr="00D830A9" w14:paraId="648396CE"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17521383" w14:textId="77777777" w:rsidR="00D830A9" w:rsidRPr="00D830A9" w:rsidRDefault="00D830A9" w:rsidP="001C12B3">
            <w:pPr>
              <w:keepNext/>
            </w:pPr>
            <w:r w:rsidRPr="00D830A9">
              <w:t>Inpatient admission costs</w:t>
            </w:r>
          </w:p>
        </w:tc>
        <w:tc>
          <w:tcPr>
            <w:tcW w:w="1661" w:type="dxa"/>
            <w:tcBorders>
              <w:top w:val="nil"/>
              <w:left w:val="nil"/>
              <w:bottom w:val="nil"/>
              <w:right w:val="single" w:sz="4" w:space="0" w:color="auto"/>
            </w:tcBorders>
            <w:shd w:val="clear" w:color="auto" w:fill="auto"/>
            <w:noWrap/>
            <w:vAlign w:val="bottom"/>
            <w:hideMark/>
          </w:tcPr>
          <w:p w14:paraId="42C338B2" w14:textId="77777777" w:rsidR="00D830A9" w:rsidRPr="00D830A9" w:rsidRDefault="00D830A9" w:rsidP="001C12B3">
            <w:pPr>
              <w:keepNext/>
              <w:rPr>
                <w:rFonts w:eastAsia="Times New Roman"/>
              </w:rPr>
            </w:pPr>
            <w:r w:rsidRPr="00D830A9">
              <w:t>£219</w:t>
            </w:r>
          </w:p>
        </w:tc>
        <w:tc>
          <w:tcPr>
            <w:tcW w:w="1763" w:type="dxa"/>
            <w:tcBorders>
              <w:top w:val="nil"/>
              <w:left w:val="nil"/>
              <w:bottom w:val="nil"/>
              <w:right w:val="single" w:sz="4" w:space="0" w:color="auto"/>
            </w:tcBorders>
            <w:shd w:val="clear" w:color="auto" w:fill="auto"/>
            <w:noWrap/>
            <w:vAlign w:val="bottom"/>
            <w:hideMark/>
          </w:tcPr>
          <w:p w14:paraId="5662CFAB" w14:textId="77777777" w:rsidR="00D830A9" w:rsidRPr="00D830A9" w:rsidRDefault="00D830A9" w:rsidP="001C12B3">
            <w:pPr>
              <w:keepNext/>
              <w:rPr>
                <w:rFonts w:eastAsia="Times New Roman"/>
                <w:color w:val="000000"/>
              </w:rPr>
            </w:pPr>
            <w:r w:rsidRPr="00D830A9">
              <w:t>£183</w:t>
            </w:r>
          </w:p>
        </w:tc>
        <w:tc>
          <w:tcPr>
            <w:tcW w:w="1551" w:type="dxa"/>
            <w:tcBorders>
              <w:top w:val="nil"/>
              <w:left w:val="nil"/>
              <w:bottom w:val="nil"/>
              <w:right w:val="single" w:sz="8" w:space="0" w:color="auto"/>
            </w:tcBorders>
            <w:shd w:val="clear" w:color="auto" w:fill="auto"/>
            <w:noWrap/>
            <w:vAlign w:val="bottom"/>
            <w:hideMark/>
          </w:tcPr>
          <w:p w14:paraId="27C5A625" w14:textId="77777777" w:rsidR="00D830A9" w:rsidRPr="00D830A9" w:rsidRDefault="00D830A9" w:rsidP="001C12B3">
            <w:pPr>
              <w:keepNext/>
              <w:rPr>
                <w:rFonts w:eastAsia="Times New Roman"/>
                <w:color w:val="000000"/>
              </w:rPr>
            </w:pPr>
            <w:r w:rsidRPr="00D830A9">
              <w:t>-£36</w:t>
            </w:r>
          </w:p>
        </w:tc>
      </w:tr>
      <w:tr w:rsidR="00D830A9" w:rsidRPr="00D830A9" w14:paraId="4E167E4A"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273D53F9" w14:textId="77777777" w:rsidR="00D830A9" w:rsidRPr="00D830A9" w:rsidRDefault="00D830A9" w:rsidP="001C12B3">
            <w:pPr>
              <w:keepNext/>
            </w:pPr>
            <w:r w:rsidRPr="00D830A9">
              <w:t>Costs of treating Ecstasy dependence</w:t>
            </w:r>
          </w:p>
        </w:tc>
        <w:tc>
          <w:tcPr>
            <w:tcW w:w="1661" w:type="dxa"/>
            <w:tcBorders>
              <w:top w:val="nil"/>
              <w:left w:val="nil"/>
              <w:bottom w:val="nil"/>
              <w:right w:val="single" w:sz="4" w:space="0" w:color="auto"/>
            </w:tcBorders>
            <w:shd w:val="clear" w:color="auto" w:fill="auto"/>
            <w:noWrap/>
            <w:vAlign w:val="bottom"/>
            <w:hideMark/>
          </w:tcPr>
          <w:p w14:paraId="76CB49F3" w14:textId="77777777" w:rsidR="00D830A9" w:rsidRPr="00D830A9" w:rsidRDefault="00D830A9" w:rsidP="001C12B3">
            <w:pPr>
              <w:keepNext/>
              <w:rPr>
                <w:rFonts w:eastAsia="Times New Roman"/>
              </w:rPr>
            </w:pPr>
            <w:r w:rsidRPr="00D830A9">
              <w:t>£422</w:t>
            </w:r>
          </w:p>
        </w:tc>
        <w:tc>
          <w:tcPr>
            <w:tcW w:w="1763" w:type="dxa"/>
            <w:tcBorders>
              <w:top w:val="nil"/>
              <w:left w:val="nil"/>
              <w:bottom w:val="nil"/>
              <w:right w:val="single" w:sz="4" w:space="0" w:color="auto"/>
            </w:tcBorders>
            <w:shd w:val="clear" w:color="auto" w:fill="auto"/>
            <w:noWrap/>
            <w:vAlign w:val="bottom"/>
            <w:hideMark/>
          </w:tcPr>
          <w:p w14:paraId="6FE0EEF4" w14:textId="77777777" w:rsidR="00D830A9" w:rsidRPr="00D830A9" w:rsidRDefault="00D830A9" w:rsidP="001C12B3">
            <w:pPr>
              <w:keepNext/>
              <w:rPr>
                <w:rFonts w:eastAsia="Times New Roman"/>
                <w:color w:val="000000"/>
              </w:rPr>
            </w:pPr>
            <w:r w:rsidRPr="00D830A9">
              <w:t>£353</w:t>
            </w:r>
          </w:p>
        </w:tc>
        <w:tc>
          <w:tcPr>
            <w:tcW w:w="1551" w:type="dxa"/>
            <w:tcBorders>
              <w:top w:val="nil"/>
              <w:left w:val="nil"/>
              <w:bottom w:val="nil"/>
              <w:right w:val="single" w:sz="8" w:space="0" w:color="auto"/>
            </w:tcBorders>
            <w:shd w:val="clear" w:color="auto" w:fill="auto"/>
            <w:noWrap/>
            <w:vAlign w:val="bottom"/>
            <w:hideMark/>
          </w:tcPr>
          <w:p w14:paraId="233BF443" w14:textId="77777777" w:rsidR="00D830A9" w:rsidRPr="00D830A9" w:rsidRDefault="00D830A9" w:rsidP="001C12B3">
            <w:pPr>
              <w:keepNext/>
              <w:rPr>
                <w:rFonts w:eastAsia="Times New Roman"/>
                <w:color w:val="000000"/>
              </w:rPr>
            </w:pPr>
            <w:r w:rsidRPr="00D830A9">
              <w:t>-£69</w:t>
            </w:r>
          </w:p>
        </w:tc>
      </w:tr>
      <w:tr w:rsidR="00D830A9" w:rsidRPr="00D830A9" w14:paraId="1CC34FF1"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4FF7AF74" w14:textId="77777777" w:rsidR="00D830A9" w:rsidRPr="00D830A9" w:rsidRDefault="00D830A9" w:rsidP="001C12B3">
            <w:pPr>
              <w:keepNext/>
            </w:pPr>
            <w:r w:rsidRPr="00D830A9">
              <w:t>Costs of Ecstasy-related death</w:t>
            </w:r>
          </w:p>
        </w:tc>
        <w:tc>
          <w:tcPr>
            <w:tcW w:w="1661" w:type="dxa"/>
            <w:tcBorders>
              <w:top w:val="nil"/>
              <w:left w:val="nil"/>
              <w:bottom w:val="nil"/>
              <w:right w:val="single" w:sz="4" w:space="0" w:color="auto"/>
            </w:tcBorders>
            <w:shd w:val="clear" w:color="auto" w:fill="auto"/>
            <w:noWrap/>
            <w:vAlign w:val="bottom"/>
            <w:hideMark/>
          </w:tcPr>
          <w:p w14:paraId="6C12D56C" w14:textId="77777777" w:rsidR="00D830A9" w:rsidRPr="00D830A9" w:rsidRDefault="00D830A9" w:rsidP="001C12B3">
            <w:pPr>
              <w:keepNext/>
              <w:rPr>
                <w:rFonts w:eastAsia="Times New Roman"/>
              </w:rPr>
            </w:pPr>
            <w:r w:rsidRPr="00D830A9">
              <w:t>£6</w:t>
            </w:r>
          </w:p>
        </w:tc>
        <w:tc>
          <w:tcPr>
            <w:tcW w:w="1763" w:type="dxa"/>
            <w:tcBorders>
              <w:top w:val="nil"/>
              <w:left w:val="nil"/>
              <w:bottom w:val="nil"/>
              <w:right w:val="single" w:sz="4" w:space="0" w:color="auto"/>
            </w:tcBorders>
            <w:shd w:val="clear" w:color="auto" w:fill="auto"/>
            <w:noWrap/>
            <w:vAlign w:val="bottom"/>
            <w:hideMark/>
          </w:tcPr>
          <w:p w14:paraId="299279BC" w14:textId="77777777" w:rsidR="00D830A9" w:rsidRPr="00D830A9" w:rsidRDefault="00D830A9" w:rsidP="001C12B3">
            <w:pPr>
              <w:keepNext/>
              <w:rPr>
                <w:rFonts w:eastAsia="Times New Roman"/>
                <w:color w:val="000000"/>
              </w:rPr>
            </w:pPr>
            <w:r w:rsidRPr="00D830A9">
              <w:t>£5</w:t>
            </w:r>
          </w:p>
        </w:tc>
        <w:tc>
          <w:tcPr>
            <w:tcW w:w="1551" w:type="dxa"/>
            <w:tcBorders>
              <w:top w:val="nil"/>
              <w:left w:val="nil"/>
              <w:bottom w:val="nil"/>
              <w:right w:val="single" w:sz="8" w:space="0" w:color="auto"/>
            </w:tcBorders>
            <w:shd w:val="clear" w:color="auto" w:fill="auto"/>
            <w:noWrap/>
            <w:vAlign w:val="bottom"/>
            <w:hideMark/>
          </w:tcPr>
          <w:p w14:paraId="7354F18B" w14:textId="77777777" w:rsidR="00D830A9" w:rsidRPr="00D830A9" w:rsidRDefault="00D830A9" w:rsidP="001C12B3">
            <w:pPr>
              <w:keepNext/>
              <w:rPr>
                <w:rFonts w:eastAsia="Times New Roman"/>
                <w:color w:val="000000"/>
              </w:rPr>
            </w:pPr>
            <w:r w:rsidRPr="00D830A9">
              <w:t>-£1</w:t>
            </w:r>
          </w:p>
        </w:tc>
      </w:tr>
      <w:tr w:rsidR="00D830A9" w:rsidRPr="00D830A9" w14:paraId="5B3F7980"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0BDEA081" w14:textId="77777777" w:rsidR="00D830A9" w:rsidRPr="00D830A9" w:rsidRDefault="00D830A9" w:rsidP="001C12B3">
            <w:pPr>
              <w:keepNext/>
            </w:pPr>
            <w:r w:rsidRPr="00D830A9">
              <w:t> </w:t>
            </w:r>
          </w:p>
        </w:tc>
        <w:tc>
          <w:tcPr>
            <w:tcW w:w="1661" w:type="dxa"/>
            <w:tcBorders>
              <w:top w:val="nil"/>
              <w:left w:val="nil"/>
              <w:bottom w:val="nil"/>
              <w:right w:val="single" w:sz="4" w:space="0" w:color="auto"/>
            </w:tcBorders>
            <w:shd w:val="clear" w:color="auto" w:fill="auto"/>
            <w:noWrap/>
            <w:vAlign w:val="bottom"/>
            <w:hideMark/>
          </w:tcPr>
          <w:p w14:paraId="76C02111" w14:textId="77777777" w:rsidR="00D830A9" w:rsidRPr="00D830A9" w:rsidRDefault="00D830A9" w:rsidP="001C12B3">
            <w:pPr>
              <w:keepNext/>
            </w:pPr>
          </w:p>
        </w:tc>
        <w:tc>
          <w:tcPr>
            <w:tcW w:w="1763" w:type="dxa"/>
            <w:tcBorders>
              <w:top w:val="nil"/>
              <w:left w:val="nil"/>
              <w:bottom w:val="nil"/>
              <w:right w:val="single" w:sz="4" w:space="0" w:color="auto"/>
            </w:tcBorders>
            <w:shd w:val="clear" w:color="auto" w:fill="auto"/>
            <w:noWrap/>
            <w:vAlign w:val="bottom"/>
            <w:hideMark/>
          </w:tcPr>
          <w:p w14:paraId="43C18FD2" w14:textId="77777777" w:rsidR="00D830A9" w:rsidRPr="00D830A9" w:rsidRDefault="00D830A9" w:rsidP="001C12B3">
            <w:pPr>
              <w:keepNext/>
            </w:pPr>
          </w:p>
        </w:tc>
        <w:tc>
          <w:tcPr>
            <w:tcW w:w="1551" w:type="dxa"/>
            <w:tcBorders>
              <w:top w:val="nil"/>
              <w:left w:val="nil"/>
              <w:bottom w:val="nil"/>
              <w:right w:val="single" w:sz="8" w:space="0" w:color="auto"/>
            </w:tcBorders>
            <w:shd w:val="clear" w:color="auto" w:fill="auto"/>
            <w:noWrap/>
            <w:vAlign w:val="bottom"/>
            <w:hideMark/>
          </w:tcPr>
          <w:p w14:paraId="73B754DC" w14:textId="77777777" w:rsidR="00D830A9" w:rsidRPr="00D830A9" w:rsidRDefault="00D830A9" w:rsidP="001C12B3">
            <w:pPr>
              <w:keepNext/>
            </w:pPr>
          </w:p>
        </w:tc>
      </w:tr>
      <w:tr w:rsidR="00D830A9" w:rsidRPr="00D830A9" w14:paraId="0E0E4469" w14:textId="77777777" w:rsidTr="00D830A9">
        <w:trPr>
          <w:trHeight w:val="300"/>
        </w:trPr>
        <w:tc>
          <w:tcPr>
            <w:tcW w:w="4031" w:type="dxa"/>
            <w:tcBorders>
              <w:top w:val="nil"/>
              <w:left w:val="single" w:sz="8" w:space="0" w:color="auto"/>
              <w:bottom w:val="nil"/>
              <w:right w:val="single" w:sz="4" w:space="0" w:color="auto"/>
            </w:tcBorders>
            <w:shd w:val="clear" w:color="000000" w:fill="DDEBF7"/>
            <w:noWrap/>
            <w:vAlign w:val="bottom"/>
            <w:hideMark/>
          </w:tcPr>
          <w:p w14:paraId="2D250DD3" w14:textId="77777777" w:rsidR="00D830A9" w:rsidRPr="00D830A9" w:rsidRDefault="00D830A9" w:rsidP="001C12B3">
            <w:pPr>
              <w:keepNext/>
            </w:pPr>
            <w:r w:rsidRPr="00D830A9">
              <w:t>Total crime costs (£'000s)</w:t>
            </w:r>
          </w:p>
        </w:tc>
        <w:tc>
          <w:tcPr>
            <w:tcW w:w="1661" w:type="dxa"/>
            <w:tcBorders>
              <w:top w:val="nil"/>
              <w:left w:val="nil"/>
              <w:bottom w:val="nil"/>
              <w:right w:val="single" w:sz="4" w:space="0" w:color="auto"/>
            </w:tcBorders>
            <w:shd w:val="clear" w:color="000000" w:fill="DDEBF7"/>
            <w:noWrap/>
            <w:vAlign w:val="bottom"/>
            <w:hideMark/>
          </w:tcPr>
          <w:p w14:paraId="019027D4" w14:textId="77777777" w:rsidR="00D830A9" w:rsidRPr="00D830A9" w:rsidRDefault="00D830A9" w:rsidP="001C12B3">
            <w:pPr>
              <w:keepNext/>
              <w:rPr>
                <w:rFonts w:eastAsia="Times New Roman"/>
              </w:rPr>
            </w:pPr>
            <w:r w:rsidRPr="00D830A9">
              <w:t>£1,528</w:t>
            </w:r>
          </w:p>
        </w:tc>
        <w:tc>
          <w:tcPr>
            <w:tcW w:w="1763" w:type="dxa"/>
            <w:tcBorders>
              <w:top w:val="nil"/>
              <w:left w:val="nil"/>
              <w:bottom w:val="nil"/>
              <w:right w:val="single" w:sz="4" w:space="0" w:color="auto"/>
            </w:tcBorders>
            <w:shd w:val="clear" w:color="000000" w:fill="DDEBF7"/>
            <w:noWrap/>
            <w:vAlign w:val="bottom"/>
            <w:hideMark/>
          </w:tcPr>
          <w:p w14:paraId="1254B122" w14:textId="77777777" w:rsidR="00D830A9" w:rsidRPr="00D830A9" w:rsidRDefault="00D830A9" w:rsidP="001C12B3">
            <w:pPr>
              <w:keepNext/>
              <w:rPr>
                <w:rFonts w:eastAsia="Times New Roman"/>
                <w:color w:val="000000"/>
              </w:rPr>
            </w:pPr>
            <w:r w:rsidRPr="00D830A9">
              <w:t>£1,279</w:t>
            </w:r>
          </w:p>
        </w:tc>
        <w:tc>
          <w:tcPr>
            <w:tcW w:w="1551" w:type="dxa"/>
            <w:tcBorders>
              <w:top w:val="nil"/>
              <w:left w:val="nil"/>
              <w:bottom w:val="nil"/>
              <w:right w:val="single" w:sz="8" w:space="0" w:color="auto"/>
            </w:tcBorders>
            <w:shd w:val="clear" w:color="000000" w:fill="DDEBF7"/>
            <w:noWrap/>
            <w:vAlign w:val="bottom"/>
            <w:hideMark/>
          </w:tcPr>
          <w:p w14:paraId="561C12E8" w14:textId="77777777" w:rsidR="00D830A9" w:rsidRPr="00D830A9" w:rsidRDefault="00D830A9" w:rsidP="001C12B3">
            <w:pPr>
              <w:keepNext/>
              <w:rPr>
                <w:rFonts w:eastAsia="Times New Roman"/>
                <w:color w:val="000000"/>
              </w:rPr>
            </w:pPr>
            <w:r w:rsidRPr="00D830A9">
              <w:t>-£249</w:t>
            </w:r>
          </w:p>
        </w:tc>
      </w:tr>
      <w:tr w:rsidR="00D830A9" w:rsidRPr="00D830A9" w14:paraId="301BF292"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54631E26" w14:textId="77777777" w:rsidR="00D830A9" w:rsidRPr="00D830A9" w:rsidRDefault="00D830A9" w:rsidP="001C12B3">
            <w:pPr>
              <w:keepNext/>
            </w:pPr>
            <w:r w:rsidRPr="00D830A9">
              <w:t>Arrest costs</w:t>
            </w:r>
          </w:p>
        </w:tc>
        <w:tc>
          <w:tcPr>
            <w:tcW w:w="1661" w:type="dxa"/>
            <w:tcBorders>
              <w:top w:val="nil"/>
              <w:left w:val="nil"/>
              <w:bottom w:val="nil"/>
              <w:right w:val="single" w:sz="4" w:space="0" w:color="auto"/>
            </w:tcBorders>
            <w:shd w:val="clear" w:color="auto" w:fill="auto"/>
            <w:noWrap/>
            <w:vAlign w:val="bottom"/>
            <w:hideMark/>
          </w:tcPr>
          <w:p w14:paraId="798885DF" w14:textId="77777777" w:rsidR="00D830A9" w:rsidRPr="00D830A9" w:rsidRDefault="00D830A9" w:rsidP="001C12B3">
            <w:pPr>
              <w:keepNext/>
              <w:rPr>
                <w:rFonts w:eastAsia="Times New Roman"/>
              </w:rPr>
            </w:pPr>
            <w:r w:rsidRPr="00D830A9">
              <w:t>£913</w:t>
            </w:r>
          </w:p>
        </w:tc>
        <w:tc>
          <w:tcPr>
            <w:tcW w:w="1763" w:type="dxa"/>
            <w:tcBorders>
              <w:top w:val="nil"/>
              <w:left w:val="nil"/>
              <w:bottom w:val="nil"/>
              <w:right w:val="single" w:sz="4" w:space="0" w:color="auto"/>
            </w:tcBorders>
            <w:shd w:val="clear" w:color="auto" w:fill="auto"/>
            <w:noWrap/>
            <w:vAlign w:val="bottom"/>
            <w:hideMark/>
          </w:tcPr>
          <w:p w14:paraId="0584B5B3" w14:textId="77777777" w:rsidR="00D830A9" w:rsidRPr="00D830A9" w:rsidRDefault="00D830A9" w:rsidP="001C12B3">
            <w:pPr>
              <w:keepNext/>
              <w:rPr>
                <w:rFonts w:eastAsia="Times New Roman"/>
                <w:color w:val="000000"/>
              </w:rPr>
            </w:pPr>
            <w:r w:rsidRPr="00D830A9">
              <w:t>£764</w:t>
            </w:r>
          </w:p>
        </w:tc>
        <w:tc>
          <w:tcPr>
            <w:tcW w:w="1551" w:type="dxa"/>
            <w:tcBorders>
              <w:top w:val="nil"/>
              <w:left w:val="nil"/>
              <w:bottom w:val="nil"/>
              <w:right w:val="single" w:sz="8" w:space="0" w:color="auto"/>
            </w:tcBorders>
            <w:shd w:val="clear" w:color="auto" w:fill="auto"/>
            <w:noWrap/>
            <w:vAlign w:val="bottom"/>
            <w:hideMark/>
          </w:tcPr>
          <w:p w14:paraId="4F3B46E7" w14:textId="77777777" w:rsidR="00D830A9" w:rsidRPr="00D830A9" w:rsidRDefault="00D830A9" w:rsidP="001C12B3">
            <w:pPr>
              <w:keepNext/>
              <w:rPr>
                <w:rFonts w:eastAsia="Times New Roman"/>
                <w:color w:val="000000"/>
              </w:rPr>
            </w:pPr>
            <w:r w:rsidRPr="00D830A9">
              <w:t>-£149</w:t>
            </w:r>
          </w:p>
        </w:tc>
      </w:tr>
      <w:tr w:rsidR="00D830A9" w:rsidRPr="00D830A9" w14:paraId="2C14D29C"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3B359F09" w14:textId="77777777" w:rsidR="00D830A9" w:rsidRPr="00D830A9" w:rsidRDefault="00D830A9" w:rsidP="001C12B3">
            <w:pPr>
              <w:keepNext/>
            </w:pPr>
            <w:r w:rsidRPr="00D830A9">
              <w:t>Sentencing costs</w:t>
            </w:r>
          </w:p>
        </w:tc>
        <w:tc>
          <w:tcPr>
            <w:tcW w:w="1661" w:type="dxa"/>
            <w:tcBorders>
              <w:top w:val="nil"/>
              <w:left w:val="nil"/>
              <w:bottom w:val="nil"/>
              <w:right w:val="single" w:sz="4" w:space="0" w:color="auto"/>
            </w:tcBorders>
            <w:shd w:val="clear" w:color="auto" w:fill="auto"/>
            <w:noWrap/>
            <w:vAlign w:val="bottom"/>
            <w:hideMark/>
          </w:tcPr>
          <w:p w14:paraId="1322E780" w14:textId="77777777" w:rsidR="00D830A9" w:rsidRPr="00D830A9" w:rsidRDefault="00D830A9" w:rsidP="001C12B3">
            <w:pPr>
              <w:keepNext/>
              <w:rPr>
                <w:rFonts w:eastAsia="Times New Roman"/>
              </w:rPr>
            </w:pPr>
            <w:r w:rsidRPr="00D830A9">
              <w:t>£221</w:t>
            </w:r>
          </w:p>
        </w:tc>
        <w:tc>
          <w:tcPr>
            <w:tcW w:w="1763" w:type="dxa"/>
            <w:tcBorders>
              <w:top w:val="nil"/>
              <w:left w:val="nil"/>
              <w:bottom w:val="nil"/>
              <w:right w:val="single" w:sz="4" w:space="0" w:color="auto"/>
            </w:tcBorders>
            <w:shd w:val="clear" w:color="auto" w:fill="auto"/>
            <w:noWrap/>
            <w:vAlign w:val="bottom"/>
            <w:hideMark/>
          </w:tcPr>
          <w:p w14:paraId="3D17DB10" w14:textId="77777777" w:rsidR="00D830A9" w:rsidRPr="00D830A9" w:rsidRDefault="00D830A9" w:rsidP="001C12B3">
            <w:pPr>
              <w:keepNext/>
              <w:rPr>
                <w:rFonts w:eastAsia="Times New Roman"/>
                <w:color w:val="000000"/>
              </w:rPr>
            </w:pPr>
            <w:r w:rsidRPr="00D830A9">
              <w:t>£185</w:t>
            </w:r>
          </w:p>
        </w:tc>
        <w:tc>
          <w:tcPr>
            <w:tcW w:w="1551" w:type="dxa"/>
            <w:tcBorders>
              <w:top w:val="nil"/>
              <w:left w:val="nil"/>
              <w:bottom w:val="nil"/>
              <w:right w:val="single" w:sz="8" w:space="0" w:color="auto"/>
            </w:tcBorders>
            <w:shd w:val="clear" w:color="auto" w:fill="auto"/>
            <w:noWrap/>
            <w:vAlign w:val="bottom"/>
            <w:hideMark/>
          </w:tcPr>
          <w:p w14:paraId="573BCC2E" w14:textId="77777777" w:rsidR="00D830A9" w:rsidRPr="00D830A9" w:rsidRDefault="00D830A9" w:rsidP="001C12B3">
            <w:pPr>
              <w:keepNext/>
              <w:rPr>
                <w:rFonts w:eastAsia="Times New Roman"/>
                <w:color w:val="000000"/>
              </w:rPr>
            </w:pPr>
            <w:r w:rsidRPr="00D830A9">
              <w:t>-£36</w:t>
            </w:r>
          </w:p>
        </w:tc>
      </w:tr>
      <w:tr w:rsidR="00D830A9" w:rsidRPr="00D830A9" w14:paraId="5BADE132"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35E0729B" w14:textId="77777777" w:rsidR="00D830A9" w:rsidRPr="00D830A9" w:rsidRDefault="00D830A9" w:rsidP="001C12B3">
            <w:pPr>
              <w:keepNext/>
            </w:pPr>
            <w:r w:rsidRPr="00D830A9">
              <w:t>Court costs</w:t>
            </w:r>
          </w:p>
        </w:tc>
        <w:tc>
          <w:tcPr>
            <w:tcW w:w="1661" w:type="dxa"/>
            <w:tcBorders>
              <w:top w:val="nil"/>
              <w:left w:val="nil"/>
              <w:bottom w:val="nil"/>
              <w:right w:val="single" w:sz="4" w:space="0" w:color="auto"/>
            </w:tcBorders>
            <w:shd w:val="clear" w:color="auto" w:fill="auto"/>
            <w:noWrap/>
            <w:vAlign w:val="bottom"/>
            <w:hideMark/>
          </w:tcPr>
          <w:p w14:paraId="7E99662B" w14:textId="77777777" w:rsidR="00D830A9" w:rsidRPr="00D830A9" w:rsidRDefault="00D830A9" w:rsidP="001C12B3">
            <w:pPr>
              <w:keepNext/>
              <w:rPr>
                <w:rFonts w:eastAsia="Times New Roman"/>
              </w:rPr>
            </w:pPr>
            <w:r w:rsidRPr="00D830A9">
              <w:t>£395</w:t>
            </w:r>
          </w:p>
        </w:tc>
        <w:tc>
          <w:tcPr>
            <w:tcW w:w="1763" w:type="dxa"/>
            <w:tcBorders>
              <w:top w:val="nil"/>
              <w:left w:val="nil"/>
              <w:bottom w:val="nil"/>
              <w:right w:val="single" w:sz="4" w:space="0" w:color="auto"/>
            </w:tcBorders>
            <w:shd w:val="clear" w:color="auto" w:fill="auto"/>
            <w:noWrap/>
            <w:vAlign w:val="bottom"/>
            <w:hideMark/>
          </w:tcPr>
          <w:p w14:paraId="5DF172DC" w14:textId="77777777" w:rsidR="00D830A9" w:rsidRPr="00D830A9" w:rsidRDefault="00D830A9" w:rsidP="001C12B3">
            <w:pPr>
              <w:keepNext/>
              <w:rPr>
                <w:rFonts w:eastAsia="Times New Roman"/>
                <w:color w:val="000000"/>
              </w:rPr>
            </w:pPr>
            <w:r w:rsidRPr="00D830A9">
              <w:t>£331</w:t>
            </w:r>
          </w:p>
        </w:tc>
        <w:tc>
          <w:tcPr>
            <w:tcW w:w="1551" w:type="dxa"/>
            <w:tcBorders>
              <w:top w:val="nil"/>
              <w:left w:val="nil"/>
              <w:bottom w:val="nil"/>
              <w:right w:val="single" w:sz="8" w:space="0" w:color="auto"/>
            </w:tcBorders>
            <w:shd w:val="clear" w:color="auto" w:fill="auto"/>
            <w:noWrap/>
            <w:vAlign w:val="bottom"/>
            <w:hideMark/>
          </w:tcPr>
          <w:p w14:paraId="12D049DA" w14:textId="77777777" w:rsidR="00D830A9" w:rsidRPr="00D830A9" w:rsidRDefault="00D830A9" w:rsidP="001C12B3">
            <w:pPr>
              <w:keepNext/>
              <w:rPr>
                <w:rFonts w:eastAsia="Times New Roman"/>
                <w:color w:val="000000"/>
              </w:rPr>
            </w:pPr>
            <w:r w:rsidRPr="00D830A9">
              <w:t>-£64</w:t>
            </w:r>
          </w:p>
        </w:tc>
      </w:tr>
      <w:tr w:rsidR="00D830A9" w:rsidRPr="00D830A9" w14:paraId="06436B55"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38A5336D" w14:textId="77777777" w:rsidR="00D830A9" w:rsidRPr="00D830A9" w:rsidRDefault="00D830A9" w:rsidP="001C12B3">
            <w:pPr>
              <w:keepNext/>
            </w:pPr>
            <w:r w:rsidRPr="00D830A9">
              <w:t> </w:t>
            </w:r>
          </w:p>
        </w:tc>
        <w:tc>
          <w:tcPr>
            <w:tcW w:w="1661" w:type="dxa"/>
            <w:tcBorders>
              <w:top w:val="nil"/>
              <w:left w:val="nil"/>
              <w:bottom w:val="nil"/>
              <w:right w:val="single" w:sz="4" w:space="0" w:color="auto"/>
            </w:tcBorders>
            <w:shd w:val="clear" w:color="auto" w:fill="auto"/>
            <w:noWrap/>
            <w:vAlign w:val="bottom"/>
          </w:tcPr>
          <w:p w14:paraId="34B2A488" w14:textId="77777777" w:rsidR="00D830A9" w:rsidRPr="00D830A9" w:rsidRDefault="00D830A9" w:rsidP="001C12B3">
            <w:pPr>
              <w:keepNext/>
            </w:pPr>
          </w:p>
        </w:tc>
        <w:tc>
          <w:tcPr>
            <w:tcW w:w="1763" w:type="dxa"/>
            <w:tcBorders>
              <w:top w:val="nil"/>
              <w:left w:val="nil"/>
              <w:bottom w:val="nil"/>
              <w:right w:val="single" w:sz="4" w:space="0" w:color="auto"/>
            </w:tcBorders>
            <w:shd w:val="clear" w:color="auto" w:fill="auto"/>
            <w:noWrap/>
            <w:vAlign w:val="bottom"/>
          </w:tcPr>
          <w:p w14:paraId="445EB745" w14:textId="77777777" w:rsidR="00D830A9" w:rsidRPr="00D830A9" w:rsidRDefault="00D830A9" w:rsidP="001C12B3">
            <w:pPr>
              <w:keepNext/>
            </w:pPr>
          </w:p>
        </w:tc>
        <w:tc>
          <w:tcPr>
            <w:tcW w:w="1551" w:type="dxa"/>
            <w:tcBorders>
              <w:top w:val="nil"/>
              <w:left w:val="nil"/>
              <w:bottom w:val="nil"/>
              <w:right w:val="single" w:sz="8" w:space="0" w:color="auto"/>
            </w:tcBorders>
            <w:shd w:val="clear" w:color="auto" w:fill="auto"/>
            <w:noWrap/>
            <w:vAlign w:val="bottom"/>
          </w:tcPr>
          <w:p w14:paraId="00A99EF2" w14:textId="77777777" w:rsidR="00D830A9" w:rsidRPr="00D830A9" w:rsidRDefault="00D830A9" w:rsidP="001C12B3">
            <w:pPr>
              <w:keepNext/>
            </w:pPr>
          </w:p>
        </w:tc>
      </w:tr>
      <w:tr w:rsidR="00D830A9" w:rsidRPr="00D830A9" w14:paraId="0F16CA63" w14:textId="77777777" w:rsidTr="00D830A9">
        <w:trPr>
          <w:trHeight w:val="300"/>
        </w:trPr>
        <w:tc>
          <w:tcPr>
            <w:tcW w:w="4031" w:type="dxa"/>
            <w:tcBorders>
              <w:top w:val="nil"/>
              <w:left w:val="single" w:sz="8" w:space="0" w:color="auto"/>
              <w:bottom w:val="nil"/>
              <w:right w:val="single" w:sz="4" w:space="0" w:color="auto"/>
            </w:tcBorders>
            <w:shd w:val="clear" w:color="000000" w:fill="DDEBF7"/>
            <w:noWrap/>
            <w:vAlign w:val="bottom"/>
            <w:hideMark/>
          </w:tcPr>
          <w:p w14:paraId="63793EF2" w14:textId="77777777" w:rsidR="00D830A9" w:rsidRPr="00D830A9" w:rsidRDefault="00D830A9" w:rsidP="001C12B3">
            <w:pPr>
              <w:keepNext/>
            </w:pPr>
            <w:r w:rsidRPr="00D830A9">
              <w:t>Societal costs (£'000s)</w:t>
            </w:r>
          </w:p>
        </w:tc>
        <w:tc>
          <w:tcPr>
            <w:tcW w:w="1661" w:type="dxa"/>
            <w:tcBorders>
              <w:top w:val="nil"/>
              <w:left w:val="nil"/>
              <w:bottom w:val="nil"/>
              <w:right w:val="single" w:sz="4" w:space="0" w:color="auto"/>
            </w:tcBorders>
            <w:shd w:val="clear" w:color="000000" w:fill="DDEBF7"/>
            <w:noWrap/>
            <w:vAlign w:val="bottom"/>
          </w:tcPr>
          <w:p w14:paraId="3D70AF8D" w14:textId="77777777" w:rsidR="00D830A9" w:rsidRPr="00D830A9" w:rsidRDefault="00D830A9" w:rsidP="001C12B3">
            <w:pPr>
              <w:keepNext/>
            </w:pPr>
          </w:p>
        </w:tc>
        <w:tc>
          <w:tcPr>
            <w:tcW w:w="1763" w:type="dxa"/>
            <w:tcBorders>
              <w:top w:val="nil"/>
              <w:left w:val="nil"/>
              <w:bottom w:val="nil"/>
              <w:right w:val="single" w:sz="4" w:space="0" w:color="auto"/>
            </w:tcBorders>
            <w:shd w:val="clear" w:color="000000" w:fill="DDEBF7"/>
            <w:noWrap/>
            <w:vAlign w:val="bottom"/>
          </w:tcPr>
          <w:p w14:paraId="270B8273" w14:textId="77777777" w:rsidR="00D830A9" w:rsidRPr="00D830A9" w:rsidRDefault="00D830A9" w:rsidP="001C12B3">
            <w:pPr>
              <w:keepNext/>
            </w:pPr>
          </w:p>
        </w:tc>
        <w:tc>
          <w:tcPr>
            <w:tcW w:w="1551" w:type="dxa"/>
            <w:tcBorders>
              <w:top w:val="nil"/>
              <w:left w:val="nil"/>
              <w:bottom w:val="nil"/>
              <w:right w:val="single" w:sz="8" w:space="0" w:color="auto"/>
            </w:tcBorders>
            <w:shd w:val="clear" w:color="000000" w:fill="DDEBF7"/>
            <w:noWrap/>
            <w:vAlign w:val="bottom"/>
          </w:tcPr>
          <w:p w14:paraId="7F984187" w14:textId="77777777" w:rsidR="00D830A9" w:rsidRPr="00D830A9" w:rsidRDefault="00D830A9" w:rsidP="001C12B3">
            <w:pPr>
              <w:keepNext/>
            </w:pPr>
          </w:p>
        </w:tc>
      </w:tr>
      <w:tr w:rsidR="00D830A9" w:rsidRPr="00D830A9" w14:paraId="2E0D7407"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785EF2A1" w14:textId="77777777" w:rsidR="00D830A9" w:rsidRPr="00D830A9" w:rsidRDefault="00D830A9" w:rsidP="001C12B3">
            <w:pPr>
              <w:keepNext/>
            </w:pPr>
            <w:r w:rsidRPr="00D830A9">
              <w:t>QALY losses attributable to early death</w:t>
            </w:r>
          </w:p>
        </w:tc>
        <w:tc>
          <w:tcPr>
            <w:tcW w:w="1661" w:type="dxa"/>
            <w:tcBorders>
              <w:top w:val="nil"/>
              <w:left w:val="nil"/>
              <w:bottom w:val="nil"/>
              <w:right w:val="single" w:sz="4" w:space="0" w:color="auto"/>
            </w:tcBorders>
            <w:shd w:val="clear" w:color="auto" w:fill="auto"/>
            <w:noWrap/>
            <w:vAlign w:val="bottom"/>
            <w:hideMark/>
          </w:tcPr>
          <w:p w14:paraId="6D8F134E" w14:textId="77777777" w:rsidR="00D830A9" w:rsidRPr="00D830A9" w:rsidRDefault="00D830A9" w:rsidP="001C12B3">
            <w:pPr>
              <w:keepNext/>
              <w:rPr>
                <w:rFonts w:eastAsia="Times New Roman"/>
              </w:rPr>
            </w:pPr>
            <w:r w:rsidRPr="00D830A9">
              <w:t>£3,330</w:t>
            </w:r>
          </w:p>
        </w:tc>
        <w:tc>
          <w:tcPr>
            <w:tcW w:w="1763" w:type="dxa"/>
            <w:tcBorders>
              <w:top w:val="nil"/>
              <w:left w:val="nil"/>
              <w:bottom w:val="nil"/>
              <w:right w:val="single" w:sz="4" w:space="0" w:color="auto"/>
            </w:tcBorders>
            <w:shd w:val="clear" w:color="auto" w:fill="auto"/>
            <w:noWrap/>
            <w:vAlign w:val="bottom"/>
            <w:hideMark/>
          </w:tcPr>
          <w:p w14:paraId="24E48B41" w14:textId="77777777" w:rsidR="00D830A9" w:rsidRPr="00D830A9" w:rsidRDefault="00D830A9" w:rsidP="001C12B3">
            <w:pPr>
              <w:keepNext/>
              <w:rPr>
                <w:rFonts w:eastAsia="Times New Roman"/>
                <w:color w:val="000000"/>
              </w:rPr>
            </w:pPr>
            <w:r w:rsidRPr="00D830A9">
              <w:t>£2,787</w:t>
            </w:r>
          </w:p>
        </w:tc>
        <w:tc>
          <w:tcPr>
            <w:tcW w:w="1551" w:type="dxa"/>
            <w:tcBorders>
              <w:top w:val="nil"/>
              <w:left w:val="nil"/>
              <w:bottom w:val="nil"/>
              <w:right w:val="single" w:sz="8" w:space="0" w:color="auto"/>
            </w:tcBorders>
            <w:shd w:val="clear" w:color="auto" w:fill="auto"/>
            <w:noWrap/>
            <w:vAlign w:val="bottom"/>
            <w:hideMark/>
          </w:tcPr>
          <w:p w14:paraId="6EBEF016" w14:textId="77777777" w:rsidR="00D830A9" w:rsidRPr="00D830A9" w:rsidRDefault="00D830A9" w:rsidP="001C12B3">
            <w:pPr>
              <w:keepNext/>
              <w:rPr>
                <w:rFonts w:eastAsia="Times New Roman"/>
                <w:color w:val="000000"/>
              </w:rPr>
            </w:pPr>
            <w:r w:rsidRPr="00D830A9">
              <w:t>-£543</w:t>
            </w:r>
          </w:p>
        </w:tc>
      </w:tr>
      <w:tr w:rsidR="00D830A9" w:rsidRPr="00D830A9" w14:paraId="3CBFD93B" w14:textId="77777777" w:rsidTr="00D830A9">
        <w:trPr>
          <w:trHeight w:val="300"/>
        </w:trPr>
        <w:tc>
          <w:tcPr>
            <w:tcW w:w="4031" w:type="dxa"/>
            <w:tcBorders>
              <w:top w:val="nil"/>
              <w:left w:val="single" w:sz="8" w:space="0" w:color="auto"/>
              <w:bottom w:val="nil"/>
              <w:right w:val="single" w:sz="4" w:space="0" w:color="auto"/>
            </w:tcBorders>
            <w:shd w:val="clear" w:color="auto" w:fill="auto"/>
            <w:noWrap/>
            <w:vAlign w:val="bottom"/>
            <w:hideMark/>
          </w:tcPr>
          <w:p w14:paraId="55290A15" w14:textId="6FC67F63" w:rsidR="00D830A9" w:rsidRPr="00D830A9" w:rsidRDefault="00D830A9" w:rsidP="001C12B3">
            <w:pPr>
              <w:keepNext/>
            </w:pPr>
            <w:r w:rsidRPr="00D830A9">
              <w:t>Number of QALYs</w:t>
            </w:r>
          </w:p>
        </w:tc>
        <w:tc>
          <w:tcPr>
            <w:tcW w:w="1661" w:type="dxa"/>
            <w:tcBorders>
              <w:top w:val="nil"/>
              <w:left w:val="nil"/>
              <w:bottom w:val="nil"/>
              <w:right w:val="single" w:sz="4" w:space="0" w:color="auto"/>
            </w:tcBorders>
            <w:shd w:val="clear" w:color="auto" w:fill="auto"/>
            <w:noWrap/>
            <w:vAlign w:val="bottom"/>
          </w:tcPr>
          <w:p w14:paraId="2274A3CB" w14:textId="77777777" w:rsidR="00D830A9" w:rsidRPr="00D830A9" w:rsidRDefault="00D830A9" w:rsidP="001C12B3">
            <w:pPr>
              <w:keepNext/>
              <w:rPr>
                <w:rFonts w:eastAsia="Times New Roman"/>
              </w:rPr>
            </w:pPr>
            <w:r w:rsidRPr="00D830A9">
              <w:t>166.5</w:t>
            </w:r>
          </w:p>
        </w:tc>
        <w:tc>
          <w:tcPr>
            <w:tcW w:w="1763" w:type="dxa"/>
            <w:tcBorders>
              <w:top w:val="nil"/>
              <w:left w:val="nil"/>
              <w:bottom w:val="nil"/>
              <w:right w:val="single" w:sz="4" w:space="0" w:color="auto"/>
            </w:tcBorders>
            <w:shd w:val="clear" w:color="auto" w:fill="auto"/>
            <w:noWrap/>
            <w:vAlign w:val="bottom"/>
            <w:hideMark/>
          </w:tcPr>
          <w:p w14:paraId="6FBC6641" w14:textId="77777777" w:rsidR="00D830A9" w:rsidRPr="00D830A9" w:rsidRDefault="00D830A9" w:rsidP="001C12B3">
            <w:pPr>
              <w:keepNext/>
              <w:rPr>
                <w:rFonts w:eastAsia="Times New Roman"/>
                <w:color w:val="000000"/>
              </w:rPr>
            </w:pPr>
            <w:r w:rsidRPr="00D830A9">
              <w:t>139.35</w:t>
            </w:r>
          </w:p>
        </w:tc>
        <w:tc>
          <w:tcPr>
            <w:tcW w:w="1551" w:type="dxa"/>
            <w:tcBorders>
              <w:top w:val="nil"/>
              <w:left w:val="nil"/>
              <w:bottom w:val="nil"/>
              <w:right w:val="single" w:sz="8" w:space="0" w:color="auto"/>
            </w:tcBorders>
            <w:shd w:val="clear" w:color="auto" w:fill="auto"/>
            <w:noWrap/>
            <w:vAlign w:val="bottom"/>
            <w:hideMark/>
          </w:tcPr>
          <w:p w14:paraId="29ABBEB4" w14:textId="77777777" w:rsidR="00D830A9" w:rsidRPr="00D830A9" w:rsidRDefault="00D830A9" w:rsidP="001C12B3">
            <w:pPr>
              <w:keepNext/>
              <w:rPr>
                <w:rFonts w:eastAsia="Times New Roman"/>
                <w:color w:val="000000"/>
              </w:rPr>
            </w:pPr>
            <w:r w:rsidRPr="00D830A9">
              <w:t>27.15</w:t>
            </w:r>
          </w:p>
        </w:tc>
      </w:tr>
      <w:tr w:rsidR="00D830A9" w:rsidRPr="00D830A9" w14:paraId="1F9964A1" w14:textId="77777777" w:rsidTr="00D830A9">
        <w:trPr>
          <w:trHeight w:val="300"/>
        </w:trPr>
        <w:tc>
          <w:tcPr>
            <w:tcW w:w="4031" w:type="dxa"/>
            <w:tcBorders>
              <w:top w:val="nil"/>
              <w:left w:val="single" w:sz="8" w:space="0" w:color="auto"/>
              <w:bottom w:val="nil"/>
              <w:right w:val="single" w:sz="4" w:space="0" w:color="auto"/>
            </w:tcBorders>
            <w:shd w:val="clear" w:color="000000" w:fill="DDEBF7"/>
            <w:noWrap/>
            <w:vAlign w:val="bottom"/>
            <w:hideMark/>
          </w:tcPr>
          <w:p w14:paraId="26FD7E1B" w14:textId="77777777" w:rsidR="00D830A9" w:rsidRPr="00D830A9" w:rsidRDefault="00D830A9" w:rsidP="001C12B3">
            <w:pPr>
              <w:keepNext/>
            </w:pPr>
            <w:r w:rsidRPr="00D830A9">
              <w:t>Motivational interviewing costs (£'000s)</w:t>
            </w:r>
          </w:p>
        </w:tc>
        <w:tc>
          <w:tcPr>
            <w:tcW w:w="1661" w:type="dxa"/>
            <w:tcBorders>
              <w:top w:val="nil"/>
              <w:left w:val="nil"/>
              <w:bottom w:val="nil"/>
              <w:right w:val="single" w:sz="4" w:space="0" w:color="auto"/>
            </w:tcBorders>
            <w:shd w:val="clear" w:color="000000" w:fill="DDEBF7"/>
            <w:noWrap/>
            <w:vAlign w:val="bottom"/>
          </w:tcPr>
          <w:p w14:paraId="65DBAB32" w14:textId="77777777" w:rsidR="00D830A9" w:rsidRPr="00D830A9" w:rsidRDefault="00D830A9" w:rsidP="001C12B3">
            <w:pPr>
              <w:keepNext/>
            </w:pPr>
          </w:p>
        </w:tc>
        <w:tc>
          <w:tcPr>
            <w:tcW w:w="1763" w:type="dxa"/>
            <w:tcBorders>
              <w:top w:val="nil"/>
              <w:left w:val="nil"/>
              <w:bottom w:val="nil"/>
              <w:right w:val="single" w:sz="4" w:space="0" w:color="auto"/>
            </w:tcBorders>
            <w:shd w:val="clear" w:color="000000" w:fill="DDEBF7"/>
            <w:noWrap/>
            <w:vAlign w:val="bottom"/>
            <w:hideMark/>
          </w:tcPr>
          <w:p w14:paraId="374391C1" w14:textId="77777777" w:rsidR="00D830A9" w:rsidRPr="00D830A9" w:rsidRDefault="00D830A9" w:rsidP="001C12B3">
            <w:pPr>
              <w:keepNext/>
              <w:rPr>
                <w:rFonts w:eastAsia="Times New Roman"/>
                <w:color w:val="000000"/>
              </w:rPr>
            </w:pPr>
            <w:r w:rsidRPr="00D830A9">
              <w:t>£15,896</w:t>
            </w:r>
          </w:p>
        </w:tc>
        <w:tc>
          <w:tcPr>
            <w:tcW w:w="1551" w:type="dxa"/>
            <w:tcBorders>
              <w:top w:val="nil"/>
              <w:left w:val="nil"/>
              <w:bottom w:val="nil"/>
              <w:right w:val="single" w:sz="8" w:space="0" w:color="auto"/>
            </w:tcBorders>
            <w:shd w:val="clear" w:color="000000" w:fill="DDEBF7"/>
            <w:noWrap/>
            <w:vAlign w:val="bottom"/>
            <w:hideMark/>
          </w:tcPr>
          <w:p w14:paraId="363B64DE" w14:textId="77777777" w:rsidR="00D830A9" w:rsidRPr="00D830A9" w:rsidRDefault="00D830A9" w:rsidP="001C12B3">
            <w:pPr>
              <w:keepNext/>
              <w:rPr>
                <w:rFonts w:eastAsia="Times New Roman"/>
                <w:color w:val="000000"/>
              </w:rPr>
            </w:pPr>
            <w:r w:rsidRPr="00D830A9">
              <w:t>£15,896</w:t>
            </w:r>
          </w:p>
        </w:tc>
      </w:tr>
      <w:tr w:rsidR="00D830A9" w:rsidRPr="00D830A9" w14:paraId="0A8E650A" w14:textId="77777777" w:rsidTr="00D830A9">
        <w:trPr>
          <w:trHeight w:val="315"/>
        </w:trPr>
        <w:tc>
          <w:tcPr>
            <w:tcW w:w="4031" w:type="dxa"/>
            <w:tcBorders>
              <w:top w:val="nil"/>
              <w:left w:val="single" w:sz="8" w:space="0" w:color="auto"/>
              <w:bottom w:val="single" w:sz="8" w:space="0" w:color="auto"/>
              <w:right w:val="single" w:sz="4" w:space="0" w:color="auto"/>
            </w:tcBorders>
            <w:shd w:val="clear" w:color="auto" w:fill="auto"/>
            <w:noWrap/>
            <w:vAlign w:val="bottom"/>
            <w:hideMark/>
          </w:tcPr>
          <w:p w14:paraId="5AB62F02" w14:textId="77777777" w:rsidR="00D830A9" w:rsidRPr="00D830A9" w:rsidRDefault="00D830A9" w:rsidP="001C12B3">
            <w:pPr>
              <w:keepNext/>
            </w:pPr>
            <w:r w:rsidRPr="00D830A9">
              <w:t> </w:t>
            </w:r>
          </w:p>
        </w:tc>
        <w:tc>
          <w:tcPr>
            <w:tcW w:w="1661" w:type="dxa"/>
            <w:tcBorders>
              <w:top w:val="nil"/>
              <w:left w:val="nil"/>
              <w:bottom w:val="single" w:sz="8" w:space="0" w:color="auto"/>
              <w:right w:val="single" w:sz="4" w:space="0" w:color="auto"/>
            </w:tcBorders>
            <w:shd w:val="clear" w:color="auto" w:fill="auto"/>
            <w:noWrap/>
            <w:hideMark/>
          </w:tcPr>
          <w:p w14:paraId="1A363440" w14:textId="77777777" w:rsidR="00D830A9" w:rsidRPr="00D830A9" w:rsidRDefault="00D830A9" w:rsidP="001C12B3">
            <w:pPr>
              <w:keepNext/>
            </w:pPr>
          </w:p>
        </w:tc>
        <w:tc>
          <w:tcPr>
            <w:tcW w:w="1763" w:type="dxa"/>
            <w:tcBorders>
              <w:top w:val="nil"/>
              <w:left w:val="nil"/>
              <w:bottom w:val="single" w:sz="8" w:space="0" w:color="auto"/>
              <w:right w:val="single" w:sz="4" w:space="0" w:color="auto"/>
            </w:tcBorders>
            <w:shd w:val="clear" w:color="auto" w:fill="auto"/>
            <w:noWrap/>
            <w:hideMark/>
          </w:tcPr>
          <w:p w14:paraId="2C7F2A88" w14:textId="77777777" w:rsidR="00D830A9" w:rsidRPr="00D830A9" w:rsidRDefault="00D830A9" w:rsidP="001C12B3">
            <w:pPr>
              <w:keepNext/>
            </w:pPr>
          </w:p>
        </w:tc>
        <w:tc>
          <w:tcPr>
            <w:tcW w:w="1551" w:type="dxa"/>
            <w:tcBorders>
              <w:top w:val="nil"/>
              <w:left w:val="nil"/>
              <w:bottom w:val="single" w:sz="8" w:space="0" w:color="auto"/>
              <w:right w:val="single" w:sz="8" w:space="0" w:color="auto"/>
            </w:tcBorders>
            <w:shd w:val="clear" w:color="auto" w:fill="auto"/>
            <w:noWrap/>
            <w:hideMark/>
          </w:tcPr>
          <w:p w14:paraId="258F6E7D" w14:textId="77777777" w:rsidR="00D830A9" w:rsidRPr="00D830A9" w:rsidRDefault="00D830A9" w:rsidP="001C12B3">
            <w:pPr>
              <w:keepNext/>
            </w:pPr>
          </w:p>
        </w:tc>
      </w:tr>
    </w:tbl>
    <w:p w14:paraId="22D43D39" w14:textId="19F83DE8" w:rsidR="00D00623" w:rsidRDefault="00D00623" w:rsidP="00CC7EC2"/>
    <w:p w14:paraId="42AC0334" w14:textId="46C737F3" w:rsidR="00F76BBC" w:rsidRPr="00F76BBC" w:rsidRDefault="008136FA" w:rsidP="001C12B3">
      <w:pPr>
        <w:pStyle w:val="Caption"/>
      </w:pPr>
      <w:bookmarkStart w:id="52" w:name="_Ref451257405"/>
      <w:r>
        <w:lastRenderedPageBreak/>
        <w:t xml:space="preserve">Table </w:t>
      </w:r>
      <w:fldSimple w:instr=" SEQ Table \* ARABIC ">
        <w:r w:rsidR="00D00623">
          <w:rPr>
            <w:noProof/>
          </w:rPr>
          <w:t>8</w:t>
        </w:r>
      </w:fldSimple>
      <w:bookmarkEnd w:id="52"/>
      <w:r>
        <w:t xml:space="preserve">. </w:t>
      </w:r>
      <w:r w:rsidRPr="00A35AE1">
        <w:t>Model Results</w:t>
      </w:r>
      <w:r>
        <w:t xml:space="preserve"> – Ecstasy MI Intervention, 16-59 year olds.</w:t>
      </w:r>
    </w:p>
    <w:tbl>
      <w:tblPr>
        <w:tblW w:w="9242" w:type="dxa"/>
        <w:tblLook w:val="04A0" w:firstRow="1" w:lastRow="0" w:firstColumn="1" w:lastColumn="0" w:noHBand="0" w:noVBand="1"/>
      </w:tblPr>
      <w:tblGrid>
        <w:gridCol w:w="3588"/>
        <w:gridCol w:w="1461"/>
        <w:gridCol w:w="1942"/>
        <w:gridCol w:w="2251"/>
      </w:tblGrid>
      <w:tr w:rsidR="008136FA" w:rsidRPr="000957AD" w14:paraId="123CFA69" w14:textId="77777777" w:rsidTr="00F76BBC">
        <w:trPr>
          <w:trHeight w:val="375"/>
        </w:trPr>
        <w:tc>
          <w:tcPr>
            <w:tcW w:w="9242"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30FDC360" w14:textId="77777777" w:rsidR="008136FA" w:rsidRPr="005006EE" w:rsidRDefault="008136FA" w:rsidP="001C12B3">
            <w:pPr>
              <w:keepNext/>
            </w:pPr>
            <w:r w:rsidRPr="005006EE">
              <w:t>16-59 year olds</w:t>
            </w:r>
          </w:p>
        </w:tc>
      </w:tr>
      <w:tr w:rsidR="00C101B4" w:rsidRPr="000957AD" w14:paraId="2BA43E90" w14:textId="77777777" w:rsidTr="00C101B4">
        <w:trPr>
          <w:trHeight w:val="390"/>
        </w:trPr>
        <w:tc>
          <w:tcPr>
            <w:tcW w:w="3652" w:type="dxa"/>
            <w:tcBorders>
              <w:top w:val="nil"/>
              <w:left w:val="single" w:sz="8" w:space="0" w:color="auto"/>
              <w:bottom w:val="single" w:sz="8" w:space="0" w:color="auto"/>
              <w:right w:val="single" w:sz="4" w:space="0" w:color="auto"/>
            </w:tcBorders>
            <w:shd w:val="clear" w:color="000000" w:fill="9BC2E6"/>
            <w:noWrap/>
            <w:vAlign w:val="bottom"/>
            <w:hideMark/>
          </w:tcPr>
          <w:p w14:paraId="485F48DA" w14:textId="77777777" w:rsidR="00F76BBC" w:rsidRPr="005F12F1" w:rsidRDefault="00F76BBC" w:rsidP="001C12B3">
            <w:pPr>
              <w:keepNext/>
            </w:pPr>
            <w:r w:rsidRPr="005F12F1">
              <w:t> </w:t>
            </w:r>
          </w:p>
        </w:tc>
        <w:tc>
          <w:tcPr>
            <w:tcW w:w="1326" w:type="dxa"/>
            <w:tcBorders>
              <w:top w:val="nil"/>
              <w:left w:val="nil"/>
              <w:bottom w:val="single" w:sz="8" w:space="0" w:color="auto"/>
              <w:right w:val="single" w:sz="4" w:space="0" w:color="auto"/>
            </w:tcBorders>
            <w:shd w:val="clear" w:color="000000" w:fill="9BC2E6"/>
            <w:noWrap/>
            <w:vAlign w:val="bottom"/>
            <w:hideMark/>
          </w:tcPr>
          <w:p w14:paraId="0A7AA5F5" w14:textId="222C9F6D" w:rsidR="00F76BBC" w:rsidRPr="005F12F1" w:rsidRDefault="00F76BBC" w:rsidP="001C12B3">
            <w:pPr>
              <w:keepNext/>
            </w:pPr>
            <w:r>
              <w:t>Comparator</w:t>
            </w:r>
          </w:p>
        </w:tc>
        <w:tc>
          <w:tcPr>
            <w:tcW w:w="1975" w:type="dxa"/>
            <w:tcBorders>
              <w:top w:val="nil"/>
              <w:left w:val="nil"/>
              <w:bottom w:val="single" w:sz="8" w:space="0" w:color="auto"/>
              <w:right w:val="single" w:sz="4" w:space="0" w:color="auto"/>
            </w:tcBorders>
            <w:shd w:val="clear" w:color="000000" w:fill="9BC2E6"/>
            <w:noWrap/>
            <w:vAlign w:val="bottom"/>
            <w:hideMark/>
          </w:tcPr>
          <w:p w14:paraId="1E3D6034" w14:textId="24ECE387" w:rsidR="00F76BBC" w:rsidRPr="005F12F1" w:rsidRDefault="00F76BBC" w:rsidP="001C12B3">
            <w:pPr>
              <w:keepNext/>
            </w:pPr>
            <w:r>
              <w:t>Intervention</w:t>
            </w:r>
          </w:p>
        </w:tc>
        <w:tc>
          <w:tcPr>
            <w:tcW w:w="2289" w:type="dxa"/>
            <w:tcBorders>
              <w:top w:val="nil"/>
              <w:left w:val="nil"/>
              <w:bottom w:val="single" w:sz="8" w:space="0" w:color="auto"/>
              <w:right w:val="single" w:sz="8" w:space="0" w:color="auto"/>
            </w:tcBorders>
            <w:shd w:val="clear" w:color="000000" w:fill="9BC2E6"/>
            <w:noWrap/>
            <w:vAlign w:val="bottom"/>
            <w:hideMark/>
          </w:tcPr>
          <w:p w14:paraId="33A06735" w14:textId="2EE17E19" w:rsidR="00F76BBC" w:rsidRPr="005F12F1" w:rsidRDefault="00F76BBC" w:rsidP="001C12B3">
            <w:pPr>
              <w:keepNext/>
            </w:pPr>
            <w:r>
              <w:t>Incremental</w:t>
            </w:r>
          </w:p>
        </w:tc>
      </w:tr>
      <w:tr w:rsidR="00F76BBC" w:rsidRPr="000957AD" w14:paraId="626D82DD" w14:textId="77777777" w:rsidTr="003D56F0">
        <w:trPr>
          <w:trHeight w:val="300"/>
        </w:trPr>
        <w:tc>
          <w:tcPr>
            <w:tcW w:w="3652" w:type="dxa"/>
            <w:tcBorders>
              <w:top w:val="nil"/>
              <w:left w:val="single" w:sz="8" w:space="0" w:color="auto"/>
              <w:bottom w:val="nil"/>
              <w:right w:val="single" w:sz="4" w:space="0" w:color="auto"/>
            </w:tcBorders>
            <w:shd w:val="clear" w:color="000000" w:fill="DDEBF7"/>
            <w:noWrap/>
            <w:vAlign w:val="bottom"/>
          </w:tcPr>
          <w:p w14:paraId="5627804C" w14:textId="065FF2E0" w:rsidR="00F76BBC" w:rsidRPr="005F12F1" w:rsidRDefault="00F76BBC" w:rsidP="001C12B3">
            <w:pPr>
              <w:keepNext/>
            </w:pPr>
            <w:r w:rsidRPr="005F12F1">
              <w:t>Total annual costs (£'000s)</w:t>
            </w:r>
          </w:p>
        </w:tc>
        <w:tc>
          <w:tcPr>
            <w:tcW w:w="1326" w:type="dxa"/>
            <w:tcBorders>
              <w:top w:val="nil"/>
              <w:left w:val="nil"/>
              <w:bottom w:val="nil"/>
              <w:right w:val="single" w:sz="4" w:space="0" w:color="auto"/>
            </w:tcBorders>
            <w:shd w:val="clear" w:color="000000" w:fill="DDEBF7"/>
            <w:noWrap/>
            <w:vAlign w:val="bottom"/>
          </w:tcPr>
          <w:p w14:paraId="4471D3A1" w14:textId="29F5416F" w:rsidR="00F76BBC" w:rsidRPr="000957AD" w:rsidRDefault="00F76BBC" w:rsidP="001C12B3">
            <w:pPr>
              <w:keepNext/>
            </w:pPr>
            <w:r w:rsidRPr="000957AD">
              <w:t>£16,818</w:t>
            </w:r>
          </w:p>
        </w:tc>
        <w:tc>
          <w:tcPr>
            <w:tcW w:w="1975" w:type="dxa"/>
            <w:tcBorders>
              <w:top w:val="nil"/>
              <w:left w:val="nil"/>
              <w:bottom w:val="nil"/>
              <w:right w:val="single" w:sz="4" w:space="0" w:color="auto"/>
            </w:tcBorders>
            <w:shd w:val="clear" w:color="000000" w:fill="DDEBF7"/>
            <w:noWrap/>
            <w:vAlign w:val="bottom"/>
          </w:tcPr>
          <w:p w14:paraId="5DD0902B" w14:textId="40DC12CB" w:rsidR="00F76BBC" w:rsidRPr="000957AD" w:rsidRDefault="00F76BBC" w:rsidP="001C12B3">
            <w:pPr>
              <w:keepNext/>
              <w:rPr>
                <w:rFonts w:eastAsia="Times New Roman"/>
                <w:color w:val="000000"/>
              </w:rPr>
            </w:pPr>
            <w:r w:rsidRPr="000957AD">
              <w:t>£81,943</w:t>
            </w:r>
          </w:p>
        </w:tc>
        <w:tc>
          <w:tcPr>
            <w:tcW w:w="2289" w:type="dxa"/>
            <w:tcBorders>
              <w:top w:val="nil"/>
              <w:left w:val="nil"/>
              <w:bottom w:val="nil"/>
              <w:right w:val="single" w:sz="8" w:space="0" w:color="auto"/>
            </w:tcBorders>
            <w:shd w:val="clear" w:color="000000" w:fill="DDEBF7"/>
            <w:noWrap/>
            <w:vAlign w:val="bottom"/>
          </w:tcPr>
          <w:p w14:paraId="2537A2CE" w14:textId="55C9DCEC" w:rsidR="00F76BBC" w:rsidRPr="000957AD" w:rsidRDefault="00F76BBC" w:rsidP="001C12B3">
            <w:pPr>
              <w:keepNext/>
              <w:rPr>
                <w:rFonts w:eastAsia="Times New Roman"/>
                <w:color w:val="000000"/>
              </w:rPr>
            </w:pPr>
            <w:r w:rsidRPr="000957AD">
              <w:t>£65,12</w:t>
            </w:r>
            <w:r>
              <w:t>5</w:t>
            </w:r>
          </w:p>
        </w:tc>
      </w:tr>
      <w:tr w:rsidR="00C101B4" w:rsidRPr="000957AD" w14:paraId="07002372"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tcPr>
          <w:p w14:paraId="68EE7BA5" w14:textId="3C2D2825" w:rsidR="00F76BBC" w:rsidRPr="005F12F1" w:rsidRDefault="00F76BBC" w:rsidP="001C12B3">
            <w:pPr>
              <w:keepNext/>
            </w:pPr>
            <w:r w:rsidRPr="005F12F1">
              <w:t>Cost per Ecstasy user (£)</w:t>
            </w:r>
          </w:p>
        </w:tc>
        <w:tc>
          <w:tcPr>
            <w:tcW w:w="1326" w:type="dxa"/>
            <w:tcBorders>
              <w:top w:val="nil"/>
              <w:left w:val="nil"/>
              <w:bottom w:val="nil"/>
              <w:right w:val="single" w:sz="4" w:space="0" w:color="auto"/>
            </w:tcBorders>
            <w:shd w:val="clear" w:color="auto" w:fill="auto"/>
            <w:noWrap/>
            <w:vAlign w:val="bottom"/>
          </w:tcPr>
          <w:p w14:paraId="200A4674" w14:textId="2B69E830" w:rsidR="00F76BBC" w:rsidRPr="000957AD" w:rsidRDefault="00F76BBC" w:rsidP="001C12B3">
            <w:pPr>
              <w:keepNext/>
            </w:pPr>
            <w:r w:rsidRPr="000957AD">
              <w:t>£24</w:t>
            </w:r>
          </w:p>
        </w:tc>
        <w:tc>
          <w:tcPr>
            <w:tcW w:w="1975" w:type="dxa"/>
            <w:tcBorders>
              <w:top w:val="nil"/>
              <w:left w:val="nil"/>
              <w:bottom w:val="nil"/>
              <w:right w:val="single" w:sz="4" w:space="0" w:color="auto"/>
            </w:tcBorders>
            <w:shd w:val="clear" w:color="auto" w:fill="auto"/>
            <w:noWrap/>
            <w:vAlign w:val="bottom"/>
          </w:tcPr>
          <w:p w14:paraId="453D9DFE" w14:textId="18FD3DA0" w:rsidR="00F76BBC" w:rsidRPr="000957AD" w:rsidRDefault="00F76BBC" w:rsidP="001C12B3">
            <w:pPr>
              <w:keepNext/>
              <w:rPr>
                <w:rFonts w:eastAsia="Times New Roman"/>
                <w:color w:val="000000"/>
              </w:rPr>
            </w:pPr>
            <w:r w:rsidRPr="000957AD">
              <w:t>£126</w:t>
            </w:r>
          </w:p>
        </w:tc>
        <w:tc>
          <w:tcPr>
            <w:tcW w:w="2289" w:type="dxa"/>
            <w:tcBorders>
              <w:top w:val="nil"/>
              <w:left w:val="nil"/>
              <w:bottom w:val="nil"/>
              <w:right w:val="single" w:sz="8" w:space="0" w:color="auto"/>
            </w:tcBorders>
            <w:shd w:val="clear" w:color="auto" w:fill="auto"/>
            <w:noWrap/>
            <w:vAlign w:val="bottom"/>
          </w:tcPr>
          <w:p w14:paraId="67E2E88C" w14:textId="4631E1D7" w:rsidR="00F76BBC" w:rsidRPr="000957AD" w:rsidRDefault="00F76BBC" w:rsidP="001C12B3">
            <w:pPr>
              <w:keepNext/>
              <w:rPr>
                <w:rFonts w:eastAsia="Times New Roman"/>
                <w:color w:val="000000"/>
              </w:rPr>
            </w:pPr>
            <w:r w:rsidRPr="000957AD">
              <w:t>£102</w:t>
            </w:r>
          </w:p>
        </w:tc>
      </w:tr>
      <w:tr w:rsidR="00C101B4" w:rsidRPr="000957AD" w14:paraId="2D8F31A7" w14:textId="77777777" w:rsidTr="003D56F0">
        <w:trPr>
          <w:trHeight w:val="300"/>
        </w:trPr>
        <w:tc>
          <w:tcPr>
            <w:tcW w:w="3652" w:type="dxa"/>
            <w:tcBorders>
              <w:top w:val="nil"/>
              <w:left w:val="single" w:sz="8" w:space="0" w:color="auto"/>
              <w:bottom w:val="nil"/>
              <w:right w:val="single" w:sz="4" w:space="0" w:color="auto"/>
            </w:tcBorders>
            <w:shd w:val="clear" w:color="auto" w:fill="DBE5F1" w:themeFill="accent1" w:themeFillTint="33"/>
            <w:noWrap/>
            <w:vAlign w:val="bottom"/>
            <w:hideMark/>
          </w:tcPr>
          <w:p w14:paraId="5700D9C7" w14:textId="77777777" w:rsidR="008136FA" w:rsidRPr="005F12F1" w:rsidRDefault="008136FA" w:rsidP="001C12B3">
            <w:pPr>
              <w:keepNext/>
            </w:pPr>
            <w:r w:rsidRPr="005F12F1">
              <w:t>Total healthcare costs (£'000s)</w:t>
            </w:r>
          </w:p>
        </w:tc>
        <w:tc>
          <w:tcPr>
            <w:tcW w:w="1326" w:type="dxa"/>
            <w:tcBorders>
              <w:top w:val="nil"/>
              <w:left w:val="nil"/>
              <w:bottom w:val="nil"/>
              <w:right w:val="single" w:sz="4" w:space="0" w:color="auto"/>
            </w:tcBorders>
            <w:shd w:val="clear" w:color="auto" w:fill="DBE5F1" w:themeFill="accent1" w:themeFillTint="33"/>
            <w:noWrap/>
            <w:vAlign w:val="bottom"/>
            <w:hideMark/>
          </w:tcPr>
          <w:p w14:paraId="56AF7B5D" w14:textId="77777777" w:rsidR="008136FA" w:rsidRPr="005F12F1" w:rsidRDefault="008136FA" w:rsidP="001C12B3">
            <w:pPr>
              <w:keepNext/>
            </w:pPr>
            <w:r w:rsidRPr="000957AD">
              <w:t>£2,154</w:t>
            </w:r>
          </w:p>
        </w:tc>
        <w:tc>
          <w:tcPr>
            <w:tcW w:w="1975" w:type="dxa"/>
            <w:tcBorders>
              <w:top w:val="nil"/>
              <w:left w:val="nil"/>
              <w:bottom w:val="nil"/>
              <w:right w:val="single" w:sz="4" w:space="0" w:color="auto"/>
            </w:tcBorders>
            <w:shd w:val="clear" w:color="auto" w:fill="DBE5F1" w:themeFill="accent1" w:themeFillTint="33"/>
            <w:noWrap/>
            <w:vAlign w:val="bottom"/>
            <w:hideMark/>
          </w:tcPr>
          <w:p w14:paraId="251C70FC" w14:textId="77777777" w:rsidR="008136FA" w:rsidRPr="005F12F1" w:rsidRDefault="008136FA" w:rsidP="001C12B3">
            <w:pPr>
              <w:keepNext/>
              <w:rPr>
                <w:rFonts w:eastAsia="Times New Roman"/>
                <w:color w:val="000000"/>
              </w:rPr>
            </w:pPr>
            <w:r w:rsidRPr="000957AD">
              <w:t>£1,803</w:t>
            </w:r>
          </w:p>
        </w:tc>
        <w:tc>
          <w:tcPr>
            <w:tcW w:w="2289" w:type="dxa"/>
            <w:tcBorders>
              <w:top w:val="nil"/>
              <w:left w:val="nil"/>
              <w:bottom w:val="nil"/>
              <w:right w:val="single" w:sz="8" w:space="0" w:color="auto"/>
            </w:tcBorders>
            <w:shd w:val="clear" w:color="auto" w:fill="DBE5F1" w:themeFill="accent1" w:themeFillTint="33"/>
            <w:noWrap/>
            <w:vAlign w:val="bottom"/>
            <w:hideMark/>
          </w:tcPr>
          <w:p w14:paraId="4F2730FD" w14:textId="77777777" w:rsidR="008136FA" w:rsidRPr="005F12F1" w:rsidRDefault="008136FA" w:rsidP="001C12B3">
            <w:pPr>
              <w:keepNext/>
              <w:rPr>
                <w:rFonts w:eastAsia="Times New Roman"/>
                <w:color w:val="000000"/>
              </w:rPr>
            </w:pPr>
            <w:r w:rsidRPr="000957AD">
              <w:t>-£351</w:t>
            </w:r>
          </w:p>
        </w:tc>
      </w:tr>
      <w:tr w:rsidR="00C101B4" w:rsidRPr="000957AD" w14:paraId="36408C60"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hideMark/>
          </w:tcPr>
          <w:p w14:paraId="6970A20A" w14:textId="77777777" w:rsidR="008136FA" w:rsidRPr="005F12F1" w:rsidRDefault="008136FA" w:rsidP="001C12B3">
            <w:pPr>
              <w:keepNext/>
            </w:pPr>
            <w:r w:rsidRPr="005F12F1">
              <w:t>Ambulance costs</w:t>
            </w:r>
          </w:p>
        </w:tc>
        <w:tc>
          <w:tcPr>
            <w:tcW w:w="1326" w:type="dxa"/>
            <w:tcBorders>
              <w:top w:val="nil"/>
              <w:left w:val="nil"/>
              <w:bottom w:val="nil"/>
              <w:right w:val="single" w:sz="4" w:space="0" w:color="auto"/>
            </w:tcBorders>
            <w:shd w:val="clear" w:color="auto" w:fill="auto"/>
            <w:noWrap/>
            <w:vAlign w:val="bottom"/>
            <w:hideMark/>
          </w:tcPr>
          <w:p w14:paraId="210559B0" w14:textId="77777777" w:rsidR="008136FA" w:rsidRPr="005F12F1" w:rsidRDefault="008136FA" w:rsidP="001C12B3">
            <w:pPr>
              <w:keepNext/>
              <w:rPr>
                <w:rFonts w:eastAsia="Times New Roman"/>
              </w:rPr>
            </w:pPr>
            <w:r w:rsidRPr="000957AD">
              <w:t>£235</w:t>
            </w:r>
          </w:p>
        </w:tc>
        <w:tc>
          <w:tcPr>
            <w:tcW w:w="1975" w:type="dxa"/>
            <w:tcBorders>
              <w:top w:val="nil"/>
              <w:left w:val="nil"/>
              <w:bottom w:val="nil"/>
              <w:right w:val="single" w:sz="4" w:space="0" w:color="auto"/>
            </w:tcBorders>
            <w:shd w:val="clear" w:color="auto" w:fill="auto"/>
            <w:noWrap/>
            <w:vAlign w:val="bottom"/>
            <w:hideMark/>
          </w:tcPr>
          <w:p w14:paraId="654E78AC" w14:textId="77777777" w:rsidR="008136FA" w:rsidRPr="005F12F1" w:rsidRDefault="008136FA" w:rsidP="001C12B3">
            <w:pPr>
              <w:keepNext/>
              <w:rPr>
                <w:rFonts w:eastAsia="Times New Roman"/>
                <w:color w:val="000000"/>
              </w:rPr>
            </w:pPr>
            <w:r w:rsidRPr="000957AD">
              <w:t>£197</w:t>
            </w:r>
          </w:p>
        </w:tc>
        <w:tc>
          <w:tcPr>
            <w:tcW w:w="2289" w:type="dxa"/>
            <w:tcBorders>
              <w:top w:val="nil"/>
              <w:left w:val="nil"/>
              <w:bottom w:val="nil"/>
              <w:right w:val="single" w:sz="8" w:space="0" w:color="auto"/>
            </w:tcBorders>
            <w:shd w:val="clear" w:color="auto" w:fill="auto"/>
            <w:noWrap/>
            <w:vAlign w:val="bottom"/>
            <w:hideMark/>
          </w:tcPr>
          <w:p w14:paraId="0E78401F" w14:textId="77777777" w:rsidR="008136FA" w:rsidRPr="005F12F1" w:rsidRDefault="008136FA" w:rsidP="001C12B3">
            <w:pPr>
              <w:keepNext/>
              <w:rPr>
                <w:rFonts w:eastAsia="Times New Roman"/>
                <w:color w:val="000000"/>
              </w:rPr>
            </w:pPr>
            <w:r w:rsidRPr="000957AD">
              <w:t>-£38</w:t>
            </w:r>
          </w:p>
        </w:tc>
      </w:tr>
      <w:tr w:rsidR="00C101B4" w:rsidRPr="000957AD" w14:paraId="2AE1086B"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hideMark/>
          </w:tcPr>
          <w:p w14:paraId="655611AB" w14:textId="77777777" w:rsidR="008136FA" w:rsidRPr="005F12F1" w:rsidRDefault="008136FA" w:rsidP="001C12B3">
            <w:pPr>
              <w:keepNext/>
            </w:pPr>
            <w:r w:rsidRPr="005F12F1">
              <w:t>A&amp;E costs</w:t>
            </w:r>
          </w:p>
        </w:tc>
        <w:tc>
          <w:tcPr>
            <w:tcW w:w="1326" w:type="dxa"/>
            <w:tcBorders>
              <w:top w:val="nil"/>
              <w:left w:val="nil"/>
              <w:bottom w:val="nil"/>
              <w:right w:val="single" w:sz="4" w:space="0" w:color="auto"/>
            </w:tcBorders>
            <w:shd w:val="clear" w:color="auto" w:fill="auto"/>
            <w:noWrap/>
            <w:vAlign w:val="bottom"/>
            <w:hideMark/>
          </w:tcPr>
          <w:p w14:paraId="31F0C24F" w14:textId="77777777" w:rsidR="008136FA" w:rsidRPr="005F12F1" w:rsidRDefault="008136FA" w:rsidP="001C12B3">
            <w:pPr>
              <w:keepNext/>
              <w:rPr>
                <w:rFonts w:eastAsia="Times New Roman"/>
              </w:rPr>
            </w:pPr>
            <w:r w:rsidRPr="000957AD">
              <w:t>£181</w:t>
            </w:r>
          </w:p>
        </w:tc>
        <w:tc>
          <w:tcPr>
            <w:tcW w:w="1975" w:type="dxa"/>
            <w:tcBorders>
              <w:top w:val="nil"/>
              <w:left w:val="nil"/>
              <w:bottom w:val="nil"/>
              <w:right w:val="single" w:sz="4" w:space="0" w:color="auto"/>
            </w:tcBorders>
            <w:shd w:val="clear" w:color="auto" w:fill="auto"/>
            <w:noWrap/>
            <w:vAlign w:val="bottom"/>
            <w:hideMark/>
          </w:tcPr>
          <w:p w14:paraId="7C5B2DD5" w14:textId="77777777" w:rsidR="008136FA" w:rsidRPr="005F12F1" w:rsidRDefault="008136FA" w:rsidP="001C12B3">
            <w:pPr>
              <w:keepNext/>
              <w:rPr>
                <w:rFonts w:eastAsia="Times New Roman"/>
                <w:color w:val="000000"/>
              </w:rPr>
            </w:pPr>
            <w:r w:rsidRPr="000957AD">
              <w:t>£152</w:t>
            </w:r>
          </w:p>
        </w:tc>
        <w:tc>
          <w:tcPr>
            <w:tcW w:w="2289" w:type="dxa"/>
            <w:tcBorders>
              <w:top w:val="nil"/>
              <w:left w:val="nil"/>
              <w:bottom w:val="nil"/>
              <w:right w:val="single" w:sz="8" w:space="0" w:color="auto"/>
            </w:tcBorders>
            <w:shd w:val="clear" w:color="auto" w:fill="auto"/>
            <w:noWrap/>
            <w:vAlign w:val="bottom"/>
            <w:hideMark/>
          </w:tcPr>
          <w:p w14:paraId="50FA3C1D" w14:textId="77777777" w:rsidR="008136FA" w:rsidRPr="005F12F1" w:rsidRDefault="008136FA" w:rsidP="001C12B3">
            <w:pPr>
              <w:keepNext/>
              <w:rPr>
                <w:rFonts w:eastAsia="Times New Roman"/>
                <w:color w:val="000000"/>
              </w:rPr>
            </w:pPr>
            <w:r w:rsidRPr="000957AD">
              <w:t>-£30</w:t>
            </w:r>
          </w:p>
        </w:tc>
      </w:tr>
      <w:tr w:rsidR="00C101B4" w:rsidRPr="000957AD" w14:paraId="753CF957"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hideMark/>
          </w:tcPr>
          <w:p w14:paraId="160CA938" w14:textId="77777777" w:rsidR="008136FA" w:rsidRPr="005F12F1" w:rsidRDefault="008136FA" w:rsidP="001C12B3">
            <w:pPr>
              <w:keepNext/>
            </w:pPr>
            <w:r w:rsidRPr="005F12F1">
              <w:t>Inpatient admission costs</w:t>
            </w:r>
          </w:p>
        </w:tc>
        <w:tc>
          <w:tcPr>
            <w:tcW w:w="1326" w:type="dxa"/>
            <w:tcBorders>
              <w:top w:val="nil"/>
              <w:left w:val="nil"/>
              <w:bottom w:val="nil"/>
              <w:right w:val="single" w:sz="4" w:space="0" w:color="auto"/>
            </w:tcBorders>
            <w:shd w:val="clear" w:color="auto" w:fill="auto"/>
            <w:noWrap/>
            <w:vAlign w:val="bottom"/>
            <w:hideMark/>
          </w:tcPr>
          <w:p w14:paraId="7EC49398" w14:textId="77777777" w:rsidR="008136FA" w:rsidRPr="005F12F1" w:rsidRDefault="008136FA" w:rsidP="001C12B3">
            <w:pPr>
              <w:keepNext/>
              <w:rPr>
                <w:rFonts w:eastAsia="Times New Roman"/>
              </w:rPr>
            </w:pPr>
            <w:r w:rsidRPr="000957AD">
              <w:t>£588</w:t>
            </w:r>
          </w:p>
        </w:tc>
        <w:tc>
          <w:tcPr>
            <w:tcW w:w="1975" w:type="dxa"/>
            <w:tcBorders>
              <w:top w:val="nil"/>
              <w:left w:val="nil"/>
              <w:bottom w:val="nil"/>
              <w:right w:val="single" w:sz="4" w:space="0" w:color="auto"/>
            </w:tcBorders>
            <w:shd w:val="clear" w:color="auto" w:fill="auto"/>
            <w:noWrap/>
            <w:vAlign w:val="bottom"/>
            <w:hideMark/>
          </w:tcPr>
          <w:p w14:paraId="565F2EA5" w14:textId="77777777" w:rsidR="008136FA" w:rsidRPr="005F12F1" w:rsidRDefault="008136FA" w:rsidP="001C12B3">
            <w:pPr>
              <w:keepNext/>
              <w:rPr>
                <w:rFonts w:eastAsia="Times New Roman"/>
                <w:color w:val="000000"/>
              </w:rPr>
            </w:pPr>
            <w:r w:rsidRPr="000957AD">
              <w:t>£492</w:t>
            </w:r>
          </w:p>
        </w:tc>
        <w:tc>
          <w:tcPr>
            <w:tcW w:w="2289" w:type="dxa"/>
            <w:tcBorders>
              <w:top w:val="nil"/>
              <w:left w:val="nil"/>
              <w:bottom w:val="nil"/>
              <w:right w:val="single" w:sz="8" w:space="0" w:color="auto"/>
            </w:tcBorders>
            <w:shd w:val="clear" w:color="auto" w:fill="auto"/>
            <w:noWrap/>
            <w:vAlign w:val="bottom"/>
            <w:hideMark/>
          </w:tcPr>
          <w:p w14:paraId="1C8D5685" w14:textId="77777777" w:rsidR="008136FA" w:rsidRPr="005F12F1" w:rsidRDefault="008136FA" w:rsidP="001C12B3">
            <w:pPr>
              <w:keepNext/>
              <w:rPr>
                <w:rFonts w:eastAsia="Times New Roman"/>
                <w:color w:val="000000"/>
              </w:rPr>
            </w:pPr>
            <w:r w:rsidRPr="000957AD">
              <w:t>-£96</w:t>
            </w:r>
          </w:p>
        </w:tc>
      </w:tr>
      <w:tr w:rsidR="00C101B4" w:rsidRPr="000957AD" w14:paraId="358DA73D"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hideMark/>
          </w:tcPr>
          <w:p w14:paraId="3F367451" w14:textId="77777777" w:rsidR="008136FA" w:rsidRPr="005F12F1" w:rsidRDefault="008136FA" w:rsidP="001C12B3">
            <w:pPr>
              <w:keepNext/>
            </w:pPr>
            <w:r w:rsidRPr="005F12F1">
              <w:t>Costs of treating Ecstasy dependence</w:t>
            </w:r>
          </w:p>
        </w:tc>
        <w:tc>
          <w:tcPr>
            <w:tcW w:w="1326" w:type="dxa"/>
            <w:tcBorders>
              <w:top w:val="nil"/>
              <w:left w:val="nil"/>
              <w:bottom w:val="nil"/>
              <w:right w:val="single" w:sz="4" w:space="0" w:color="auto"/>
            </w:tcBorders>
            <w:shd w:val="clear" w:color="auto" w:fill="auto"/>
            <w:noWrap/>
            <w:vAlign w:val="bottom"/>
            <w:hideMark/>
          </w:tcPr>
          <w:p w14:paraId="27192F0E" w14:textId="77777777" w:rsidR="008136FA" w:rsidRPr="005F12F1" w:rsidRDefault="008136FA" w:rsidP="001C12B3">
            <w:pPr>
              <w:keepNext/>
              <w:rPr>
                <w:rFonts w:eastAsia="Times New Roman"/>
              </w:rPr>
            </w:pPr>
            <w:r w:rsidRPr="000957AD">
              <w:t>£1,135</w:t>
            </w:r>
          </w:p>
        </w:tc>
        <w:tc>
          <w:tcPr>
            <w:tcW w:w="1975" w:type="dxa"/>
            <w:tcBorders>
              <w:top w:val="nil"/>
              <w:left w:val="nil"/>
              <w:bottom w:val="nil"/>
              <w:right w:val="single" w:sz="4" w:space="0" w:color="auto"/>
            </w:tcBorders>
            <w:shd w:val="clear" w:color="auto" w:fill="auto"/>
            <w:noWrap/>
            <w:vAlign w:val="bottom"/>
            <w:hideMark/>
          </w:tcPr>
          <w:p w14:paraId="0C2EE795" w14:textId="77777777" w:rsidR="008136FA" w:rsidRPr="005F12F1" w:rsidRDefault="008136FA" w:rsidP="001C12B3">
            <w:pPr>
              <w:keepNext/>
              <w:rPr>
                <w:rFonts w:eastAsia="Times New Roman"/>
                <w:color w:val="000000"/>
              </w:rPr>
            </w:pPr>
            <w:r w:rsidRPr="000957AD">
              <w:t>£950</w:t>
            </w:r>
          </w:p>
        </w:tc>
        <w:tc>
          <w:tcPr>
            <w:tcW w:w="2289" w:type="dxa"/>
            <w:tcBorders>
              <w:top w:val="nil"/>
              <w:left w:val="nil"/>
              <w:bottom w:val="nil"/>
              <w:right w:val="single" w:sz="8" w:space="0" w:color="auto"/>
            </w:tcBorders>
            <w:shd w:val="clear" w:color="auto" w:fill="auto"/>
            <w:noWrap/>
            <w:vAlign w:val="bottom"/>
            <w:hideMark/>
          </w:tcPr>
          <w:p w14:paraId="7E76FB25" w14:textId="77777777" w:rsidR="008136FA" w:rsidRPr="005F12F1" w:rsidRDefault="008136FA" w:rsidP="001C12B3">
            <w:pPr>
              <w:keepNext/>
              <w:rPr>
                <w:rFonts w:eastAsia="Times New Roman"/>
                <w:color w:val="000000"/>
              </w:rPr>
            </w:pPr>
            <w:r w:rsidRPr="000957AD">
              <w:t>-£185</w:t>
            </w:r>
          </w:p>
        </w:tc>
      </w:tr>
      <w:tr w:rsidR="00C101B4" w:rsidRPr="000957AD" w14:paraId="08561ADD"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hideMark/>
          </w:tcPr>
          <w:p w14:paraId="16559F1D" w14:textId="77777777" w:rsidR="008136FA" w:rsidRPr="005F12F1" w:rsidRDefault="008136FA" w:rsidP="001C12B3">
            <w:pPr>
              <w:keepNext/>
            </w:pPr>
            <w:r w:rsidRPr="005F12F1">
              <w:t>Costs of Ecstasy-related death</w:t>
            </w:r>
          </w:p>
        </w:tc>
        <w:tc>
          <w:tcPr>
            <w:tcW w:w="1326" w:type="dxa"/>
            <w:tcBorders>
              <w:top w:val="nil"/>
              <w:left w:val="nil"/>
              <w:bottom w:val="nil"/>
              <w:right w:val="single" w:sz="4" w:space="0" w:color="auto"/>
            </w:tcBorders>
            <w:shd w:val="clear" w:color="auto" w:fill="auto"/>
            <w:noWrap/>
            <w:vAlign w:val="bottom"/>
            <w:hideMark/>
          </w:tcPr>
          <w:p w14:paraId="6DC5C7BE" w14:textId="77777777" w:rsidR="008136FA" w:rsidRPr="005F12F1" w:rsidRDefault="008136FA" w:rsidP="001C12B3">
            <w:pPr>
              <w:keepNext/>
              <w:rPr>
                <w:rFonts w:eastAsia="Times New Roman"/>
              </w:rPr>
            </w:pPr>
            <w:r w:rsidRPr="000957AD">
              <w:t>£16</w:t>
            </w:r>
          </w:p>
        </w:tc>
        <w:tc>
          <w:tcPr>
            <w:tcW w:w="1975" w:type="dxa"/>
            <w:tcBorders>
              <w:top w:val="nil"/>
              <w:left w:val="nil"/>
              <w:bottom w:val="nil"/>
              <w:right w:val="single" w:sz="4" w:space="0" w:color="auto"/>
            </w:tcBorders>
            <w:shd w:val="clear" w:color="auto" w:fill="auto"/>
            <w:noWrap/>
            <w:vAlign w:val="bottom"/>
            <w:hideMark/>
          </w:tcPr>
          <w:p w14:paraId="578CA44E" w14:textId="77777777" w:rsidR="008136FA" w:rsidRPr="005F12F1" w:rsidRDefault="008136FA" w:rsidP="001C12B3">
            <w:pPr>
              <w:keepNext/>
              <w:rPr>
                <w:rFonts w:eastAsia="Times New Roman"/>
                <w:color w:val="000000"/>
              </w:rPr>
            </w:pPr>
            <w:r w:rsidRPr="000957AD">
              <w:t>£13</w:t>
            </w:r>
          </w:p>
        </w:tc>
        <w:tc>
          <w:tcPr>
            <w:tcW w:w="2289" w:type="dxa"/>
            <w:tcBorders>
              <w:top w:val="nil"/>
              <w:left w:val="nil"/>
              <w:bottom w:val="nil"/>
              <w:right w:val="single" w:sz="8" w:space="0" w:color="auto"/>
            </w:tcBorders>
            <w:shd w:val="clear" w:color="auto" w:fill="auto"/>
            <w:noWrap/>
            <w:vAlign w:val="bottom"/>
            <w:hideMark/>
          </w:tcPr>
          <w:p w14:paraId="49882DE9" w14:textId="77777777" w:rsidR="008136FA" w:rsidRPr="005F12F1" w:rsidRDefault="008136FA" w:rsidP="001C12B3">
            <w:pPr>
              <w:keepNext/>
              <w:rPr>
                <w:rFonts w:eastAsia="Times New Roman"/>
                <w:color w:val="000000"/>
              </w:rPr>
            </w:pPr>
            <w:r w:rsidRPr="000957AD">
              <w:t>-£3</w:t>
            </w:r>
          </w:p>
        </w:tc>
      </w:tr>
      <w:tr w:rsidR="00C101B4" w:rsidRPr="000957AD" w14:paraId="73092B13"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hideMark/>
          </w:tcPr>
          <w:p w14:paraId="6A51543E" w14:textId="77777777" w:rsidR="008136FA" w:rsidRPr="005F12F1" w:rsidRDefault="008136FA" w:rsidP="001C12B3">
            <w:pPr>
              <w:keepNext/>
            </w:pPr>
            <w:r w:rsidRPr="005F12F1">
              <w:t> </w:t>
            </w:r>
          </w:p>
        </w:tc>
        <w:tc>
          <w:tcPr>
            <w:tcW w:w="1326" w:type="dxa"/>
            <w:tcBorders>
              <w:top w:val="nil"/>
              <w:left w:val="nil"/>
              <w:bottom w:val="nil"/>
              <w:right w:val="single" w:sz="4" w:space="0" w:color="auto"/>
            </w:tcBorders>
            <w:shd w:val="clear" w:color="auto" w:fill="auto"/>
            <w:noWrap/>
            <w:vAlign w:val="bottom"/>
            <w:hideMark/>
          </w:tcPr>
          <w:p w14:paraId="4D19C50F" w14:textId="77777777" w:rsidR="008136FA" w:rsidRPr="005F12F1" w:rsidRDefault="008136FA" w:rsidP="001C12B3">
            <w:pPr>
              <w:keepNext/>
            </w:pPr>
          </w:p>
        </w:tc>
        <w:tc>
          <w:tcPr>
            <w:tcW w:w="1975" w:type="dxa"/>
            <w:tcBorders>
              <w:top w:val="nil"/>
              <w:left w:val="nil"/>
              <w:bottom w:val="nil"/>
              <w:right w:val="single" w:sz="4" w:space="0" w:color="auto"/>
            </w:tcBorders>
            <w:shd w:val="clear" w:color="auto" w:fill="auto"/>
            <w:noWrap/>
            <w:vAlign w:val="bottom"/>
            <w:hideMark/>
          </w:tcPr>
          <w:p w14:paraId="70A9B7EC" w14:textId="77777777" w:rsidR="008136FA" w:rsidRPr="005F12F1" w:rsidRDefault="008136FA" w:rsidP="001C12B3">
            <w:pPr>
              <w:keepNext/>
            </w:pPr>
          </w:p>
        </w:tc>
        <w:tc>
          <w:tcPr>
            <w:tcW w:w="2289" w:type="dxa"/>
            <w:tcBorders>
              <w:top w:val="nil"/>
              <w:left w:val="nil"/>
              <w:bottom w:val="nil"/>
              <w:right w:val="single" w:sz="8" w:space="0" w:color="auto"/>
            </w:tcBorders>
            <w:shd w:val="clear" w:color="auto" w:fill="auto"/>
            <w:noWrap/>
            <w:vAlign w:val="bottom"/>
            <w:hideMark/>
          </w:tcPr>
          <w:p w14:paraId="3A01D305" w14:textId="77777777" w:rsidR="008136FA" w:rsidRPr="005F12F1" w:rsidRDefault="008136FA" w:rsidP="001C12B3">
            <w:pPr>
              <w:keepNext/>
            </w:pPr>
          </w:p>
        </w:tc>
      </w:tr>
      <w:tr w:rsidR="00C101B4" w:rsidRPr="000957AD" w14:paraId="4F8CEB7B" w14:textId="77777777" w:rsidTr="00C101B4">
        <w:trPr>
          <w:trHeight w:val="300"/>
        </w:trPr>
        <w:tc>
          <w:tcPr>
            <w:tcW w:w="3652" w:type="dxa"/>
            <w:tcBorders>
              <w:top w:val="nil"/>
              <w:left w:val="single" w:sz="8" w:space="0" w:color="auto"/>
              <w:bottom w:val="nil"/>
              <w:right w:val="single" w:sz="4" w:space="0" w:color="auto"/>
            </w:tcBorders>
            <w:shd w:val="clear" w:color="000000" w:fill="DDEBF7"/>
            <w:noWrap/>
            <w:vAlign w:val="bottom"/>
            <w:hideMark/>
          </w:tcPr>
          <w:p w14:paraId="41C663F3" w14:textId="77777777" w:rsidR="008136FA" w:rsidRPr="005F12F1" w:rsidRDefault="008136FA" w:rsidP="001C12B3">
            <w:pPr>
              <w:keepNext/>
            </w:pPr>
            <w:r w:rsidRPr="005F12F1">
              <w:t>Total crime costs (£'000s)</w:t>
            </w:r>
          </w:p>
        </w:tc>
        <w:tc>
          <w:tcPr>
            <w:tcW w:w="1326" w:type="dxa"/>
            <w:tcBorders>
              <w:top w:val="nil"/>
              <w:left w:val="nil"/>
              <w:bottom w:val="nil"/>
              <w:right w:val="single" w:sz="4" w:space="0" w:color="auto"/>
            </w:tcBorders>
            <w:shd w:val="clear" w:color="000000" w:fill="DDEBF7"/>
            <w:noWrap/>
            <w:vAlign w:val="bottom"/>
            <w:hideMark/>
          </w:tcPr>
          <w:p w14:paraId="72F53844" w14:textId="77777777" w:rsidR="008136FA" w:rsidRPr="005F12F1" w:rsidRDefault="008136FA" w:rsidP="001C12B3">
            <w:pPr>
              <w:keepNext/>
              <w:rPr>
                <w:rFonts w:eastAsia="Times New Roman"/>
              </w:rPr>
            </w:pPr>
            <w:r w:rsidRPr="000957AD">
              <w:t>£4,109</w:t>
            </w:r>
          </w:p>
        </w:tc>
        <w:tc>
          <w:tcPr>
            <w:tcW w:w="1975" w:type="dxa"/>
            <w:tcBorders>
              <w:top w:val="nil"/>
              <w:left w:val="nil"/>
              <w:bottom w:val="nil"/>
              <w:right w:val="single" w:sz="4" w:space="0" w:color="auto"/>
            </w:tcBorders>
            <w:shd w:val="clear" w:color="000000" w:fill="DDEBF7"/>
            <w:noWrap/>
            <w:vAlign w:val="bottom"/>
            <w:hideMark/>
          </w:tcPr>
          <w:p w14:paraId="447C847C" w14:textId="77777777" w:rsidR="008136FA" w:rsidRPr="005F12F1" w:rsidRDefault="008136FA" w:rsidP="001C12B3">
            <w:pPr>
              <w:keepNext/>
              <w:rPr>
                <w:rFonts w:eastAsia="Times New Roman"/>
                <w:color w:val="000000"/>
              </w:rPr>
            </w:pPr>
            <w:r w:rsidRPr="000957AD">
              <w:t>£3,439</w:t>
            </w:r>
          </w:p>
        </w:tc>
        <w:tc>
          <w:tcPr>
            <w:tcW w:w="2289" w:type="dxa"/>
            <w:tcBorders>
              <w:top w:val="nil"/>
              <w:left w:val="nil"/>
              <w:bottom w:val="nil"/>
              <w:right w:val="single" w:sz="8" w:space="0" w:color="auto"/>
            </w:tcBorders>
            <w:shd w:val="clear" w:color="000000" w:fill="DDEBF7"/>
            <w:noWrap/>
            <w:vAlign w:val="bottom"/>
            <w:hideMark/>
          </w:tcPr>
          <w:p w14:paraId="77F36595" w14:textId="77777777" w:rsidR="008136FA" w:rsidRPr="005F12F1" w:rsidRDefault="008136FA" w:rsidP="001C12B3">
            <w:pPr>
              <w:keepNext/>
              <w:rPr>
                <w:rFonts w:eastAsia="Times New Roman"/>
                <w:color w:val="000000"/>
              </w:rPr>
            </w:pPr>
            <w:r w:rsidRPr="000957AD">
              <w:t>-£670</w:t>
            </w:r>
          </w:p>
        </w:tc>
      </w:tr>
      <w:tr w:rsidR="00C101B4" w:rsidRPr="000957AD" w14:paraId="35CD05EC"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hideMark/>
          </w:tcPr>
          <w:p w14:paraId="6C32AC2A" w14:textId="77777777" w:rsidR="008136FA" w:rsidRPr="005F12F1" w:rsidRDefault="008136FA" w:rsidP="001C12B3">
            <w:pPr>
              <w:keepNext/>
            </w:pPr>
            <w:r w:rsidRPr="005F12F1">
              <w:t>Arrest costs</w:t>
            </w:r>
          </w:p>
        </w:tc>
        <w:tc>
          <w:tcPr>
            <w:tcW w:w="1326" w:type="dxa"/>
            <w:tcBorders>
              <w:top w:val="nil"/>
              <w:left w:val="nil"/>
              <w:bottom w:val="nil"/>
              <w:right w:val="single" w:sz="4" w:space="0" w:color="auto"/>
            </w:tcBorders>
            <w:shd w:val="clear" w:color="auto" w:fill="auto"/>
            <w:noWrap/>
            <w:vAlign w:val="bottom"/>
            <w:hideMark/>
          </w:tcPr>
          <w:p w14:paraId="6F03C955" w14:textId="77777777" w:rsidR="008136FA" w:rsidRPr="005F12F1" w:rsidRDefault="008136FA" w:rsidP="001C12B3">
            <w:pPr>
              <w:keepNext/>
              <w:rPr>
                <w:rFonts w:eastAsia="Times New Roman"/>
              </w:rPr>
            </w:pPr>
            <w:r w:rsidRPr="000957AD">
              <w:t>£2,454</w:t>
            </w:r>
          </w:p>
        </w:tc>
        <w:tc>
          <w:tcPr>
            <w:tcW w:w="1975" w:type="dxa"/>
            <w:tcBorders>
              <w:top w:val="nil"/>
              <w:left w:val="nil"/>
              <w:bottom w:val="nil"/>
              <w:right w:val="single" w:sz="4" w:space="0" w:color="auto"/>
            </w:tcBorders>
            <w:shd w:val="clear" w:color="auto" w:fill="auto"/>
            <w:noWrap/>
            <w:vAlign w:val="bottom"/>
            <w:hideMark/>
          </w:tcPr>
          <w:p w14:paraId="7F4FA84D" w14:textId="77777777" w:rsidR="008136FA" w:rsidRPr="005F12F1" w:rsidRDefault="008136FA" w:rsidP="001C12B3">
            <w:pPr>
              <w:keepNext/>
              <w:rPr>
                <w:rFonts w:eastAsia="Times New Roman"/>
                <w:color w:val="000000"/>
              </w:rPr>
            </w:pPr>
            <w:r w:rsidRPr="000957AD">
              <w:t>£2,054</w:t>
            </w:r>
          </w:p>
        </w:tc>
        <w:tc>
          <w:tcPr>
            <w:tcW w:w="2289" w:type="dxa"/>
            <w:tcBorders>
              <w:top w:val="nil"/>
              <w:left w:val="nil"/>
              <w:bottom w:val="nil"/>
              <w:right w:val="single" w:sz="8" w:space="0" w:color="auto"/>
            </w:tcBorders>
            <w:shd w:val="clear" w:color="auto" w:fill="auto"/>
            <w:noWrap/>
            <w:vAlign w:val="bottom"/>
            <w:hideMark/>
          </w:tcPr>
          <w:p w14:paraId="2DF89DDD" w14:textId="77777777" w:rsidR="008136FA" w:rsidRPr="005F12F1" w:rsidRDefault="008136FA" w:rsidP="001C12B3">
            <w:pPr>
              <w:keepNext/>
              <w:rPr>
                <w:rFonts w:eastAsia="Times New Roman"/>
                <w:color w:val="000000"/>
              </w:rPr>
            </w:pPr>
            <w:r w:rsidRPr="000957AD">
              <w:t>-£400</w:t>
            </w:r>
          </w:p>
        </w:tc>
      </w:tr>
      <w:tr w:rsidR="00C101B4" w:rsidRPr="000957AD" w14:paraId="364A39A5"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hideMark/>
          </w:tcPr>
          <w:p w14:paraId="1568F206" w14:textId="77777777" w:rsidR="008136FA" w:rsidRPr="005F12F1" w:rsidRDefault="008136FA" w:rsidP="001C12B3">
            <w:pPr>
              <w:keepNext/>
            </w:pPr>
            <w:r w:rsidRPr="005F12F1">
              <w:t>Sentencing costs</w:t>
            </w:r>
          </w:p>
        </w:tc>
        <w:tc>
          <w:tcPr>
            <w:tcW w:w="1326" w:type="dxa"/>
            <w:tcBorders>
              <w:top w:val="nil"/>
              <w:left w:val="nil"/>
              <w:bottom w:val="nil"/>
              <w:right w:val="single" w:sz="4" w:space="0" w:color="auto"/>
            </w:tcBorders>
            <w:shd w:val="clear" w:color="auto" w:fill="auto"/>
            <w:noWrap/>
            <w:vAlign w:val="bottom"/>
            <w:hideMark/>
          </w:tcPr>
          <w:p w14:paraId="76198800" w14:textId="77777777" w:rsidR="008136FA" w:rsidRPr="005F12F1" w:rsidRDefault="008136FA" w:rsidP="001C12B3">
            <w:pPr>
              <w:keepNext/>
              <w:rPr>
                <w:rFonts w:eastAsia="Times New Roman"/>
              </w:rPr>
            </w:pPr>
            <w:r w:rsidRPr="000957AD">
              <w:t>£593</w:t>
            </w:r>
          </w:p>
        </w:tc>
        <w:tc>
          <w:tcPr>
            <w:tcW w:w="1975" w:type="dxa"/>
            <w:tcBorders>
              <w:top w:val="nil"/>
              <w:left w:val="nil"/>
              <w:bottom w:val="nil"/>
              <w:right w:val="single" w:sz="4" w:space="0" w:color="auto"/>
            </w:tcBorders>
            <w:shd w:val="clear" w:color="auto" w:fill="auto"/>
            <w:noWrap/>
            <w:vAlign w:val="bottom"/>
            <w:hideMark/>
          </w:tcPr>
          <w:p w14:paraId="4C834E34" w14:textId="77777777" w:rsidR="008136FA" w:rsidRPr="005F12F1" w:rsidRDefault="008136FA" w:rsidP="001C12B3">
            <w:pPr>
              <w:keepNext/>
              <w:rPr>
                <w:rFonts w:eastAsia="Times New Roman"/>
                <w:color w:val="000000"/>
              </w:rPr>
            </w:pPr>
            <w:r w:rsidRPr="000957AD">
              <w:t>£496</w:t>
            </w:r>
          </w:p>
        </w:tc>
        <w:tc>
          <w:tcPr>
            <w:tcW w:w="2289" w:type="dxa"/>
            <w:tcBorders>
              <w:top w:val="nil"/>
              <w:left w:val="nil"/>
              <w:bottom w:val="nil"/>
              <w:right w:val="single" w:sz="8" w:space="0" w:color="auto"/>
            </w:tcBorders>
            <w:shd w:val="clear" w:color="auto" w:fill="auto"/>
            <w:noWrap/>
            <w:vAlign w:val="bottom"/>
            <w:hideMark/>
          </w:tcPr>
          <w:p w14:paraId="645BF170" w14:textId="77777777" w:rsidR="008136FA" w:rsidRPr="005F12F1" w:rsidRDefault="008136FA" w:rsidP="001C12B3">
            <w:pPr>
              <w:keepNext/>
              <w:rPr>
                <w:rFonts w:eastAsia="Times New Roman"/>
                <w:color w:val="000000"/>
              </w:rPr>
            </w:pPr>
            <w:r w:rsidRPr="000957AD">
              <w:t>-£97</w:t>
            </w:r>
          </w:p>
        </w:tc>
      </w:tr>
      <w:tr w:rsidR="00C101B4" w:rsidRPr="000957AD" w14:paraId="5DA34139"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hideMark/>
          </w:tcPr>
          <w:p w14:paraId="58922E41" w14:textId="77777777" w:rsidR="008136FA" w:rsidRPr="005F12F1" w:rsidRDefault="008136FA" w:rsidP="001C12B3">
            <w:pPr>
              <w:keepNext/>
            </w:pPr>
            <w:r w:rsidRPr="005F12F1">
              <w:t>Court costs</w:t>
            </w:r>
          </w:p>
        </w:tc>
        <w:tc>
          <w:tcPr>
            <w:tcW w:w="1326" w:type="dxa"/>
            <w:tcBorders>
              <w:top w:val="nil"/>
              <w:left w:val="nil"/>
              <w:bottom w:val="nil"/>
              <w:right w:val="single" w:sz="4" w:space="0" w:color="auto"/>
            </w:tcBorders>
            <w:shd w:val="clear" w:color="auto" w:fill="auto"/>
            <w:noWrap/>
            <w:vAlign w:val="bottom"/>
            <w:hideMark/>
          </w:tcPr>
          <w:p w14:paraId="7B05601B" w14:textId="77777777" w:rsidR="008136FA" w:rsidRPr="005F12F1" w:rsidRDefault="008136FA" w:rsidP="001C12B3">
            <w:pPr>
              <w:keepNext/>
              <w:rPr>
                <w:rFonts w:eastAsia="Times New Roman"/>
              </w:rPr>
            </w:pPr>
            <w:r w:rsidRPr="000957AD">
              <w:t>£1,062</w:t>
            </w:r>
          </w:p>
        </w:tc>
        <w:tc>
          <w:tcPr>
            <w:tcW w:w="1975" w:type="dxa"/>
            <w:tcBorders>
              <w:top w:val="nil"/>
              <w:left w:val="nil"/>
              <w:bottom w:val="nil"/>
              <w:right w:val="single" w:sz="4" w:space="0" w:color="auto"/>
            </w:tcBorders>
            <w:shd w:val="clear" w:color="auto" w:fill="auto"/>
            <w:noWrap/>
            <w:vAlign w:val="bottom"/>
            <w:hideMark/>
          </w:tcPr>
          <w:p w14:paraId="1844EC9D" w14:textId="77777777" w:rsidR="008136FA" w:rsidRPr="005F12F1" w:rsidRDefault="008136FA" w:rsidP="001C12B3">
            <w:pPr>
              <w:keepNext/>
              <w:rPr>
                <w:rFonts w:eastAsia="Times New Roman"/>
                <w:color w:val="000000"/>
              </w:rPr>
            </w:pPr>
            <w:r w:rsidRPr="000957AD">
              <w:t>£889</w:t>
            </w:r>
          </w:p>
        </w:tc>
        <w:tc>
          <w:tcPr>
            <w:tcW w:w="2289" w:type="dxa"/>
            <w:tcBorders>
              <w:top w:val="nil"/>
              <w:left w:val="nil"/>
              <w:bottom w:val="nil"/>
              <w:right w:val="single" w:sz="8" w:space="0" w:color="auto"/>
            </w:tcBorders>
            <w:shd w:val="clear" w:color="auto" w:fill="auto"/>
            <w:noWrap/>
            <w:vAlign w:val="bottom"/>
            <w:hideMark/>
          </w:tcPr>
          <w:p w14:paraId="2735FFCE" w14:textId="77777777" w:rsidR="008136FA" w:rsidRPr="005F12F1" w:rsidRDefault="008136FA" w:rsidP="001C12B3">
            <w:pPr>
              <w:keepNext/>
              <w:rPr>
                <w:rFonts w:eastAsia="Times New Roman"/>
                <w:color w:val="000000"/>
              </w:rPr>
            </w:pPr>
            <w:r w:rsidRPr="000957AD">
              <w:t>-£173</w:t>
            </w:r>
          </w:p>
        </w:tc>
      </w:tr>
      <w:tr w:rsidR="00C101B4" w:rsidRPr="000957AD" w14:paraId="6C7E9E30"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hideMark/>
          </w:tcPr>
          <w:p w14:paraId="5B0A1B2C" w14:textId="77777777" w:rsidR="008136FA" w:rsidRPr="005F12F1" w:rsidRDefault="008136FA" w:rsidP="001C12B3">
            <w:pPr>
              <w:keepNext/>
            </w:pPr>
            <w:r w:rsidRPr="005F12F1">
              <w:t> </w:t>
            </w:r>
          </w:p>
        </w:tc>
        <w:tc>
          <w:tcPr>
            <w:tcW w:w="1326" w:type="dxa"/>
            <w:tcBorders>
              <w:top w:val="nil"/>
              <w:left w:val="nil"/>
              <w:bottom w:val="nil"/>
              <w:right w:val="single" w:sz="4" w:space="0" w:color="auto"/>
            </w:tcBorders>
            <w:shd w:val="clear" w:color="auto" w:fill="auto"/>
            <w:noWrap/>
            <w:vAlign w:val="bottom"/>
          </w:tcPr>
          <w:p w14:paraId="2DC13D4E" w14:textId="77777777" w:rsidR="008136FA" w:rsidRPr="005F12F1" w:rsidRDefault="008136FA" w:rsidP="001C12B3">
            <w:pPr>
              <w:keepNext/>
            </w:pPr>
          </w:p>
        </w:tc>
        <w:tc>
          <w:tcPr>
            <w:tcW w:w="1975" w:type="dxa"/>
            <w:tcBorders>
              <w:top w:val="nil"/>
              <w:left w:val="nil"/>
              <w:bottom w:val="nil"/>
              <w:right w:val="single" w:sz="4" w:space="0" w:color="auto"/>
            </w:tcBorders>
            <w:shd w:val="clear" w:color="auto" w:fill="auto"/>
            <w:noWrap/>
            <w:vAlign w:val="bottom"/>
            <w:hideMark/>
          </w:tcPr>
          <w:p w14:paraId="69599666" w14:textId="77777777" w:rsidR="008136FA" w:rsidRPr="005F12F1" w:rsidRDefault="008136FA" w:rsidP="001C12B3">
            <w:pPr>
              <w:keepNext/>
            </w:pPr>
          </w:p>
        </w:tc>
        <w:tc>
          <w:tcPr>
            <w:tcW w:w="2289" w:type="dxa"/>
            <w:tcBorders>
              <w:top w:val="nil"/>
              <w:left w:val="nil"/>
              <w:bottom w:val="nil"/>
              <w:right w:val="single" w:sz="8" w:space="0" w:color="auto"/>
            </w:tcBorders>
            <w:shd w:val="clear" w:color="auto" w:fill="auto"/>
            <w:noWrap/>
            <w:vAlign w:val="bottom"/>
            <w:hideMark/>
          </w:tcPr>
          <w:p w14:paraId="2CEBC8AF" w14:textId="77777777" w:rsidR="008136FA" w:rsidRPr="005F12F1" w:rsidRDefault="008136FA" w:rsidP="001C12B3">
            <w:pPr>
              <w:keepNext/>
            </w:pPr>
          </w:p>
        </w:tc>
      </w:tr>
      <w:tr w:rsidR="00C101B4" w:rsidRPr="000957AD" w14:paraId="609360A0" w14:textId="77777777" w:rsidTr="00C101B4">
        <w:trPr>
          <w:trHeight w:val="300"/>
        </w:trPr>
        <w:tc>
          <w:tcPr>
            <w:tcW w:w="3652" w:type="dxa"/>
            <w:tcBorders>
              <w:top w:val="nil"/>
              <w:left w:val="single" w:sz="8" w:space="0" w:color="auto"/>
              <w:bottom w:val="nil"/>
              <w:right w:val="single" w:sz="4" w:space="0" w:color="auto"/>
            </w:tcBorders>
            <w:shd w:val="clear" w:color="000000" w:fill="DDEBF7"/>
            <w:noWrap/>
            <w:vAlign w:val="bottom"/>
            <w:hideMark/>
          </w:tcPr>
          <w:p w14:paraId="5087959E" w14:textId="77777777" w:rsidR="008136FA" w:rsidRPr="005F12F1" w:rsidRDefault="008136FA" w:rsidP="001C12B3">
            <w:pPr>
              <w:keepNext/>
            </w:pPr>
            <w:r w:rsidRPr="005F12F1">
              <w:t>Societal costs (£'000s)</w:t>
            </w:r>
          </w:p>
        </w:tc>
        <w:tc>
          <w:tcPr>
            <w:tcW w:w="1326" w:type="dxa"/>
            <w:tcBorders>
              <w:top w:val="nil"/>
              <w:left w:val="nil"/>
              <w:bottom w:val="nil"/>
              <w:right w:val="single" w:sz="4" w:space="0" w:color="auto"/>
            </w:tcBorders>
            <w:shd w:val="clear" w:color="000000" w:fill="DDEBF7"/>
            <w:noWrap/>
            <w:vAlign w:val="bottom"/>
          </w:tcPr>
          <w:p w14:paraId="7C83A3BD" w14:textId="77777777" w:rsidR="008136FA" w:rsidRPr="005F12F1" w:rsidRDefault="008136FA" w:rsidP="001C12B3">
            <w:pPr>
              <w:keepNext/>
            </w:pPr>
          </w:p>
        </w:tc>
        <w:tc>
          <w:tcPr>
            <w:tcW w:w="1975" w:type="dxa"/>
            <w:tcBorders>
              <w:top w:val="nil"/>
              <w:left w:val="nil"/>
              <w:bottom w:val="nil"/>
              <w:right w:val="single" w:sz="4" w:space="0" w:color="auto"/>
            </w:tcBorders>
            <w:shd w:val="clear" w:color="000000" w:fill="DDEBF7"/>
            <w:noWrap/>
            <w:vAlign w:val="bottom"/>
            <w:hideMark/>
          </w:tcPr>
          <w:p w14:paraId="612D8597" w14:textId="77777777" w:rsidR="008136FA" w:rsidRPr="005F12F1" w:rsidRDefault="008136FA" w:rsidP="001C12B3">
            <w:pPr>
              <w:keepNext/>
            </w:pPr>
          </w:p>
        </w:tc>
        <w:tc>
          <w:tcPr>
            <w:tcW w:w="2289" w:type="dxa"/>
            <w:tcBorders>
              <w:top w:val="nil"/>
              <w:left w:val="nil"/>
              <w:bottom w:val="nil"/>
              <w:right w:val="single" w:sz="8" w:space="0" w:color="auto"/>
            </w:tcBorders>
            <w:shd w:val="clear" w:color="000000" w:fill="DDEBF7"/>
            <w:noWrap/>
            <w:vAlign w:val="bottom"/>
            <w:hideMark/>
          </w:tcPr>
          <w:p w14:paraId="2A6ADC55" w14:textId="77777777" w:rsidR="008136FA" w:rsidRPr="005F12F1" w:rsidRDefault="008136FA" w:rsidP="001C12B3">
            <w:pPr>
              <w:keepNext/>
            </w:pPr>
          </w:p>
        </w:tc>
      </w:tr>
      <w:tr w:rsidR="00C101B4" w:rsidRPr="000957AD" w14:paraId="7D3A2EEA"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hideMark/>
          </w:tcPr>
          <w:p w14:paraId="10EEB95D" w14:textId="77777777" w:rsidR="008136FA" w:rsidRPr="005F12F1" w:rsidRDefault="008136FA" w:rsidP="001C12B3">
            <w:pPr>
              <w:keepNext/>
            </w:pPr>
            <w:r w:rsidRPr="005F12F1">
              <w:t>QALY losses attributable to early death</w:t>
            </w:r>
          </w:p>
        </w:tc>
        <w:tc>
          <w:tcPr>
            <w:tcW w:w="1326" w:type="dxa"/>
            <w:tcBorders>
              <w:top w:val="nil"/>
              <w:left w:val="nil"/>
              <w:bottom w:val="nil"/>
              <w:right w:val="single" w:sz="4" w:space="0" w:color="auto"/>
            </w:tcBorders>
            <w:shd w:val="clear" w:color="auto" w:fill="auto"/>
            <w:noWrap/>
            <w:vAlign w:val="bottom"/>
            <w:hideMark/>
          </w:tcPr>
          <w:p w14:paraId="3149D318" w14:textId="77777777" w:rsidR="008136FA" w:rsidRPr="005F12F1" w:rsidRDefault="008136FA" w:rsidP="001C12B3">
            <w:pPr>
              <w:keepNext/>
              <w:rPr>
                <w:rFonts w:eastAsia="Times New Roman"/>
              </w:rPr>
            </w:pPr>
            <w:r w:rsidRPr="000957AD">
              <w:t>£10,556</w:t>
            </w:r>
          </w:p>
        </w:tc>
        <w:tc>
          <w:tcPr>
            <w:tcW w:w="1975" w:type="dxa"/>
            <w:tcBorders>
              <w:top w:val="nil"/>
              <w:left w:val="nil"/>
              <w:bottom w:val="nil"/>
              <w:right w:val="single" w:sz="4" w:space="0" w:color="auto"/>
            </w:tcBorders>
            <w:shd w:val="clear" w:color="auto" w:fill="auto"/>
            <w:noWrap/>
            <w:vAlign w:val="bottom"/>
            <w:hideMark/>
          </w:tcPr>
          <w:p w14:paraId="7833FCEF" w14:textId="77777777" w:rsidR="008136FA" w:rsidRPr="005F12F1" w:rsidRDefault="008136FA" w:rsidP="001C12B3">
            <w:pPr>
              <w:keepNext/>
              <w:rPr>
                <w:rFonts w:eastAsia="Times New Roman"/>
                <w:color w:val="000000"/>
              </w:rPr>
            </w:pPr>
            <w:r w:rsidRPr="000957AD">
              <w:t>£8,835</w:t>
            </w:r>
          </w:p>
        </w:tc>
        <w:tc>
          <w:tcPr>
            <w:tcW w:w="2289" w:type="dxa"/>
            <w:tcBorders>
              <w:top w:val="nil"/>
              <w:left w:val="nil"/>
              <w:bottom w:val="nil"/>
              <w:right w:val="single" w:sz="8" w:space="0" w:color="auto"/>
            </w:tcBorders>
            <w:shd w:val="clear" w:color="auto" w:fill="auto"/>
            <w:noWrap/>
            <w:vAlign w:val="bottom"/>
            <w:hideMark/>
          </w:tcPr>
          <w:p w14:paraId="7D7B4605" w14:textId="77777777" w:rsidR="008136FA" w:rsidRPr="005F12F1" w:rsidRDefault="008136FA" w:rsidP="001C12B3">
            <w:pPr>
              <w:keepNext/>
              <w:rPr>
                <w:rFonts w:eastAsia="Times New Roman"/>
                <w:color w:val="000000"/>
              </w:rPr>
            </w:pPr>
            <w:r w:rsidRPr="000957AD">
              <w:t>-£1,721</w:t>
            </w:r>
          </w:p>
        </w:tc>
      </w:tr>
      <w:tr w:rsidR="00C101B4" w:rsidRPr="000957AD" w14:paraId="01228629" w14:textId="77777777" w:rsidTr="00C101B4">
        <w:trPr>
          <w:trHeight w:val="300"/>
        </w:trPr>
        <w:tc>
          <w:tcPr>
            <w:tcW w:w="3652" w:type="dxa"/>
            <w:tcBorders>
              <w:top w:val="nil"/>
              <w:left w:val="single" w:sz="8" w:space="0" w:color="auto"/>
              <w:bottom w:val="nil"/>
              <w:right w:val="single" w:sz="4" w:space="0" w:color="auto"/>
            </w:tcBorders>
            <w:shd w:val="clear" w:color="auto" w:fill="auto"/>
            <w:noWrap/>
            <w:vAlign w:val="bottom"/>
            <w:hideMark/>
          </w:tcPr>
          <w:p w14:paraId="3C26C603" w14:textId="1BAF4692" w:rsidR="008136FA" w:rsidRPr="005F12F1" w:rsidRDefault="00F76BBC" w:rsidP="001C12B3">
            <w:pPr>
              <w:keepNext/>
            </w:pPr>
            <w:r w:rsidRPr="00D830A9">
              <w:t>Number of QALYs</w:t>
            </w:r>
          </w:p>
        </w:tc>
        <w:tc>
          <w:tcPr>
            <w:tcW w:w="1326" w:type="dxa"/>
            <w:tcBorders>
              <w:top w:val="nil"/>
              <w:left w:val="nil"/>
              <w:bottom w:val="nil"/>
              <w:right w:val="single" w:sz="4" w:space="0" w:color="auto"/>
            </w:tcBorders>
            <w:shd w:val="clear" w:color="auto" w:fill="auto"/>
            <w:noWrap/>
            <w:vAlign w:val="bottom"/>
          </w:tcPr>
          <w:p w14:paraId="3687366F" w14:textId="77777777" w:rsidR="008136FA" w:rsidRPr="005F12F1" w:rsidRDefault="008136FA" w:rsidP="001C12B3">
            <w:pPr>
              <w:keepNext/>
            </w:pPr>
            <w:r w:rsidRPr="005F12F1">
              <w:t>527.8</w:t>
            </w:r>
          </w:p>
        </w:tc>
        <w:tc>
          <w:tcPr>
            <w:tcW w:w="1975" w:type="dxa"/>
            <w:tcBorders>
              <w:top w:val="nil"/>
              <w:left w:val="nil"/>
              <w:bottom w:val="nil"/>
              <w:right w:val="single" w:sz="4" w:space="0" w:color="auto"/>
            </w:tcBorders>
            <w:shd w:val="clear" w:color="auto" w:fill="auto"/>
            <w:noWrap/>
            <w:vAlign w:val="bottom"/>
            <w:hideMark/>
          </w:tcPr>
          <w:p w14:paraId="7C4015E4" w14:textId="77777777" w:rsidR="008136FA" w:rsidRPr="005F12F1" w:rsidRDefault="008136FA" w:rsidP="001C12B3">
            <w:pPr>
              <w:keepNext/>
              <w:rPr>
                <w:rFonts w:eastAsia="Times New Roman"/>
                <w:color w:val="000000"/>
              </w:rPr>
            </w:pPr>
            <w:r w:rsidRPr="005F12F1">
              <w:t>441.8</w:t>
            </w:r>
          </w:p>
        </w:tc>
        <w:tc>
          <w:tcPr>
            <w:tcW w:w="2289" w:type="dxa"/>
            <w:tcBorders>
              <w:top w:val="nil"/>
              <w:left w:val="nil"/>
              <w:bottom w:val="nil"/>
              <w:right w:val="single" w:sz="8" w:space="0" w:color="auto"/>
            </w:tcBorders>
            <w:shd w:val="clear" w:color="auto" w:fill="auto"/>
            <w:noWrap/>
            <w:vAlign w:val="bottom"/>
            <w:hideMark/>
          </w:tcPr>
          <w:p w14:paraId="4194B64D" w14:textId="77777777" w:rsidR="008136FA" w:rsidRPr="005F12F1" w:rsidRDefault="008136FA" w:rsidP="001C12B3">
            <w:pPr>
              <w:keepNext/>
              <w:rPr>
                <w:rFonts w:eastAsia="Times New Roman"/>
                <w:color w:val="000000"/>
              </w:rPr>
            </w:pPr>
            <w:r w:rsidRPr="005F12F1">
              <w:t>86</w:t>
            </w:r>
          </w:p>
        </w:tc>
      </w:tr>
      <w:tr w:rsidR="00C101B4" w:rsidRPr="000957AD" w14:paraId="53668965" w14:textId="77777777" w:rsidTr="00C101B4">
        <w:trPr>
          <w:trHeight w:val="300"/>
        </w:trPr>
        <w:tc>
          <w:tcPr>
            <w:tcW w:w="3652" w:type="dxa"/>
            <w:tcBorders>
              <w:top w:val="nil"/>
              <w:left w:val="single" w:sz="8" w:space="0" w:color="auto"/>
              <w:right w:val="single" w:sz="4" w:space="0" w:color="auto"/>
            </w:tcBorders>
            <w:shd w:val="clear" w:color="000000" w:fill="DDEBF7"/>
            <w:noWrap/>
            <w:vAlign w:val="bottom"/>
            <w:hideMark/>
          </w:tcPr>
          <w:p w14:paraId="248192BC" w14:textId="77777777" w:rsidR="008136FA" w:rsidRPr="005F12F1" w:rsidRDefault="008136FA" w:rsidP="001C12B3">
            <w:pPr>
              <w:keepNext/>
            </w:pPr>
            <w:r w:rsidRPr="005F12F1">
              <w:t>Motivational interviewing costs (£'000s)</w:t>
            </w:r>
          </w:p>
        </w:tc>
        <w:tc>
          <w:tcPr>
            <w:tcW w:w="1326" w:type="dxa"/>
            <w:tcBorders>
              <w:top w:val="nil"/>
              <w:left w:val="nil"/>
              <w:right w:val="single" w:sz="4" w:space="0" w:color="auto"/>
            </w:tcBorders>
            <w:shd w:val="clear" w:color="000000" w:fill="DDEBF7"/>
            <w:noWrap/>
            <w:vAlign w:val="bottom"/>
          </w:tcPr>
          <w:p w14:paraId="19E706D9" w14:textId="77777777" w:rsidR="008136FA" w:rsidRPr="005F12F1" w:rsidRDefault="008136FA" w:rsidP="001C12B3">
            <w:pPr>
              <w:keepNext/>
            </w:pPr>
          </w:p>
        </w:tc>
        <w:tc>
          <w:tcPr>
            <w:tcW w:w="1975" w:type="dxa"/>
            <w:tcBorders>
              <w:top w:val="nil"/>
              <w:left w:val="nil"/>
              <w:right w:val="single" w:sz="4" w:space="0" w:color="auto"/>
            </w:tcBorders>
            <w:shd w:val="clear" w:color="000000" w:fill="DDEBF7"/>
            <w:noWrap/>
            <w:vAlign w:val="bottom"/>
            <w:hideMark/>
          </w:tcPr>
          <w:p w14:paraId="4EFE7BED" w14:textId="77777777" w:rsidR="008136FA" w:rsidRPr="005F12F1" w:rsidRDefault="008136FA" w:rsidP="001C12B3">
            <w:pPr>
              <w:keepNext/>
              <w:rPr>
                <w:rFonts w:eastAsia="Times New Roman"/>
                <w:color w:val="000000"/>
              </w:rPr>
            </w:pPr>
            <w:r w:rsidRPr="000957AD">
              <w:t>£67,866</w:t>
            </w:r>
          </w:p>
        </w:tc>
        <w:tc>
          <w:tcPr>
            <w:tcW w:w="2289" w:type="dxa"/>
            <w:tcBorders>
              <w:top w:val="nil"/>
              <w:left w:val="nil"/>
              <w:right w:val="single" w:sz="8" w:space="0" w:color="auto"/>
            </w:tcBorders>
            <w:shd w:val="clear" w:color="000000" w:fill="DDEBF7"/>
            <w:noWrap/>
            <w:vAlign w:val="bottom"/>
            <w:hideMark/>
          </w:tcPr>
          <w:p w14:paraId="13E50110" w14:textId="77777777" w:rsidR="008136FA" w:rsidRPr="005F12F1" w:rsidRDefault="008136FA" w:rsidP="001C12B3">
            <w:pPr>
              <w:keepNext/>
              <w:rPr>
                <w:rFonts w:eastAsia="Times New Roman"/>
                <w:color w:val="000000"/>
              </w:rPr>
            </w:pPr>
            <w:r w:rsidRPr="000957AD">
              <w:t>£67,866</w:t>
            </w:r>
          </w:p>
        </w:tc>
      </w:tr>
      <w:tr w:rsidR="00C101B4" w:rsidRPr="000957AD" w14:paraId="203E8BA9" w14:textId="77777777" w:rsidTr="00C101B4">
        <w:trPr>
          <w:trHeight w:val="315"/>
        </w:trPr>
        <w:tc>
          <w:tcPr>
            <w:tcW w:w="3652" w:type="dxa"/>
            <w:tcBorders>
              <w:top w:val="nil"/>
              <w:left w:val="single" w:sz="8" w:space="0" w:color="auto"/>
              <w:bottom w:val="single" w:sz="4" w:space="0" w:color="auto"/>
              <w:right w:val="single" w:sz="4" w:space="0" w:color="auto"/>
            </w:tcBorders>
            <w:shd w:val="clear" w:color="auto" w:fill="auto"/>
            <w:noWrap/>
            <w:vAlign w:val="bottom"/>
            <w:hideMark/>
          </w:tcPr>
          <w:p w14:paraId="1FB1C594" w14:textId="77777777" w:rsidR="008136FA" w:rsidRPr="005F12F1" w:rsidRDefault="008136FA" w:rsidP="001C12B3">
            <w:pPr>
              <w:keepNext/>
            </w:pPr>
            <w:r w:rsidRPr="005F12F1">
              <w:t> </w:t>
            </w:r>
          </w:p>
        </w:tc>
        <w:tc>
          <w:tcPr>
            <w:tcW w:w="1326" w:type="dxa"/>
            <w:tcBorders>
              <w:top w:val="nil"/>
              <w:left w:val="nil"/>
              <w:bottom w:val="single" w:sz="4" w:space="0" w:color="auto"/>
              <w:right w:val="single" w:sz="4" w:space="0" w:color="auto"/>
            </w:tcBorders>
            <w:shd w:val="clear" w:color="auto" w:fill="auto"/>
            <w:noWrap/>
            <w:vAlign w:val="bottom"/>
            <w:hideMark/>
          </w:tcPr>
          <w:p w14:paraId="01F58919" w14:textId="77777777" w:rsidR="008136FA" w:rsidRPr="005F12F1" w:rsidRDefault="008136FA" w:rsidP="001C12B3">
            <w:pPr>
              <w:keepNext/>
            </w:pPr>
          </w:p>
        </w:tc>
        <w:tc>
          <w:tcPr>
            <w:tcW w:w="1975" w:type="dxa"/>
            <w:tcBorders>
              <w:top w:val="nil"/>
              <w:left w:val="nil"/>
              <w:bottom w:val="single" w:sz="4" w:space="0" w:color="auto"/>
              <w:right w:val="single" w:sz="4" w:space="0" w:color="auto"/>
            </w:tcBorders>
            <w:shd w:val="clear" w:color="auto" w:fill="auto"/>
            <w:noWrap/>
            <w:vAlign w:val="bottom"/>
            <w:hideMark/>
          </w:tcPr>
          <w:p w14:paraId="43993EC0" w14:textId="77777777" w:rsidR="008136FA" w:rsidRPr="005F12F1" w:rsidRDefault="008136FA" w:rsidP="001C12B3">
            <w:pPr>
              <w:keepNext/>
            </w:pPr>
          </w:p>
        </w:tc>
        <w:tc>
          <w:tcPr>
            <w:tcW w:w="2289" w:type="dxa"/>
            <w:tcBorders>
              <w:top w:val="nil"/>
              <w:left w:val="nil"/>
              <w:bottom w:val="single" w:sz="4" w:space="0" w:color="auto"/>
              <w:right w:val="single" w:sz="8" w:space="0" w:color="auto"/>
            </w:tcBorders>
            <w:shd w:val="clear" w:color="auto" w:fill="auto"/>
            <w:noWrap/>
            <w:vAlign w:val="bottom"/>
            <w:hideMark/>
          </w:tcPr>
          <w:p w14:paraId="69092E35" w14:textId="77777777" w:rsidR="008136FA" w:rsidRPr="005F12F1" w:rsidRDefault="008136FA" w:rsidP="001C12B3">
            <w:pPr>
              <w:keepNext/>
            </w:pPr>
          </w:p>
        </w:tc>
      </w:tr>
    </w:tbl>
    <w:p w14:paraId="695D3F1E" w14:textId="77777777" w:rsidR="00D830A9" w:rsidRPr="00D830A9" w:rsidRDefault="00D830A9" w:rsidP="00CC7EC2"/>
    <w:p w14:paraId="04471F29" w14:textId="2E331F70" w:rsidR="008527AA" w:rsidRDefault="00D830A9">
      <w:r w:rsidRPr="00D830A9">
        <w:t>The cost per QALY for the intervention as a whole</w:t>
      </w:r>
      <w:r w:rsidR="00F76BBC">
        <w:t xml:space="preserve"> (16-59 year olds) is shown </w:t>
      </w:r>
      <w:r w:rsidR="00D00623">
        <w:t>in</w:t>
      </w:r>
      <w:r w:rsidR="008527AA">
        <w:t xml:space="preserve"> </w:t>
      </w:r>
      <w:r w:rsidR="008527AA">
        <w:fldChar w:fldCharType="begin"/>
      </w:r>
      <w:r w:rsidR="008527AA">
        <w:instrText xml:space="preserve"> REF _Ref452034372 \h </w:instrText>
      </w:r>
      <w:r w:rsidR="008527AA">
        <w:fldChar w:fldCharType="separate"/>
      </w:r>
      <w:r w:rsidR="008527AA">
        <w:t xml:space="preserve">Table </w:t>
      </w:r>
      <w:r w:rsidR="008527AA">
        <w:rPr>
          <w:noProof/>
        </w:rPr>
        <w:t>9</w:t>
      </w:r>
      <w:r w:rsidR="008527AA">
        <w:fldChar w:fldCharType="end"/>
      </w:r>
      <w:r w:rsidR="008527AA">
        <w:t>.</w:t>
      </w:r>
    </w:p>
    <w:p w14:paraId="394B5D9B" w14:textId="7A49E1B4" w:rsidR="00D830A9" w:rsidRPr="00D830A9" w:rsidRDefault="00D830A9"/>
    <w:p w14:paraId="1B52D8E1" w14:textId="3193E17A" w:rsidR="00D830A9" w:rsidRDefault="00D00623" w:rsidP="003D56F0">
      <w:pPr>
        <w:pStyle w:val="Caption"/>
      </w:pPr>
      <w:bookmarkStart w:id="53" w:name="_Ref452034372"/>
      <w:r>
        <w:t xml:space="preserve">Table </w:t>
      </w:r>
      <w:fldSimple w:instr=" SEQ Table \* ARABIC ">
        <w:r>
          <w:rPr>
            <w:noProof/>
          </w:rPr>
          <w:t>9</w:t>
        </w:r>
      </w:fldSimple>
      <w:bookmarkEnd w:id="53"/>
      <w:r>
        <w:t xml:space="preserve">. Results </w:t>
      </w:r>
      <w:r w:rsidRPr="00DB1B0D">
        <w:t xml:space="preserve">from economic model based on </w:t>
      </w:r>
      <w:r w:rsidR="008527AA">
        <w:t>Martin et al. (2010)</w:t>
      </w:r>
    </w:p>
    <w:p w14:paraId="467BFAD4" w14:textId="77777777" w:rsidR="00D00623" w:rsidRPr="00D830A9" w:rsidRDefault="00D00623"/>
    <w:p w14:paraId="5456F3D9" w14:textId="77777777" w:rsidR="00D830A9" w:rsidRPr="003D56F0" w:rsidRDefault="00D830A9" w:rsidP="001C12B3">
      <w:pPr>
        <w:keepNext/>
        <w:rPr>
          <w:sz w:val="18"/>
          <w:szCs w:val="18"/>
        </w:rPr>
      </w:pPr>
      <w:r w:rsidRPr="003D56F0">
        <w:rPr>
          <w:sz w:val="18"/>
          <w:szCs w:val="18"/>
        </w:rPr>
        <w:t>Base-case scenario</w:t>
      </w:r>
    </w:p>
    <w:tbl>
      <w:tblPr>
        <w:tblStyle w:val="TableGrid1"/>
        <w:tblW w:w="0" w:type="auto"/>
        <w:tblLayout w:type="fixed"/>
        <w:tblLook w:val="04A0" w:firstRow="1" w:lastRow="0" w:firstColumn="1" w:lastColumn="0" w:noHBand="0" w:noVBand="1"/>
      </w:tblPr>
      <w:tblGrid>
        <w:gridCol w:w="1668"/>
        <w:gridCol w:w="1842"/>
        <w:gridCol w:w="1276"/>
        <w:gridCol w:w="1701"/>
        <w:gridCol w:w="1276"/>
        <w:gridCol w:w="1479"/>
      </w:tblGrid>
      <w:tr w:rsidR="00D830A9" w:rsidRPr="003D56F0" w14:paraId="1DDF5F54" w14:textId="77777777" w:rsidTr="003D56F0">
        <w:trPr>
          <w:trHeight w:val="468"/>
        </w:trPr>
        <w:tc>
          <w:tcPr>
            <w:tcW w:w="1668" w:type="dxa"/>
          </w:tcPr>
          <w:p w14:paraId="26D5A9F2" w14:textId="77777777" w:rsidR="00D830A9" w:rsidRPr="003D56F0" w:rsidRDefault="00D830A9" w:rsidP="001C12B3">
            <w:pPr>
              <w:keepNext/>
              <w:rPr>
                <w:b/>
                <w:sz w:val="18"/>
                <w:szCs w:val="18"/>
              </w:rPr>
            </w:pPr>
          </w:p>
        </w:tc>
        <w:tc>
          <w:tcPr>
            <w:tcW w:w="1842" w:type="dxa"/>
          </w:tcPr>
          <w:p w14:paraId="6DE561C8" w14:textId="77777777" w:rsidR="00D830A9" w:rsidRPr="003D56F0" w:rsidRDefault="00D830A9" w:rsidP="001C12B3">
            <w:pPr>
              <w:keepNext/>
              <w:rPr>
                <w:b/>
                <w:sz w:val="18"/>
                <w:szCs w:val="18"/>
              </w:rPr>
            </w:pPr>
            <w:r w:rsidRPr="003D56F0">
              <w:rPr>
                <w:b/>
                <w:sz w:val="18"/>
                <w:szCs w:val="18"/>
              </w:rPr>
              <w:t>Total Costs (£)</w:t>
            </w:r>
          </w:p>
        </w:tc>
        <w:tc>
          <w:tcPr>
            <w:tcW w:w="1276" w:type="dxa"/>
          </w:tcPr>
          <w:p w14:paraId="13E530B1" w14:textId="0E259863" w:rsidR="00D830A9" w:rsidRPr="003D56F0" w:rsidRDefault="005055D8" w:rsidP="001C12B3">
            <w:pPr>
              <w:keepNext/>
              <w:rPr>
                <w:b/>
                <w:sz w:val="18"/>
                <w:szCs w:val="18"/>
              </w:rPr>
            </w:pPr>
            <w:r>
              <w:rPr>
                <w:b/>
                <w:sz w:val="18"/>
                <w:szCs w:val="18"/>
              </w:rPr>
              <w:t>Total QALY losses</w:t>
            </w:r>
          </w:p>
        </w:tc>
        <w:tc>
          <w:tcPr>
            <w:tcW w:w="1701" w:type="dxa"/>
          </w:tcPr>
          <w:p w14:paraId="5A89B3AA" w14:textId="77777777" w:rsidR="00D830A9" w:rsidRPr="003D56F0" w:rsidRDefault="00D830A9" w:rsidP="001C12B3">
            <w:pPr>
              <w:keepNext/>
              <w:rPr>
                <w:b/>
                <w:sz w:val="18"/>
                <w:szCs w:val="18"/>
              </w:rPr>
            </w:pPr>
            <w:r w:rsidRPr="003D56F0">
              <w:rPr>
                <w:b/>
                <w:sz w:val="18"/>
                <w:szCs w:val="18"/>
              </w:rPr>
              <w:t>Incremental Costs (£)</w:t>
            </w:r>
          </w:p>
        </w:tc>
        <w:tc>
          <w:tcPr>
            <w:tcW w:w="1276" w:type="dxa"/>
          </w:tcPr>
          <w:p w14:paraId="6FBE77E4" w14:textId="77777777" w:rsidR="00D830A9" w:rsidRPr="003D56F0" w:rsidRDefault="00D830A9" w:rsidP="001C12B3">
            <w:pPr>
              <w:keepNext/>
              <w:rPr>
                <w:b/>
                <w:sz w:val="18"/>
                <w:szCs w:val="18"/>
              </w:rPr>
            </w:pPr>
            <w:r w:rsidRPr="003D56F0">
              <w:rPr>
                <w:b/>
                <w:sz w:val="18"/>
                <w:szCs w:val="18"/>
              </w:rPr>
              <w:t>Incremental QALYs</w:t>
            </w:r>
          </w:p>
        </w:tc>
        <w:tc>
          <w:tcPr>
            <w:tcW w:w="1479" w:type="dxa"/>
          </w:tcPr>
          <w:p w14:paraId="790A5EAF" w14:textId="77777777" w:rsidR="00D830A9" w:rsidRPr="003D56F0" w:rsidRDefault="00D830A9" w:rsidP="001C12B3">
            <w:pPr>
              <w:keepNext/>
              <w:rPr>
                <w:b/>
                <w:sz w:val="18"/>
                <w:szCs w:val="18"/>
              </w:rPr>
            </w:pPr>
            <w:r w:rsidRPr="003D56F0">
              <w:rPr>
                <w:b/>
                <w:sz w:val="18"/>
                <w:szCs w:val="18"/>
              </w:rPr>
              <w:t>ICER (£)/QALYs</w:t>
            </w:r>
          </w:p>
        </w:tc>
      </w:tr>
      <w:tr w:rsidR="00D830A9" w:rsidRPr="003D56F0" w14:paraId="3A54748D" w14:textId="77777777" w:rsidTr="00E57B6E">
        <w:trPr>
          <w:trHeight w:val="475"/>
        </w:trPr>
        <w:tc>
          <w:tcPr>
            <w:tcW w:w="1668" w:type="dxa"/>
          </w:tcPr>
          <w:p w14:paraId="1D58E7D1" w14:textId="77777777" w:rsidR="00D830A9" w:rsidRPr="003D56F0" w:rsidRDefault="00D830A9" w:rsidP="001C12B3">
            <w:pPr>
              <w:keepNext/>
              <w:rPr>
                <w:sz w:val="18"/>
                <w:szCs w:val="18"/>
              </w:rPr>
            </w:pPr>
            <w:r w:rsidRPr="003D56F0">
              <w:rPr>
                <w:sz w:val="18"/>
                <w:szCs w:val="18"/>
              </w:rPr>
              <w:t>Intervention</w:t>
            </w:r>
          </w:p>
        </w:tc>
        <w:tc>
          <w:tcPr>
            <w:tcW w:w="1842" w:type="dxa"/>
            <w:vAlign w:val="bottom"/>
          </w:tcPr>
          <w:p w14:paraId="76C20FA5" w14:textId="77777777" w:rsidR="00D830A9" w:rsidRPr="003D56F0" w:rsidRDefault="00D830A9" w:rsidP="00E57B6E">
            <w:pPr>
              <w:keepNext/>
              <w:jc w:val="right"/>
              <w:rPr>
                <w:rFonts w:eastAsia="Times New Roman"/>
                <w:color w:val="000000"/>
                <w:sz w:val="18"/>
                <w:szCs w:val="18"/>
              </w:rPr>
            </w:pPr>
            <w:r w:rsidRPr="003D56F0">
              <w:rPr>
                <w:sz w:val="18"/>
                <w:szCs w:val="18"/>
              </w:rPr>
              <w:t>£47,982,882</w:t>
            </w:r>
          </w:p>
        </w:tc>
        <w:tc>
          <w:tcPr>
            <w:tcW w:w="1276" w:type="dxa"/>
            <w:vAlign w:val="bottom"/>
          </w:tcPr>
          <w:p w14:paraId="0DDF1B2A" w14:textId="4DC3CE26" w:rsidR="00D830A9" w:rsidRPr="003D56F0" w:rsidRDefault="005055D8" w:rsidP="00E57B6E">
            <w:pPr>
              <w:keepNext/>
              <w:jc w:val="right"/>
              <w:rPr>
                <w:rFonts w:eastAsia="Times New Roman"/>
                <w:color w:val="000000"/>
                <w:sz w:val="18"/>
                <w:szCs w:val="18"/>
              </w:rPr>
            </w:pPr>
            <w:r>
              <w:rPr>
                <w:sz w:val="18"/>
                <w:szCs w:val="18"/>
              </w:rPr>
              <w:t>441.8</w:t>
            </w:r>
          </w:p>
        </w:tc>
        <w:tc>
          <w:tcPr>
            <w:tcW w:w="1701" w:type="dxa"/>
            <w:vMerge w:val="restart"/>
            <w:vAlign w:val="bottom"/>
          </w:tcPr>
          <w:p w14:paraId="4321D53A" w14:textId="77777777" w:rsidR="00D830A9" w:rsidRPr="003D56F0" w:rsidRDefault="00D830A9" w:rsidP="00E57B6E">
            <w:pPr>
              <w:keepNext/>
              <w:jc w:val="right"/>
              <w:rPr>
                <w:rFonts w:eastAsia="Times New Roman"/>
                <w:color w:val="000000"/>
                <w:sz w:val="18"/>
                <w:szCs w:val="18"/>
              </w:rPr>
            </w:pPr>
            <w:r w:rsidRPr="003D56F0">
              <w:rPr>
                <w:sz w:val="18"/>
                <w:szCs w:val="18"/>
              </w:rPr>
              <w:t>£41,720,069</w:t>
            </w:r>
          </w:p>
        </w:tc>
        <w:tc>
          <w:tcPr>
            <w:tcW w:w="1276" w:type="dxa"/>
            <w:vMerge w:val="restart"/>
            <w:vAlign w:val="bottom"/>
          </w:tcPr>
          <w:p w14:paraId="03FDEA0A" w14:textId="77777777" w:rsidR="00D830A9" w:rsidRPr="003D56F0" w:rsidRDefault="00D830A9" w:rsidP="00E57B6E">
            <w:pPr>
              <w:keepNext/>
              <w:jc w:val="right"/>
              <w:rPr>
                <w:rFonts w:eastAsia="Times New Roman"/>
                <w:color w:val="000000"/>
                <w:sz w:val="18"/>
                <w:szCs w:val="18"/>
              </w:rPr>
            </w:pPr>
            <w:r w:rsidRPr="003D56F0">
              <w:rPr>
                <w:sz w:val="18"/>
                <w:szCs w:val="18"/>
              </w:rPr>
              <w:t>86.03</w:t>
            </w:r>
          </w:p>
        </w:tc>
        <w:tc>
          <w:tcPr>
            <w:tcW w:w="1479" w:type="dxa"/>
            <w:vMerge w:val="restart"/>
            <w:vAlign w:val="bottom"/>
          </w:tcPr>
          <w:p w14:paraId="3F083E8D" w14:textId="7A3FEB0D" w:rsidR="00D830A9" w:rsidRPr="003D56F0" w:rsidRDefault="006A6163" w:rsidP="00E57B6E">
            <w:pPr>
              <w:keepNext/>
              <w:jc w:val="right"/>
              <w:rPr>
                <w:rFonts w:eastAsia="Times New Roman"/>
                <w:color w:val="000000"/>
                <w:sz w:val="18"/>
                <w:szCs w:val="18"/>
              </w:rPr>
            </w:pPr>
            <w:r w:rsidRPr="003D56F0">
              <w:rPr>
                <w:sz w:val="18"/>
                <w:szCs w:val="18"/>
              </w:rPr>
              <w:t>£484,959</w:t>
            </w:r>
          </w:p>
        </w:tc>
      </w:tr>
      <w:tr w:rsidR="00D830A9" w:rsidRPr="003D56F0" w14:paraId="5778E5B5" w14:textId="77777777" w:rsidTr="00E57B6E">
        <w:trPr>
          <w:trHeight w:val="425"/>
        </w:trPr>
        <w:tc>
          <w:tcPr>
            <w:tcW w:w="1668" w:type="dxa"/>
          </w:tcPr>
          <w:p w14:paraId="55080A15" w14:textId="77777777" w:rsidR="00D830A9" w:rsidRPr="003D56F0" w:rsidRDefault="00D830A9" w:rsidP="001C12B3">
            <w:pPr>
              <w:keepNext/>
              <w:rPr>
                <w:sz w:val="18"/>
                <w:szCs w:val="18"/>
              </w:rPr>
            </w:pPr>
            <w:r w:rsidRPr="003D56F0">
              <w:rPr>
                <w:sz w:val="18"/>
                <w:szCs w:val="18"/>
              </w:rPr>
              <w:t>Comparator</w:t>
            </w:r>
          </w:p>
        </w:tc>
        <w:tc>
          <w:tcPr>
            <w:tcW w:w="1842" w:type="dxa"/>
            <w:vAlign w:val="bottom"/>
          </w:tcPr>
          <w:p w14:paraId="30779EB2" w14:textId="77777777" w:rsidR="00D830A9" w:rsidRPr="003D56F0" w:rsidRDefault="00D830A9" w:rsidP="00E57B6E">
            <w:pPr>
              <w:keepNext/>
              <w:jc w:val="right"/>
              <w:rPr>
                <w:rFonts w:eastAsia="Times New Roman"/>
                <w:color w:val="000000"/>
                <w:sz w:val="18"/>
                <w:szCs w:val="18"/>
              </w:rPr>
            </w:pPr>
            <w:r w:rsidRPr="003D56F0">
              <w:rPr>
                <w:sz w:val="18"/>
                <w:szCs w:val="18"/>
              </w:rPr>
              <w:t>£6,262,813</w:t>
            </w:r>
          </w:p>
        </w:tc>
        <w:tc>
          <w:tcPr>
            <w:tcW w:w="1276" w:type="dxa"/>
            <w:vAlign w:val="bottom"/>
          </w:tcPr>
          <w:p w14:paraId="780FEF0C" w14:textId="7F37810D" w:rsidR="00D830A9" w:rsidRPr="003D56F0" w:rsidRDefault="005055D8" w:rsidP="00E57B6E">
            <w:pPr>
              <w:keepNext/>
              <w:jc w:val="right"/>
              <w:rPr>
                <w:rFonts w:eastAsia="Times New Roman"/>
                <w:color w:val="000000"/>
                <w:sz w:val="18"/>
                <w:szCs w:val="18"/>
              </w:rPr>
            </w:pPr>
            <w:r>
              <w:rPr>
                <w:sz w:val="18"/>
                <w:szCs w:val="18"/>
              </w:rPr>
              <w:t>527.8</w:t>
            </w:r>
          </w:p>
        </w:tc>
        <w:tc>
          <w:tcPr>
            <w:tcW w:w="1701" w:type="dxa"/>
            <w:vMerge/>
          </w:tcPr>
          <w:p w14:paraId="16529E24" w14:textId="77777777" w:rsidR="00D830A9" w:rsidRPr="003D56F0" w:rsidRDefault="00D830A9" w:rsidP="001C12B3">
            <w:pPr>
              <w:keepNext/>
              <w:rPr>
                <w:sz w:val="18"/>
                <w:szCs w:val="18"/>
              </w:rPr>
            </w:pPr>
          </w:p>
        </w:tc>
        <w:tc>
          <w:tcPr>
            <w:tcW w:w="1276" w:type="dxa"/>
            <w:vMerge/>
          </w:tcPr>
          <w:p w14:paraId="7A898B70" w14:textId="77777777" w:rsidR="00D830A9" w:rsidRPr="003D56F0" w:rsidRDefault="00D830A9" w:rsidP="001C12B3">
            <w:pPr>
              <w:keepNext/>
              <w:rPr>
                <w:sz w:val="18"/>
                <w:szCs w:val="18"/>
              </w:rPr>
            </w:pPr>
          </w:p>
        </w:tc>
        <w:tc>
          <w:tcPr>
            <w:tcW w:w="1479" w:type="dxa"/>
            <w:vMerge/>
          </w:tcPr>
          <w:p w14:paraId="09B74904" w14:textId="77777777" w:rsidR="00D830A9" w:rsidRPr="003D56F0" w:rsidRDefault="00D830A9" w:rsidP="001C12B3">
            <w:pPr>
              <w:keepNext/>
              <w:rPr>
                <w:sz w:val="18"/>
                <w:szCs w:val="18"/>
              </w:rPr>
            </w:pPr>
          </w:p>
        </w:tc>
      </w:tr>
    </w:tbl>
    <w:p w14:paraId="541146FD" w14:textId="10486A96" w:rsidR="00D830A9" w:rsidRPr="003D56F0" w:rsidRDefault="00D830A9" w:rsidP="001C12B3">
      <w:pPr>
        <w:keepNext/>
        <w:rPr>
          <w:sz w:val="18"/>
          <w:szCs w:val="18"/>
        </w:rPr>
      </w:pPr>
      <w:r w:rsidRPr="003D56F0">
        <w:rPr>
          <w:sz w:val="18"/>
          <w:szCs w:val="18"/>
        </w:rPr>
        <w:t>*Total costs excluding societal costs of forgone QALYs as these are accounted for in the denominator</w:t>
      </w:r>
    </w:p>
    <w:p w14:paraId="35DD49E1" w14:textId="11316802" w:rsidR="00D830A9" w:rsidRPr="003D56F0" w:rsidRDefault="00D830A9" w:rsidP="00AD2788">
      <w:pPr>
        <w:rPr>
          <w:sz w:val="18"/>
          <w:szCs w:val="18"/>
        </w:rPr>
      </w:pPr>
    </w:p>
    <w:p w14:paraId="0567FAC8" w14:textId="7F64A44F" w:rsidR="00D830A9" w:rsidRPr="003D56F0" w:rsidRDefault="00F76BBC" w:rsidP="001C12B3">
      <w:pPr>
        <w:keepNext/>
        <w:rPr>
          <w:sz w:val="18"/>
          <w:szCs w:val="18"/>
        </w:rPr>
      </w:pPr>
      <w:r w:rsidRPr="003D56F0">
        <w:rPr>
          <w:sz w:val="18"/>
          <w:szCs w:val="18"/>
        </w:rPr>
        <w:lastRenderedPageBreak/>
        <w:t>Scenario (2 year reduction)</w:t>
      </w:r>
    </w:p>
    <w:tbl>
      <w:tblPr>
        <w:tblStyle w:val="TableGrid1"/>
        <w:tblW w:w="0" w:type="auto"/>
        <w:tblLook w:val="04A0" w:firstRow="1" w:lastRow="0" w:firstColumn="1" w:lastColumn="0" w:noHBand="0" w:noVBand="1"/>
      </w:tblPr>
      <w:tblGrid>
        <w:gridCol w:w="1500"/>
        <w:gridCol w:w="1551"/>
        <w:gridCol w:w="1434"/>
        <w:gridCol w:w="1551"/>
        <w:gridCol w:w="1499"/>
        <w:gridCol w:w="1481"/>
      </w:tblGrid>
      <w:tr w:rsidR="00D830A9" w:rsidRPr="003D56F0" w14:paraId="1956081A" w14:textId="77777777" w:rsidTr="003D56F0">
        <w:trPr>
          <w:trHeight w:val="485"/>
        </w:trPr>
        <w:tc>
          <w:tcPr>
            <w:tcW w:w="1500" w:type="dxa"/>
          </w:tcPr>
          <w:p w14:paraId="010C8D6C" w14:textId="77777777" w:rsidR="00D830A9" w:rsidRPr="003D56F0" w:rsidRDefault="00D830A9" w:rsidP="001C12B3">
            <w:pPr>
              <w:keepNext/>
              <w:rPr>
                <w:b/>
                <w:sz w:val="18"/>
                <w:szCs w:val="18"/>
              </w:rPr>
            </w:pPr>
          </w:p>
        </w:tc>
        <w:tc>
          <w:tcPr>
            <w:tcW w:w="1551" w:type="dxa"/>
          </w:tcPr>
          <w:p w14:paraId="599A15A4" w14:textId="77777777" w:rsidR="00D830A9" w:rsidRPr="003D56F0" w:rsidRDefault="00D830A9" w:rsidP="001C12B3">
            <w:pPr>
              <w:keepNext/>
              <w:rPr>
                <w:b/>
                <w:sz w:val="18"/>
                <w:szCs w:val="18"/>
              </w:rPr>
            </w:pPr>
            <w:r w:rsidRPr="003D56F0">
              <w:rPr>
                <w:b/>
                <w:sz w:val="18"/>
                <w:szCs w:val="18"/>
              </w:rPr>
              <w:t>Total Costs (£)</w:t>
            </w:r>
          </w:p>
        </w:tc>
        <w:tc>
          <w:tcPr>
            <w:tcW w:w="1434" w:type="dxa"/>
          </w:tcPr>
          <w:p w14:paraId="073D1145" w14:textId="40A57178" w:rsidR="00D830A9" w:rsidRPr="003D56F0" w:rsidRDefault="00D830A9" w:rsidP="001C12B3">
            <w:pPr>
              <w:keepNext/>
              <w:rPr>
                <w:b/>
                <w:sz w:val="18"/>
                <w:szCs w:val="18"/>
              </w:rPr>
            </w:pPr>
            <w:r w:rsidRPr="003D56F0">
              <w:rPr>
                <w:b/>
                <w:sz w:val="18"/>
                <w:szCs w:val="18"/>
              </w:rPr>
              <w:t>Total QALYs</w:t>
            </w:r>
            <w:r w:rsidR="000A46DF">
              <w:rPr>
                <w:b/>
                <w:sz w:val="18"/>
                <w:szCs w:val="18"/>
              </w:rPr>
              <w:t xml:space="preserve"> lost</w:t>
            </w:r>
          </w:p>
        </w:tc>
        <w:tc>
          <w:tcPr>
            <w:tcW w:w="1551" w:type="dxa"/>
          </w:tcPr>
          <w:p w14:paraId="4CCC3718" w14:textId="77777777" w:rsidR="00D830A9" w:rsidRPr="003D56F0" w:rsidRDefault="00D830A9" w:rsidP="001C12B3">
            <w:pPr>
              <w:keepNext/>
              <w:rPr>
                <w:b/>
                <w:sz w:val="18"/>
                <w:szCs w:val="18"/>
              </w:rPr>
            </w:pPr>
            <w:r w:rsidRPr="003D56F0">
              <w:rPr>
                <w:b/>
                <w:sz w:val="18"/>
                <w:szCs w:val="18"/>
              </w:rPr>
              <w:t>Incremental Costs (£)</w:t>
            </w:r>
          </w:p>
        </w:tc>
        <w:tc>
          <w:tcPr>
            <w:tcW w:w="1499" w:type="dxa"/>
          </w:tcPr>
          <w:p w14:paraId="516A61F1" w14:textId="77777777" w:rsidR="00D830A9" w:rsidRPr="003D56F0" w:rsidRDefault="00D830A9" w:rsidP="001C12B3">
            <w:pPr>
              <w:keepNext/>
              <w:rPr>
                <w:b/>
                <w:sz w:val="18"/>
                <w:szCs w:val="18"/>
              </w:rPr>
            </w:pPr>
            <w:r w:rsidRPr="003D56F0">
              <w:rPr>
                <w:b/>
                <w:sz w:val="18"/>
                <w:szCs w:val="18"/>
              </w:rPr>
              <w:t>Incremental QALYs</w:t>
            </w:r>
          </w:p>
        </w:tc>
        <w:tc>
          <w:tcPr>
            <w:tcW w:w="1481" w:type="dxa"/>
          </w:tcPr>
          <w:p w14:paraId="793C4CAA" w14:textId="77777777" w:rsidR="00D830A9" w:rsidRPr="003D56F0" w:rsidRDefault="00D830A9" w:rsidP="001C12B3">
            <w:pPr>
              <w:keepNext/>
              <w:rPr>
                <w:b/>
                <w:sz w:val="18"/>
                <w:szCs w:val="18"/>
              </w:rPr>
            </w:pPr>
            <w:r w:rsidRPr="003D56F0">
              <w:rPr>
                <w:b/>
                <w:sz w:val="18"/>
                <w:szCs w:val="18"/>
              </w:rPr>
              <w:t>ICER (£)/QALYs</w:t>
            </w:r>
          </w:p>
        </w:tc>
      </w:tr>
      <w:tr w:rsidR="00D830A9" w:rsidRPr="003D56F0" w14:paraId="179F4DFE" w14:textId="77777777" w:rsidTr="00E57B6E">
        <w:trPr>
          <w:trHeight w:val="327"/>
        </w:trPr>
        <w:tc>
          <w:tcPr>
            <w:tcW w:w="1500" w:type="dxa"/>
          </w:tcPr>
          <w:p w14:paraId="1481881E" w14:textId="77777777" w:rsidR="00D830A9" w:rsidRPr="003D56F0" w:rsidRDefault="00D830A9" w:rsidP="001C12B3">
            <w:pPr>
              <w:keepNext/>
              <w:rPr>
                <w:sz w:val="18"/>
                <w:szCs w:val="18"/>
              </w:rPr>
            </w:pPr>
            <w:r w:rsidRPr="003D56F0">
              <w:rPr>
                <w:sz w:val="18"/>
                <w:szCs w:val="18"/>
              </w:rPr>
              <w:t>Intervention</w:t>
            </w:r>
          </w:p>
        </w:tc>
        <w:tc>
          <w:tcPr>
            <w:tcW w:w="1551" w:type="dxa"/>
            <w:vAlign w:val="bottom"/>
          </w:tcPr>
          <w:p w14:paraId="484FA2FE" w14:textId="77777777" w:rsidR="00D830A9" w:rsidRPr="003D56F0" w:rsidRDefault="00D830A9" w:rsidP="00E57B6E">
            <w:pPr>
              <w:keepNext/>
              <w:jc w:val="right"/>
              <w:rPr>
                <w:rFonts w:eastAsia="Times New Roman"/>
                <w:color w:val="000000"/>
                <w:sz w:val="18"/>
                <w:szCs w:val="18"/>
              </w:rPr>
            </w:pPr>
            <w:r w:rsidRPr="003D56F0">
              <w:rPr>
                <w:sz w:val="18"/>
                <w:szCs w:val="18"/>
              </w:rPr>
              <w:t>£52,977,610</w:t>
            </w:r>
          </w:p>
        </w:tc>
        <w:tc>
          <w:tcPr>
            <w:tcW w:w="1434" w:type="dxa"/>
            <w:vAlign w:val="bottom"/>
          </w:tcPr>
          <w:p w14:paraId="322CB7AD" w14:textId="7DB5C076" w:rsidR="00D830A9" w:rsidRPr="003D56F0" w:rsidRDefault="000A46DF" w:rsidP="00E57B6E">
            <w:pPr>
              <w:keepNext/>
              <w:jc w:val="right"/>
              <w:rPr>
                <w:rFonts w:eastAsia="Times New Roman"/>
                <w:color w:val="000000"/>
                <w:sz w:val="18"/>
                <w:szCs w:val="18"/>
              </w:rPr>
            </w:pPr>
            <w:r>
              <w:rPr>
                <w:sz w:val="18"/>
                <w:szCs w:val="18"/>
              </w:rPr>
              <w:t>878.9</w:t>
            </w:r>
          </w:p>
        </w:tc>
        <w:tc>
          <w:tcPr>
            <w:tcW w:w="1551" w:type="dxa"/>
            <w:vMerge w:val="restart"/>
            <w:vAlign w:val="bottom"/>
          </w:tcPr>
          <w:p w14:paraId="788F33AC" w14:textId="77777777" w:rsidR="00D830A9" w:rsidRPr="003D56F0" w:rsidRDefault="00D830A9" w:rsidP="00E57B6E">
            <w:pPr>
              <w:keepNext/>
              <w:jc w:val="right"/>
              <w:rPr>
                <w:rFonts w:eastAsia="Times New Roman"/>
                <w:color w:val="000000"/>
                <w:sz w:val="18"/>
                <w:szCs w:val="18"/>
              </w:rPr>
            </w:pPr>
            <w:r w:rsidRPr="003D56F0">
              <w:rPr>
                <w:sz w:val="18"/>
                <w:szCs w:val="18"/>
              </w:rPr>
              <w:t>£40,663,769</w:t>
            </w:r>
          </w:p>
        </w:tc>
        <w:tc>
          <w:tcPr>
            <w:tcW w:w="1499" w:type="dxa"/>
            <w:vMerge w:val="restart"/>
            <w:vAlign w:val="bottom"/>
          </w:tcPr>
          <w:p w14:paraId="28BE46CC" w14:textId="77777777" w:rsidR="00D830A9" w:rsidRPr="003D56F0" w:rsidRDefault="00D830A9" w:rsidP="00E57B6E">
            <w:pPr>
              <w:keepNext/>
              <w:jc w:val="right"/>
              <w:rPr>
                <w:rFonts w:eastAsia="Times New Roman"/>
                <w:color w:val="000000"/>
                <w:sz w:val="18"/>
                <w:szCs w:val="18"/>
              </w:rPr>
            </w:pPr>
            <w:r w:rsidRPr="003D56F0">
              <w:rPr>
                <w:sz w:val="18"/>
                <w:szCs w:val="18"/>
              </w:rPr>
              <w:t>176.7</w:t>
            </w:r>
          </w:p>
        </w:tc>
        <w:tc>
          <w:tcPr>
            <w:tcW w:w="1481" w:type="dxa"/>
            <w:vMerge w:val="restart"/>
            <w:vAlign w:val="bottom"/>
          </w:tcPr>
          <w:p w14:paraId="26AEB696" w14:textId="77777777" w:rsidR="00D830A9" w:rsidRPr="003D56F0" w:rsidRDefault="00D830A9" w:rsidP="00E57B6E">
            <w:pPr>
              <w:keepNext/>
              <w:jc w:val="right"/>
              <w:rPr>
                <w:rFonts w:eastAsia="Times New Roman"/>
                <w:color w:val="000000"/>
                <w:sz w:val="18"/>
                <w:szCs w:val="18"/>
              </w:rPr>
            </w:pPr>
            <w:r w:rsidRPr="003D56F0">
              <w:rPr>
                <w:sz w:val="18"/>
                <w:szCs w:val="18"/>
              </w:rPr>
              <w:t>£230,097</w:t>
            </w:r>
          </w:p>
        </w:tc>
      </w:tr>
      <w:tr w:rsidR="00D830A9" w:rsidRPr="003D56F0" w14:paraId="111D0D9F" w14:textId="77777777" w:rsidTr="00E57B6E">
        <w:trPr>
          <w:trHeight w:val="373"/>
        </w:trPr>
        <w:tc>
          <w:tcPr>
            <w:tcW w:w="1500" w:type="dxa"/>
          </w:tcPr>
          <w:p w14:paraId="557FD746" w14:textId="77777777" w:rsidR="00D830A9" w:rsidRPr="003D56F0" w:rsidRDefault="00D830A9" w:rsidP="001C12B3">
            <w:pPr>
              <w:keepNext/>
              <w:rPr>
                <w:rFonts w:eastAsia="Times New Roman"/>
                <w:color w:val="000000"/>
                <w:sz w:val="18"/>
                <w:szCs w:val="18"/>
              </w:rPr>
            </w:pPr>
            <w:r w:rsidRPr="003D56F0">
              <w:rPr>
                <w:sz w:val="18"/>
                <w:szCs w:val="18"/>
              </w:rPr>
              <w:t>Comparator</w:t>
            </w:r>
          </w:p>
        </w:tc>
        <w:tc>
          <w:tcPr>
            <w:tcW w:w="1551" w:type="dxa"/>
            <w:vAlign w:val="bottom"/>
          </w:tcPr>
          <w:p w14:paraId="247275A4" w14:textId="77777777" w:rsidR="00D830A9" w:rsidRPr="003D56F0" w:rsidRDefault="00D830A9" w:rsidP="00E57B6E">
            <w:pPr>
              <w:keepNext/>
              <w:jc w:val="right"/>
              <w:rPr>
                <w:rFonts w:eastAsia="Times New Roman"/>
                <w:color w:val="000000"/>
                <w:sz w:val="18"/>
                <w:szCs w:val="18"/>
              </w:rPr>
            </w:pPr>
            <w:r w:rsidRPr="003D56F0">
              <w:rPr>
                <w:sz w:val="18"/>
                <w:szCs w:val="18"/>
              </w:rPr>
              <w:t>£12,313,841</w:t>
            </w:r>
          </w:p>
        </w:tc>
        <w:tc>
          <w:tcPr>
            <w:tcW w:w="1434" w:type="dxa"/>
            <w:vAlign w:val="bottom"/>
          </w:tcPr>
          <w:p w14:paraId="5617ECEB" w14:textId="640EEBBD" w:rsidR="00D830A9" w:rsidRPr="003D56F0" w:rsidRDefault="000A46DF" w:rsidP="00E57B6E">
            <w:pPr>
              <w:keepNext/>
              <w:jc w:val="right"/>
              <w:rPr>
                <w:rFonts w:eastAsia="Times New Roman"/>
                <w:color w:val="000000"/>
                <w:sz w:val="18"/>
                <w:szCs w:val="18"/>
              </w:rPr>
            </w:pPr>
            <w:r>
              <w:rPr>
                <w:sz w:val="18"/>
                <w:szCs w:val="18"/>
              </w:rPr>
              <w:t>1,055.6</w:t>
            </w:r>
          </w:p>
        </w:tc>
        <w:tc>
          <w:tcPr>
            <w:tcW w:w="1551" w:type="dxa"/>
            <w:vMerge/>
            <w:vAlign w:val="bottom"/>
          </w:tcPr>
          <w:p w14:paraId="6EE8D320" w14:textId="77777777" w:rsidR="00D830A9" w:rsidRPr="003D56F0" w:rsidRDefault="00D830A9" w:rsidP="00E57B6E">
            <w:pPr>
              <w:keepNext/>
              <w:jc w:val="right"/>
              <w:rPr>
                <w:sz w:val="18"/>
                <w:szCs w:val="18"/>
              </w:rPr>
            </w:pPr>
          </w:p>
        </w:tc>
        <w:tc>
          <w:tcPr>
            <w:tcW w:w="1499" w:type="dxa"/>
            <w:vMerge/>
            <w:vAlign w:val="bottom"/>
          </w:tcPr>
          <w:p w14:paraId="74F87812" w14:textId="77777777" w:rsidR="00D830A9" w:rsidRPr="003D56F0" w:rsidRDefault="00D830A9" w:rsidP="00E57B6E">
            <w:pPr>
              <w:keepNext/>
              <w:jc w:val="right"/>
              <w:rPr>
                <w:sz w:val="18"/>
                <w:szCs w:val="18"/>
              </w:rPr>
            </w:pPr>
          </w:p>
        </w:tc>
        <w:tc>
          <w:tcPr>
            <w:tcW w:w="1481" w:type="dxa"/>
            <w:vMerge/>
            <w:vAlign w:val="bottom"/>
          </w:tcPr>
          <w:p w14:paraId="7B2337B5" w14:textId="77777777" w:rsidR="00D830A9" w:rsidRPr="003D56F0" w:rsidRDefault="00D830A9" w:rsidP="00E57B6E">
            <w:pPr>
              <w:keepNext/>
              <w:jc w:val="right"/>
              <w:rPr>
                <w:sz w:val="18"/>
                <w:szCs w:val="18"/>
              </w:rPr>
            </w:pPr>
          </w:p>
        </w:tc>
      </w:tr>
    </w:tbl>
    <w:p w14:paraId="22A051C6" w14:textId="519B8C91" w:rsidR="00D830A9" w:rsidRPr="003D56F0" w:rsidRDefault="00D830A9" w:rsidP="001C12B3">
      <w:pPr>
        <w:keepNext/>
        <w:rPr>
          <w:sz w:val="18"/>
          <w:szCs w:val="18"/>
        </w:rPr>
      </w:pPr>
      <w:r w:rsidRPr="003D56F0">
        <w:rPr>
          <w:sz w:val="18"/>
          <w:szCs w:val="18"/>
        </w:rPr>
        <w:t>*Total costs excluding societal costs of forgone QALYs as these are accounted for in the denominator</w:t>
      </w:r>
    </w:p>
    <w:p w14:paraId="7B6DD791" w14:textId="77777777" w:rsidR="00D830A9" w:rsidRPr="00D830A9" w:rsidRDefault="00D830A9" w:rsidP="00AD2788"/>
    <w:p w14:paraId="07867451" w14:textId="2649FCDA" w:rsidR="00D830A9" w:rsidRPr="00D830A9" w:rsidRDefault="00D830A9">
      <w:r w:rsidRPr="00D830A9">
        <w:t>For the population aged 16-24 and 25-59, the associated ICERs were £444,966 and £571,739 in the base-case scenario, and £211,121 and £271,271 per QALY, in the 2 year reduction scenario respectively</w:t>
      </w:r>
      <w:r w:rsidR="00940B3D">
        <w:t xml:space="preserve">. </w:t>
      </w:r>
    </w:p>
    <w:p w14:paraId="4C2907B7" w14:textId="77777777" w:rsidR="00D830A9" w:rsidRPr="00D830A9" w:rsidRDefault="00D830A9"/>
    <w:p w14:paraId="7FE768A7" w14:textId="7F76021F" w:rsidR="00C01A73" w:rsidRDefault="00D830A9">
      <w:r w:rsidRPr="00D830A9">
        <w:t xml:space="preserve">Regardless of the population modelled this intervention remained cost-ineffective. This is largely because of the relatively minimal harms resulting from ecstasy use in such a wide user base, and the difference between the estimated cost of ecstasy related harms per person per year (£26), and the cost of the intervention (£67). </w:t>
      </w:r>
    </w:p>
    <w:p w14:paraId="22126B54" w14:textId="77777777" w:rsidR="00C01A73" w:rsidRDefault="00C01A73"/>
    <w:p w14:paraId="419FD28C" w14:textId="7574B560" w:rsidR="00D830A9" w:rsidRPr="00D830A9" w:rsidRDefault="00C01A73">
      <w:r>
        <w:t>The</w:t>
      </w:r>
      <w:r w:rsidR="00D830A9" w:rsidRPr="00D830A9">
        <w:t xml:space="preserve"> model assumes that the intervention is 100% effective at identifying all ecstasy users who may benefit from the intervention with a zero cost of doing so. In reality this is unlikely, given the staffing requirements of locating such individuals and t</w:t>
      </w:r>
      <w:r w:rsidR="00E006A9">
        <w:t>hat not all individuals may be willing to undergo the intervention.</w:t>
      </w:r>
    </w:p>
    <w:p w14:paraId="772A7DD2" w14:textId="77777777" w:rsidR="008136FA" w:rsidRPr="000957AD" w:rsidRDefault="008136FA"/>
    <w:p w14:paraId="6AB44F48" w14:textId="687C5568" w:rsidR="008136FA" w:rsidRPr="000957AD" w:rsidRDefault="00193C36">
      <w:pPr>
        <w:pStyle w:val="Heading6"/>
      </w:pPr>
      <w:r>
        <w:t>Sensitivity analysis</w:t>
      </w:r>
    </w:p>
    <w:p w14:paraId="22527AAA" w14:textId="77777777" w:rsidR="008136FA" w:rsidRPr="000957AD" w:rsidRDefault="008136FA"/>
    <w:p w14:paraId="51389FC0" w14:textId="6D5E0967" w:rsidR="008136FA" w:rsidRPr="005F12F1" w:rsidRDefault="008136FA">
      <w:r w:rsidRPr="005F12F1">
        <w:t>The break-even analysis demonstrated that the cost of the intervention would need to decrease from £</w:t>
      </w:r>
      <w:r>
        <w:t>67</w:t>
      </w:r>
      <w:r w:rsidRPr="005F12F1">
        <w:t xml:space="preserve"> to £</w:t>
      </w:r>
      <w:r w:rsidR="00D830A9">
        <w:t>4</w:t>
      </w:r>
      <w:r>
        <w:t>.</w:t>
      </w:r>
      <w:r w:rsidR="00D830A9">
        <w:t>2</w:t>
      </w:r>
      <w:r w:rsidRPr="005F12F1">
        <w:t>0</w:t>
      </w:r>
      <w:r w:rsidR="00640CCA">
        <w:t xml:space="preserve"> (</w:t>
      </w:r>
      <w:r w:rsidRPr="005F12F1">
        <w:t>less than the UK minimum wage</w:t>
      </w:r>
      <w:r w:rsidR="00640CCA">
        <w:t>)</w:t>
      </w:r>
      <w:r w:rsidRPr="005F12F1">
        <w:t xml:space="preserve"> in order to represent a cost-effective use of NHS resources at a willingness-to-pay of £20,000 per QALY. </w:t>
      </w:r>
    </w:p>
    <w:p w14:paraId="04557A58" w14:textId="77777777" w:rsidR="008136FA" w:rsidRPr="005F12F1" w:rsidRDefault="008136FA"/>
    <w:p w14:paraId="5E434388" w14:textId="4514AA81" w:rsidR="008136FA" w:rsidRPr="005F12F1" w:rsidRDefault="00640CCA">
      <w:r>
        <w:t>I</w:t>
      </w:r>
      <w:r w:rsidR="008136FA" w:rsidRPr="005F12F1">
        <w:t xml:space="preserve">f the intervention were able to </w:t>
      </w:r>
      <w:r>
        <w:t>decrease</w:t>
      </w:r>
      <w:r w:rsidR="008136FA" w:rsidRPr="005F12F1">
        <w:t xml:space="preserve"> ecstasy use at 90 days post intervention to a 100% reduction; at the current price, </w:t>
      </w:r>
      <w:r>
        <w:t>the ICER would be</w:t>
      </w:r>
      <w:r w:rsidR="008136FA" w:rsidRPr="005F12F1">
        <w:t xml:space="preserve"> approximately £</w:t>
      </w:r>
      <w:r w:rsidR="00D830A9">
        <w:t>150,099</w:t>
      </w:r>
      <w:r w:rsidR="008136FA" w:rsidRPr="005F12F1">
        <w:t xml:space="preserve">. </w:t>
      </w:r>
    </w:p>
    <w:p w14:paraId="55828FC6" w14:textId="77777777" w:rsidR="008136FA" w:rsidRPr="005F12F1" w:rsidRDefault="008136FA"/>
    <w:p w14:paraId="0CD270D4" w14:textId="099D21D7" w:rsidR="008136FA" w:rsidRPr="005F12F1" w:rsidRDefault="00193C36">
      <w:r>
        <w:t xml:space="preserve">Crime </w:t>
      </w:r>
      <w:r w:rsidR="008136FA" w:rsidRPr="005F12F1">
        <w:t xml:space="preserve">costs for young offenders may be higher than those associated with adult offenders, as suggested by the </w:t>
      </w:r>
      <w:r w:rsidR="008136FA">
        <w:fldChar w:fldCharType="begin" w:fldLock="1"/>
      </w:r>
      <w:r w:rsidR="008136FA">
        <w:instrText>ADDIN CSL_CITATION { "citationItems" : [ { "id" : "ITEM-1", "itemData" : { "author" : [ { "dropping-particle" : "", "family" : "National Audit Office", "given" : "", "non-dropping-particle" : "", "parse-names" : false, "suffix" : "" } ], "id" : "ITEM-1", "issue" : "June", "issued" : { "date-parts" : [ [ "2011" ] ] }, "number-of-pages" : "0-36", "title" : "The cost of a cohort of young offenders to the criminal justice system", "type" : "report" }, "uris" : [ "http://www.mendeley.com/documents/?uuid=23d54ffd-b0f0-47df-b28d-f7c517c29447" ] } ], "mendeley" : { "formattedCitation" : "(National Audit Office 2011)", "manualFormatting" : "National Audit Office (2011)", "plainTextFormattedCitation" : "(National Audit Office 2011)", "previouslyFormattedCitation" : "(National Audit Office 2011)" }, "properties" : { "noteIndex" : 0 }, "schema" : "https://github.com/citation-style-language/schema/raw/master/csl-citation.json" }</w:instrText>
      </w:r>
      <w:r w:rsidR="008136FA">
        <w:fldChar w:fldCharType="separate"/>
      </w:r>
      <w:r w:rsidR="008136FA" w:rsidRPr="00053045">
        <w:rPr>
          <w:noProof/>
        </w:rPr>
        <w:t xml:space="preserve">National Audit Office </w:t>
      </w:r>
      <w:r w:rsidR="008136FA">
        <w:rPr>
          <w:noProof/>
        </w:rPr>
        <w:t>(</w:t>
      </w:r>
      <w:r w:rsidR="008136FA" w:rsidRPr="00053045">
        <w:rPr>
          <w:noProof/>
        </w:rPr>
        <w:t>2011)</w:t>
      </w:r>
      <w:r w:rsidR="008136FA">
        <w:fldChar w:fldCharType="end"/>
      </w:r>
      <w:r>
        <w:t xml:space="preserve">. Therefore, in an extreme scenario analysis </w:t>
      </w:r>
      <w:r w:rsidR="008136FA" w:rsidRPr="005F12F1">
        <w:t>the costs of arrest, sentencing and court appearance for ecstasy related possession offences were doubled. Following the doubling of crime costs, the cost per QALY of the intervention fell from £</w:t>
      </w:r>
      <w:r w:rsidR="00D830A9">
        <w:t>484</w:t>
      </w:r>
      <w:r w:rsidR="008136FA">
        <w:t>,</w:t>
      </w:r>
      <w:r w:rsidR="00D830A9">
        <w:t>959</w:t>
      </w:r>
      <w:r w:rsidR="008136FA" w:rsidRPr="005F12F1">
        <w:t xml:space="preserve"> to £</w:t>
      </w:r>
      <w:r w:rsidR="00D830A9">
        <w:t>477</w:t>
      </w:r>
      <w:r w:rsidR="008136FA" w:rsidRPr="005F12F1">
        <w:t>,</w:t>
      </w:r>
      <w:r w:rsidR="00D830A9">
        <w:t>175</w:t>
      </w:r>
      <w:r w:rsidR="008136FA" w:rsidRPr="005F12F1">
        <w:t xml:space="preserve"> per QALY, remaining cost-ineffective. </w:t>
      </w:r>
    </w:p>
    <w:p w14:paraId="003F3CF3" w14:textId="77777777" w:rsidR="008136FA" w:rsidRPr="005F12F1" w:rsidRDefault="008136FA"/>
    <w:p w14:paraId="6F9BEA85" w14:textId="5640D8D8" w:rsidR="008136FA" w:rsidRDefault="008136FA">
      <w:r w:rsidRPr="005F12F1">
        <w:t>The effect of modifying the assumptions used with</w:t>
      </w:r>
      <w:r>
        <w:t>in the model, as described in</w:t>
      </w:r>
      <w:r w:rsidR="00193C36">
        <w:t xml:space="preserve"> </w:t>
      </w:r>
      <w:r w:rsidR="00193C36">
        <w:rPr>
          <w:highlight w:val="yellow"/>
        </w:rPr>
        <w:fldChar w:fldCharType="begin"/>
      </w:r>
      <w:r w:rsidR="00193C36">
        <w:instrText xml:space="preserve"> REF _Ref451259024 \h </w:instrText>
      </w:r>
      <w:r w:rsidR="00940B3D">
        <w:rPr>
          <w:highlight w:val="yellow"/>
        </w:rPr>
        <w:instrText xml:space="preserve"> \* MERGEFORMAT </w:instrText>
      </w:r>
      <w:r w:rsidR="00193C36">
        <w:rPr>
          <w:highlight w:val="yellow"/>
        </w:rPr>
      </w:r>
      <w:r w:rsidR="00193C36">
        <w:rPr>
          <w:highlight w:val="yellow"/>
        </w:rPr>
        <w:fldChar w:fldCharType="separate"/>
      </w:r>
      <w:r w:rsidR="000D2733">
        <w:t xml:space="preserve">Table </w:t>
      </w:r>
      <w:r w:rsidR="000D2733">
        <w:rPr>
          <w:noProof/>
        </w:rPr>
        <w:t>10</w:t>
      </w:r>
      <w:r w:rsidR="00193C36">
        <w:rPr>
          <w:highlight w:val="yellow"/>
        </w:rPr>
        <w:fldChar w:fldCharType="end"/>
      </w:r>
      <w:r w:rsidRPr="005F12F1">
        <w:t xml:space="preserve"> is shown in the tornado diagram </w:t>
      </w:r>
      <w:r w:rsidR="00193C36">
        <w:t>(</w:t>
      </w:r>
      <w:r w:rsidR="001478DB">
        <w:fldChar w:fldCharType="begin"/>
      </w:r>
      <w:r w:rsidR="001478DB">
        <w:instrText xml:space="preserve"> REF _Ref451251247 \h </w:instrText>
      </w:r>
      <w:r w:rsidR="00940B3D">
        <w:instrText xml:space="preserve"> \* MERGEFORMAT </w:instrText>
      </w:r>
      <w:r w:rsidR="001478DB">
        <w:fldChar w:fldCharType="separate"/>
      </w:r>
      <w:r w:rsidR="0087365D">
        <w:t xml:space="preserve">Figure </w:t>
      </w:r>
      <w:r w:rsidR="0087365D">
        <w:rPr>
          <w:noProof/>
        </w:rPr>
        <w:t>13</w:t>
      </w:r>
      <w:r w:rsidR="001478DB">
        <w:fldChar w:fldCharType="end"/>
      </w:r>
      <w:r w:rsidR="00193C36">
        <w:t>).</w:t>
      </w:r>
    </w:p>
    <w:p w14:paraId="4B80DBB0" w14:textId="1C3D23ED" w:rsidR="008136FA" w:rsidRDefault="00E8443B">
      <w:r>
        <w:t>The biggest driver is the cost of the intervention</w:t>
      </w:r>
      <w:r w:rsidR="009D0E40">
        <w:t xml:space="preserve">, but even at the lowest cost, the intervention is not cost effective. </w:t>
      </w:r>
      <w:r>
        <w:t xml:space="preserve"> </w:t>
      </w:r>
    </w:p>
    <w:p w14:paraId="21048535" w14:textId="77777777" w:rsidR="008527AA" w:rsidRDefault="008527AA"/>
    <w:p w14:paraId="2978D404" w14:textId="10CBB93A" w:rsidR="008136FA" w:rsidRPr="005F12F1" w:rsidRDefault="008136FA">
      <w:pPr>
        <w:pStyle w:val="Caption"/>
      </w:pPr>
      <w:bookmarkStart w:id="54" w:name="_Ref451259024"/>
      <w:r>
        <w:lastRenderedPageBreak/>
        <w:t xml:space="preserve">Table </w:t>
      </w:r>
      <w:fldSimple w:instr=" SEQ Table \* ARABIC ">
        <w:r w:rsidR="008527AA">
          <w:rPr>
            <w:noProof/>
          </w:rPr>
          <w:t>10</w:t>
        </w:r>
      </w:fldSimple>
      <w:bookmarkEnd w:id="54"/>
      <w:r>
        <w:t>. Model assumptions</w:t>
      </w:r>
    </w:p>
    <w:tbl>
      <w:tblPr>
        <w:tblStyle w:val="TableGrid"/>
        <w:tblW w:w="5370" w:type="pct"/>
        <w:tblInd w:w="113" w:type="dxa"/>
        <w:tblLayout w:type="fixed"/>
        <w:tblLook w:val="04A0" w:firstRow="1" w:lastRow="0" w:firstColumn="1" w:lastColumn="0" w:noHBand="0" w:noVBand="1"/>
      </w:tblPr>
      <w:tblGrid>
        <w:gridCol w:w="1626"/>
        <w:gridCol w:w="3472"/>
        <w:gridCol w:w="4828"/>
      </w:tblGrid>
      <w:tr w:rsidR="008136FA" w:rsidRPr="003D56F0" w14:paraId="1B567B84" w14:textId="77777777" w:rsidTr="003D56F0">
        <w:trPr>
          <w:trHeight w:val="300"/>
        </w:trPr>
        <w:tc>
          <w:tcPr>
            <w:tcW w:w="819" w:type="pct"/>
            <w:noWrap/>
            <w:hideMark/>
          </w:tcPr>
          <w:p w14:paraId="1B6A7892" w14:textId="77777777" w:rsidR="008136FA" w:rsidRPr="003D56F0" w:rsidRDefault="008136FA" w:rsidP="00627432">
            <w:pPr>
              <w:rPr>
                <w:b/>
                <w:sz w:val="22"/>
                <w:szCs w:val="22"/>
              </w:rPr>
            </w:pPr>
            <w:r w:rsidRPr="003D56F0">
              <w:rPr>
                <w:b/>
                <w:sz w:val="22"/>
                <w:szCs w:val="22"/>
              </w:rPr>
              <w:t>Parameter</w:t>
            </w:r>
          </w:p>
        </w:tc>
        <w:tc>
          <w:tcPr>
            <w:tcW w:w="1749" w:type="pct"/>
            <w:noWrap/>
            <w:hideMark/>
          </w:tcPr>
          <w:p w14:paraId="5EA027B8" w14:textId="77777777" w:rsidR="008136FA" w:rsidRPr="003D56F0" w:rsidRDefault="008136FA" w:rsidP="000B4925">
            <w:pPr>
              <w:rPr>
                <w:b/>
                <w:sz w:val="22"/>
                <w:szCs w:val="22"/>
              </w:rPr>
            </w:pPr>
            <w:r w:rsidRPr="003D56F0">
              <w:rPr>
                <w:b/>
                <w:sz w:val="22"/>
                <w:szCs w:val="22"/>
              </w:rPr>
              <w:t>Explanation</w:t>
            </w:r>
          </w:p>
        </w:tc>
        <w:tc>
          <w:tcPr>
            <w:tcW w:w="2432" w:type="pct"/>
          </w:tcPr>
          <w:p w14:paraId="41209DE7" w14:textId="77777777" w:rsidR="008136FA" w:rsidRPr="003D56F0" w:rsidRDefault="008136FA" w:rsidP="003D56F0">
            <w:pPr>
              <w:rPr>
                <w:b/>
                <w:sz w:val="22"/>
                <w:szCs w:val="22"/>
              </w:rPr>
            </w:pPr>
            <w:r w:rsidRPr="003D56F0">
              <w:rPr>
                <w:b/>
                <w:sz w:val="22"/>
                <w:szCs w:val="22"/>
              </w:rPr>
              <w:t>Justification</w:t>
            </w:r>
          </w:p>
        </w:tc>
      </w:tr>
      <w:tr w:rsidR="008136FA" w:rsidRPr="003D56F0" w14:paraId="19069741" w14:textId="77777777" w:rsidTr="003D56F0">
        <w:trPr>
          <w:trHeight w:val="300"/>
        </w:trPr>
        <w:tc>
          <w:tcPr>
            <w:tcW w:w="819" w:type="pct"/>
            <w:noWrap/>
            <w:hideMark/>
          </w:tcPr>
          <w:p w14:paraId="5FCD2D33" w14:textId="77777777" w:rsidR="008136FA" w:rsidRPr="003D56F0" w:rsidRDefault="008136FA" w:rsidP="00CC7EC2">
            <w:pPr>
              <w:rPr>
                <w:sz w:val="22"/>
                <w:szCs w:val="22"/>
              </w:rPr>
            </w:pPr>
            <w:r w:rsidRPr="003D56F0">
              <w:rPr>
                <w:sz w:val="22"/>
                <w:szCs w:val="22"/>
              </w:rPr>
              <w:t>QALY loss (16-24 years old)</w:t>
            </w:r>
          </w:p>
        </w:tc>
        <w:tc>
          <w:tcPr>
            <w:tcW w:w="1749" w:type="pct"/>
            <w:noWrap/>
            <w:hideMark/>
          </w:tcPr>
          <w:p w14:paraId="5D4BEAD9" w14:textId="77777777" w:rsidR="008136FA" w:rsidRPr="003D56F0" w:rsidRDefault="008136FA" w:rsidP="00AD2788">
            <w:pPr>
              <w:rPr>
                <w:sz w:val="22"/>
                <w:szCs w:val="22"/>
              </w:rPr>
            </w:pPr>
            <w:r w:rsidRPr="003D56F0">
              <w:rPr>
                <w:sz w:val="22"/>
                <w:szCs w:val="22"/>
              </w:rPr>
              <w:t>Low is assuming all deaths at 24, high is all deaths at 16</w:t>
            </w:r>
          </w:p>
        </w:tc>
        <w:tc>
          <w:tcPr>
            <w:tcW w:w="2432" w:type="pct"/>
          </w:tcPr>
          <w:p w14:paraId="447D6132" w14:textId="77777777" w:rsidR="008136FA" w:rsidRPr="003D56F0" w:rsidRDefault="008136FA" w:rsidP="003D56F0">
            <w:pPr>
              <w:rPr>
                <w:rFonts w:eastAsia="Times New Roman"/>
                <w:color w:val="000000"/>
                <w:sz w:val="22"/>
                <w:szCs w:val="22"/>
              </w:rPr>
            </w:pPr>
            <w:r w:rsidRPr="003D56F0">
              <w:rPr>
                <w:sz w:val="22"/>
                <w:szCs w:val="22"/>
              </w:rPr>
              <w:t>Without data as to how death is likely to vary by age, and within age bands, this provided the opportunity to show the full spectrum of the effect of age at death on the results of the model</w:t>
            </w:r>
          </w:p>
        </w:tc>
      </w:tr>
      <w:tr w:rsidR="008136FA" w:rsidRPr="003D56F0" w14:paraId="34209896" w14:textId="77777777" w:rsidTr="003D56F0">
        <w:trPr>
          <w:trHeight w:val="300"/>
        </w:trPr>
        <w:tc>
          <w:tcPr>
            <w:tcW w:w="819" w:type="pct"/>
            <w:noWrap/>
            <w:hideMark/>
          </w:tcPr>
          <w:p w14:paraId="2CE55528" w14:textId="77777777" w:rsidR="008136FA" w:rsidRPr="003D56F0" w:rsidRDefault="008136FA" w:rsidP="00CC7EC2">
            <w:pPr>
              <w:rPr>
                <w:sz w:val="22"/>
                <w:szCs w:val="22"/>
              </w:rPr>
            </w:pPr>
            <w:r w:rsidRPr="003D56F0">
              <w:rPr>
                <w:sz w:val="22"/>
                <w:szCs w:val="22"/>
              </w:rPr>
              <w:t>QALY loss (25-59 years old)</w:t>
            </w:r>
          </w:p>
        </w:tc>
        <w:tc>
          <w:tcPr>
            <w:tcW w:w="1749" w:type="pct"/>
            <w:noWrap/>
            <w:hideMark/>
          </w:tcPr>
          <w:p w14:paraId="7500B060" w14:textId="77777777" w:rsidR="008136FA" w:rsidRPr="003D56F0" w:rsidRDefault="008136FA" w:rsidP="00AD2788">
            <w:pPr>
              <w:rPr>
                <w:sz w:val="22"/>
                <w:szCs w:val="22"/>
              </w:rPr>
            </w:pPr>
            <w:r w:rsidRPr="003D56F0">
              <w:rPr>
                <w:sz w:val="22"/>
                <w:szCs w:val="22"/>
              </w:rPr>
              <w:t>Low is assuming all deaths at 59, high is all deaths at 25</w:t>
            </w:r>
          </w:p>
        </w:tc>
        <w:tc>
          <w:tcPr>
            <w:tcW w:w="2432" w:type="pct"/>
          </w:tcPr>
          <w:p w14:paraId="367B52B4" w14:textId="77777777" w:rsidR="008136FA" w:rsidRPr="003D56F0" w:rsidRDefault="008136FA" w:rsidP="003D56F0">
            <w:pPr>
              <w:rPr>
                <w:rFonts w:eastAsia="Times New Roman"/>
                <w:color w:val="000000"/>
                <w:sz w:val="22"/>
                <w:szCs w:val="22"/>
              </w:rPr>
            </w:pPr>
            <w:r w:rsidRPr="003D56F0">
              <w:rPr>
                <w:sz w:val="22"/>
                <w:szCs w:val="22"/>
              </w:rPr>
              <w:t>Without data as to how death is likely to vary by age, and within age bands, this provided the opportunity to show the full spectrum of the effect of age at death on the results of the model</w:t>
            </w:r>
          </w:p>
        </w:tc>
      </w:tr>
      <w:tr w:rsidR="008136FA" w:rsidRPr="003D56F0" w14:paraId="00233FFE" w14:textId="77777777" w:rsidTr="003D56F0">
        <w:trPr>
          <w:trHeight w:val="300"/>
        </w:trPr>
        <w:tc>
          <w:tcPr>
            <w:tcW w:w="819" w:type="pct"/>
            <w:noWrap/>
            <w:hideMark/>
          </w:tcPr>
          <w:p w14:paraId="618A7A1F" w14:textId="77777777" w:rsidR="008136FA" w:rsidRPr="003D56F0" w:rsidRDefault="008136FA" w:rsidP="00CC7EC2">
            <w:pPr>
              <w:rPr>
                <w:sz w:val="22"/>
                <w:szCs w:val="22"/>
              </w:rPr>
            </w:pPr>
            <w:r w:rsidRPr="003D56F0">
              <w:rPr>
                <w:sz w:val="22"/>
                <w:szCs w:val="22"/>
              </w:rPr>
              <w:t xml:space="preserve">Treatment effect </w:t>
            </w:r>
          </w:p>
        </w:tc>
        <w:tc>
          <w:tcPr>
            <w:tcW w:w="1749" w:type="pct"/>
            <w:noWrap/>
            <w:hideMark/>
          </w:tcPr>
          <w:p w14:paraId="187BE9FB" w14:textId="77777777" w:rsidR="008136FA" w:rsidRPr="003D56F0" w:rsidRDefault="008136FA" w:rsidP="00AD2788">
            <w:pPr>
              <w:rPr>
                <w:sz w:val="22"/>
                <w:szCs w:val="22"/>
              </w:rPr>
            </w:pPr>
            <w:r w:rsidRPr="003D56F0">
              <w:rPr>
                <w:sz w:val="22"/>
                <w:szCs w:val="22"/>
              </w:rPr>
              <w:t>Low is assuming treatment effect is halved, high is doubled (no change on effect sustainability.)</w:t>
            </w:r>
          </w:p>
        </w:tc>
        <w:tc>
          <w:tcPr>
            <w:tcW w:w="2432" w:type="pct"/>
          </w:tcPr>
          <w:p w14:paraId="64CBF92E" w14:textId="77777777" w:rsidR="008136FA" w:rsidRPr="003D56F0" w:rsidRDefault="008136FA" w:rsidP="003D56F0">
            <w:pPr>
              <w:rPr>
                <w:rFonts w:eastAsia="Times New Roman"/>
                <w:color w:val="000000"/>
                <w:sz w:val="22"/>
                <w:szCs w:val="22"/>
              </w:rPr>
            </w:pPr>
            <w:r w:rsidRPr="003D56F0">
              <w:rPr>
                <w:sz w:val="22"/>
                <w:szCs w:val="22"/>
              </w:rPr>
              <w:t xml:space="preserve">The doubling and halving of effect size was decided upon following deliberation within the health economics team. In the absence of PSA, and only one study demonstrating the effectiveness of this intervention, we had to arbitrarily vary the effect size, and these were the values we chose. </w:t>
            </w:r>
          </w:p>
        </w:tc>
      </w:tr>
      <w:tr w:rsidR="008136FA" w:rsidRPr="003D56F0" w14:paraId="2562AE3C" w14:textId="77777777" w:rsidTr="003D56F0">
        <w:trPr>
          <w:trHeight w:val="300"/>
        </w:trPr>
        <w:tc>
          <w:tcPr>
            <w:tcW w:w="819" w:type="pct"/>
            <w:noWrap/>
            <w:hideMark/>
          </w:tcPr>
          <w:p w14:paraId="635AA46D" w14:textId="77777777" w:rsidR="008136FA" w:rsidRPr="003D56F0" w:rsidRDefault="008136FA" w:rsidP="00CC7EC2">
            <w:pPr>
              <w:rPr>
                <w:sz w:val="22"/>
                <w:szCs w:val="22"/>
              </w:rPr>
            </w:pPr>
            <w:r w:rsidRPr="003D56F0">
              <w:rPr>
                <w:sz w:val="22"/>
                <w:szCs w:val="22"/>
              </w:rPr>
              <w:t>Effect sustainability</w:t>
            </w:r>
          </w:p>
        </w:tc>
        <w:tc>
          <w:tcPr>
            <w:tcW w:w="1749" w:type="pct"/>
            <w:noWrap/>
            <w:hideMark/>
          </w:tcPr>
          <w:p w14:paraId="2762C96F" w14:textId="77777777" w:rsidR="008136FA" w:rsidRPr="003D56F0" w:rsidRDefault="008136FA" w:rsidP="00AD2788">
            <w:pPr>
              <w:rPr>
                <w:sz w:val="22"/>
                <w:szCs w:val="22"/>
              </w:rPr>
            </w:pPr>
            <w:r w:rsidRPr="003D56F0">
              <w:rPr>
                <w:sz w:val="22"/>
                <w:szCs w:val="22"/>
              </w:rPr>
              <w:t>Low is assuming it takes 6 months before the effects of the intervention have completely worn off, high is in the event that sustainability is doubled, at every time point, taking twice as long to wear off.</w:t>
            </w:r>
          </w:p>
        </w:tc>
        <w:tc>
          <w:tcPr>
            <w:tcW w:w="2432" w:type="pct"/>
          </w:tcPr>
          <w:p w14:paraId="13D67567" w14:textId="77777777" w:rsidR="008136FA" w:rsidRPr="003D56F0" w:rsidRDefault="008136FA" w:rsidP="003D56F0">
            <w:pPr>
              <w:rPr>
                <w:rFonts w:eastAsia="Times New Roman"/>
                <w:color w:val="000000"/>
                <w:sz w:val="22"/>
                <w:szCs w:val="22"/>
              </w:rPr>
            </w:pPr>
            <w:r w:rsidRPr="003D56F0">
              <w:rPr>
                <w:sz w:val="22"/>
                <w:szCs w:val="22"/>
              </w:rPr>
              <w:t xml:space="preserve">No data were available within the publication demonstrating the duration/sustainability of treatment effect. Much the same as with treatment effect size, the choice of variation of this parameter was arbitrary. </w:t>
            </w:r>
          </w:p>
        </w:tc>
      </w:tr>
      <w:tr w:rsidR="008136FA" w:rsidRPr="003D56F0" w14:paraId="4FA15893" w14:textId="77777777" w:rsidTr="003D56F0">
        <w:trPr>
          <w:trHeight w:val="300"/>
        </w:trPr>
        <w:tc>
          <w:tcPr>
            <w:tcW w:w="819" w:type="pct"/>
            <w:noWrap/>
          </w:tcPr>
          <w:p w14:paraId="55C30804" w14:textId="77777777" w:rsidR="008136FA" w:rsidRPr="003D56F0" w:rsidRDefault="008136FA" w:rsidP="00CC7EC2">
            <w:pPr>
              <w:rPr>
                <w:sz w:val="22"/>
                <w:szCs w:val="22"/>
              </w:rPr>
            </w:pPr>
            <w:r w:rsidRPr="003D56F0">
              <w:rPr>
                <w:sz w:val="22"/>
                <w:szCs w:val="22"/>
              </w:rPr>
              <w:t>Discount rate</w:t>
            </w:r>
          </w:p>
        </w:tc>
        <w:tc>
          <w:tcPr>
            <w:tcW w:w="1749" w:type="pct"/>
            <w:noWrap/>
          </w:tcPr>
          <w:p w14:paraId="36176196" w14:textId="77777777" w:rsidR="008136FA" w:rsidRPr="003D56F0" w:rsidRDefault="008136FA" w:rsidP="00AD2788">
            <w:pPr>
              <w:rPr>
                <w:sz w:val="22"/>
                <w:szCs w:val="22"/>
              </w:rPr>
            </w:pPr>
            <w:r w:rsidRPr="003D56F0">
              <w:rPr>
                <w:sz w:val="22"/>
                <w:szCs w:val="22"/>
              </w:rPr>
              <w:t>Low is applying a 1.5% discount rate rather than the standard 3.5%</w:t>
            </w:r>
          </w:p>
        </w:tc>
        <w:tc>
          <w:tcPr>
            <w:tcW w:w="2432" w:type="pct"/>
          </w:tcPr>
          <w:p w14:paraId="3A07930E" w14:textId="77777777" w:rsidR="008136FA" w:rsidRPr="003D56F0" w:rsidRDefault="008136FA" w:rsidP="003D56F0">
            <w:pPr>
              <w:rPr>
                <w:rFonts w:eastAsia="Times New Roman"/>
                <w:color w:val="000000"/>
                <w:sz w:val="22"/>
                <w:szCs w:val="22"/>
              </w:rPr>
            </w:pPr>
            <w:r w:rsidRPr="003D56F0">
              <w:rPr>
                <w:sz w:val="22"/>
                <w:szCs w:val="22"/>
              </w:rPr>
              <w:t>Following best practice.</w:t>
            </w:r>
          </w:p>
        </w:tc>
      </w:tr>
      <w:tr w:rsidR="008136FA" w:rsidRPr="003D56F0" w14:paraId="0310CF7E" w14:textId="77777777" w:rsidTr="003D56F0">
        <w:trPr>
          <w:trHeight w:val="300"/>
        </w:trPr>
        <w:tc>
          <w:tcPr>
            <w:tcW w:w="819" w:type="pct"/>
            <w:noWrap/>
          </w:tcPr>
          <w:p w14:paraId="7BCFED18" w14:textId="77777777" w:rsidR="008136FA" w:rsidRPr="003D56F0" w:rsidRDefault="008136FA" w:rsidP="00CC7EC2">
            <w:pPr>
              <w:rPr>
                <w:sz w:val="22"/>
                <w:szCs w:val="22"/>
              </w:rPr>
            </w:pPr>
            <w:r w:rsidRPr="003D56F0">
              <w:rPr>
                <w:sz w:val="22"/>
                <w:szCs w:val="22"/>
              </w:rPr>
              <w:t>Cost of intervention</w:t>
            </w:r>
          </w:p>
        </w:tc>
        <w:tc>
          <w:tcPr>
            <w:tcW w:w="1749" w:type="pct"/>
            <w:noWrap/>
          </w:tcPr>
          <w:p w14:paraId="72C7AEEC" w14:textId="77777777" w:rsidR="008136FA" w:rsidRPr="003D56F0" w:rsidRDefault="008136FA" w:rsidP="00AD2788">
            <w:pPr>
              <w:rPr>
                <w:sz w:val="22"/>
                <w:szCs w:val="22"/>
              </w:rPr>
            </w:pPr>
            <w:r w:rsidRPr="003D56F0">
              <w:rPr>
                <w:sz w:val="22"/>
                <w:szCs w:val="22"/>
              </w:rPr>
              <w:t>Low is using a cost of £32 and high is using a cost of £128</w:t>
            </w:r>
          </w:p>
        </w:tc>
        <w:tc>
          <w:tcPr>
            <w:tcW w:w="2432" w:type="pct"/>
          </w:tcPr>
          <w:p w14:paraId="718E81A7" w14:textId="77777777" w:rsidR="008136FA" w:rsidRPr="003D56F0" w:rsidRDefault="008136FA" w:rsidP="003D56F0">
            <w:pPr>
              <w:rPr>
                <w:rFonts w:eastAsia="Times New Roman"/>
                <w:color w:val="000000"/>
                <w:sz w:val="22"/>
                <w:szCs w:val="22"/>
              </w:rPr>
            </w:pPr>
            <w:r w:rsidRPr="003D56F0">
              <w:rPr>
                <w:sz w:val="22"/>
                <w:szCs w:val="22"/>
              </w:rPr>
              <w:t>Recommendations from PHAC</w:t>
            </w:r>
          </w:p>
        </w:tc>
      </w:tr>
    </w:tbl>
    <w:p w14:paraId="36F4D6F0" w14:textId="77777777" w:rsidR="008136FA" w:rsidRPr="005F12F1" w:rsidRDefault="008136FA" w:rsidP="00CC7EC2"/>
    <w:p w14:paraId="69E67793" w14:textId="77777777" w:rsidR="008136FA" w:rsidRPr="005F12F1" w:rsidRDefault="008136FA" w:rsidP="00AD2788"/>
    <w:p w14:paraId="498630B2" w14:textId="1FD029A1" w:rsidR="008136FA" w:rsidRDefault="008136FA">
      <w:pPr>
        <w:pStyle w:val="Caption"/>
      </w:pPr>
      <w:bookmarkStart w:id="55" w:name="_Ref451251247"/>
      <w:r>
        <w:lastRenderedPageBreak/>
        <w:t xml:space="preserve">Figure </w:t>
      </w:r>
      <w:fldSimple w:instr=" SEQ Figure \* ARABIC ">
        <w:r w:rsidR="0087365D">
          <w:rPr>
            <w:noProof/>
          </w:rPr>
          <w:t>13</w:t>
        </w:r>
      </w:fldSimple>
      <w:bookmarkEnd w:id="55"/>
      <w:r w:rsidRPr="005B3045">
        <w:t>. Tornado diagram showing sensitivity of outcome (</w:t>
      </w:r>
      <w:r>
        <w:t>Net monetary benefit</w:t>
      </w:r>
      <w:r w:rsidR="00AA6AF9">
        <w:t>, NMB</w:t>
      </w:r>
      <w:r w:rsidRPr="005B3045">
        <w:t>) to changes in model parameter estimates</w:t>
      </w:r>
      <w:r w:rsidR="00AA6AF9">
        <w:t>. NMB values each QALY at £20,000.</w:t>
      </w:r>
    </w:p>
    <w:p w14:paraId="3C0704E4" w14:textId="01435DC9" w:rsidR="008136FA" w:rsidRPr="002006E5" w:rsidRDefault="00DA1FCD">
      <w:r>
        <w:rPr>
          <w:noProof/>
        </w:rPr>
        <w:drawing>
          <wp:inline distT="0" distB="0" distL="0" distR="0" wp14:anchorId="1071A70A" wp14:editId="7321D4E4">
            <wp:extent cx="5724525" cy="3190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4525" cy="3190875"/>
                    </a:xfrm>
                    <a:prstGeom prst="rect">
                      <a:avLst/>
                    </a:prstGeom>
                    <a:noFill/>
                    <a:ln>
                      <a:noFill/>
                    </a:ln>
                  </pic:spPr>
                </pic:pic>
              </a:graphicData>
            </a:graphic>
          </wp:inline>
        </w:drawing>
      </w:r>
    </w:p>
    <w:p w14:paraId="74536BB4" w14:textId="77777777" w:rsidR="008136FA" w:rsidRPr="005F12F1" w:rsidRDefault="008136FA"/>
    <w:p w14:paraId="3F57C02B" w14:textId="728DA8FB" w:rsidR="008136FA" w:rsidRPr="005B3045" w:rsidRDefault="008136FA">
      <w:pPr>
        <w:pStyle w:val="Heading6"/>
      </w:pPr>
      <w:r w:rsidRPr="005B3045">
        <w:t>Discussion</w:t>
      </w:r>
      <w:r w:rsidR="00440A0B">
        <w:t xml:space="preserve"> and </w:t>
      </w:r>
      <w:r w:rsidR="00440A0B" w:rsidRPr="003C7FE4">
        <w:t>Limitations</w:t>
      </w:r>
    </w:p>
    <w:p w14:paraId="2473FB21" w14:textId="77777777" w:rsidR="008136FA" w:rsidRPr="000957AD" w:rsidRDefault="008136FA"/>
    <w:p w14:paraId="1075DBBC" w14:textId="3865AE05" w:rsidR="008136FA" w:rsidRDefault="008136FA">
      <w:r w:rsidRPr="005F12F1">
        <w:t xml:space="preserve">The results of </w:t>
      </w:r>
      <w:r>
        <w:t>this</w:t>
      </w:r>
      <w:r w:rsidRPr="005F12F1">
        <w:t xml:space="preserve"> economic model, based on the results of </w:t>
      </w:r>
      <w:r w:rsidRPr="005F12F1">
        <w:fldChar w:fldCharType="begin" w:fldLock="1"/>
      </w:r>
      <w:r w:rsidR="00023D29">
        <w:instrText>ADDIN CSL_CITATION { "citationItems" : [ { "id" : "ITEM-1", "itemData" : { "DOI" : "10.3109/14659890903075074", "ISBN" : "14659891 (ISSN)", "ISSN" : "1465-9891", "abstract" : "The prevalence of ecstasy (MDMA) use has increased significantly in recent years, particularly amongst young people. Despite the existence of a sizable population of regular ecstasy users and emergent evidence of a range of associated harms, including dependence, to date no effective targeted intervention responses have been reported specifically for this group. The aim of this study was to evaluate the efficacy of a single session brief intervention in reducing ecstasy use and related problems among regular ecstasy users. In a randomized controlled trial conducted in Sydney, Australia, 50 adult ecstasy users were assigned to either a single session brief intervention or an assessment-only 3-month delayed treatment control condition. Primary outcome measures were days of ecstasy use and number of DSM-IV dependence symptoms reported. At 3-month follow-up significant differences were found in favour of the intervention group on measures of DSM-IV dependence symptoms reported and Severity of Dependence Scale score. No statistically significant differences were detected on measures of quantity and frequency of use. While abstinence rates differed between groups by a factor of 4 (16 vs. 4), this difference did not achieve statistical significance. Between group effect sizes at follow-up, all in favour of the intervention group, were moderate on the main outcome measures. The approach is acceptable to participants and merits further evaluation. \u00a9 2010 Informa UK, Ltd.", "author" : [ { "dropping-particle" : "", "family" : "Martin", "given" : "G", "non-dropping-particle" : "", "parse-names" : false, "suffix" : "" }, { "dropping-particle" : "", "family" : "Copeland", "given" : "J", "non-dropping-particle" : "", "parse-names" : false, "suffix" : "" } ], "container-title" : "Journal of Substance Use", "id" : "ITEM-1", "issue" : "2", "issued" : { "date-parts" : [ [ "2010" ] ] }, "page" : "131-142", "title" : "Brief intervention for regular ecstasy (MDMA) users: Pilot randomized trial of a check-up model", "type" : "article-journal", "volume" : "15" }, "uris" : [ "http://www.mendeley.com/documents/?uuid=e32af904-8fa6-410c-bec2-637806755a0e" ] } ], "mendeley" : { "formattedCitation" : "(Martin &amp; Copeland 2010)", "manualFormatting" : "Martin et al. (2010)", "plainTextFormattedCitation" : "(Martin &amp; Copeland 2010)", "previouslyFormattedCitation" : "(Martin &amp; Copeland 2010)" }, "properties" : { "noteIndex" : 0 }, "schema" : "https://github.com/citation-style-language/schema/raw/master/csl-citation.json" }</w:instrText>
      </w:r>
      <w:r w:rsidRPr="005F12F1">
        <w:fldChar w:fldCharType="separate"/>
      </w:r>
      <w:r w:rsidRPr="005F12F1">
        <w:rPr>
          <w:noProof/>
        </w:rPr>
        <w:t xml:space="preserve">Martin </w:t>
      </w:r>
      <w:r w:rsidR="00BD29B0">
        <w:rPr>
          <w:noProof/>
        </w:rPr>
        <w:t>et al.</w:t>
      </w:r>
      <w:r w:rsidRPr="005F12F1">
        <w:rPr>
          <w:noProof/>
        </w:rPr>
        <w:t xml:space="preserve"> (2010)</w:t>
      </w:r>
      <w:r w:rsidRPr="005F12F1">
        <w:fldChar w:fldCharType="end"/>
      </w:r>
      <w:r w:rsidRPr="005F12F1">
        <w:t xml:space="preserve">, </w:t>
      </w:r>
      <w:r w:rsidR="007753C4">
        <w:t xml:space="preserve">show that </w:t>
      </w:r>
      <w:r w:rsidRPr="005F12F1">
        <w:t xml:space="preserve">motivational interviewing </w:t>
      </w:r>
      <w:r w:rsidR="007753C4">
        <w:t>t</w:t>
      </w:r>
      <w:r w:rsidRPr="005F12F1">
        <w:t xml:space="preserve">o reducing ecstasy use, is </w:t>
      </w:r>
      <w:r>
        <w:t>a cost-ineffective</w:t>
      </w:r>
      <w:r w:rsidR="007753C4">
        <w:t xml:space="preserve">. A </w:t>
      </w:r>
      <w:r w:rsidRPr="005F12F1">
        <w:t xml:space="preserve">combination of relatively low social harms associated with ecstasy use, a </w:t>
      </w:r>
      <w:r w:rsidR="007753C4">
        <w:t>lower</w:t>
      </w:r>
      <w:r w:rsidR="007753C4" w:rsidRPr="005F12F1">
        <w:t xml:space="preserve"> </w:t>
      </w:r>
      <w:r w:rsidRPr="005F12F1">
        <w:t xml:space="preserve">degree of dependence than with other drugs, and a low crime cost, show that any intervention, even if successfully delivered to 100% of the effective population would be unlikely to result in sufficient benefit. </w:t>
      </w:r>
      <w:r w:rsidR="007753C4">
        <w:t>T</w:t>
      </w:r>
      <w:r w:rsidRPr="005F12F1">
        <w:t>he cost of delivering any intervention would need to be at a cost no greater than £</w:t>
      </w:r>
      <w:r w:rsidR="00DA1FCD">
        <w:t>4</w:t>
      </w:r>
      <w:r>
        <w:t>.</w:t>
      </w:r>
      <w:r w:rsidR="00DA1FCD">
        <w:t>2</w:t>
      </w:r>
      <w:r>
        <w:t>0</w:t>
      </w:r>
      <w:r w:rsidR="007753C4">
        <w:t xml:space="preserve"> (</w:t>
      </w:r>
      <w:r w:rsidRPr="005F12F1">
        <w:t xml:space="preserve">less than the minimum wage of the </w:t>
      </w:r>
      <w:r w:rsidR="007753C4">
        <w:t>UK)</w:t>
      </w:r>
      <w:r w:rsidRPr="005F12F1">
        <w:t>, in order to provide a rational use of NHS resources. While changing the assumptions of the model led to often consider</w:t>
      </w:r>
      <w:r w:rsidR="00110AFC">
        <w:t xml:space="preserve">able reductions in the cost per </w:t>
      </w:r>
      <w:r w:rsidRPr="005F12F1">
        <w:t xml:space="preserve">QALY of the intervention, particularly if the effect size and sustainability were increased, these did not affect the overall conclusions of the model. </w:t>
      </w:r>
    </w:p>
    <w:p w14:paraId="7BFF4C08" w14:textId="77777777" w:rsidR="00440A0B" w:rsidRPr="00440A0B" w:rsidRDefault="00440A0B"/>
    <w:p w14:paraId="6D2112A0" w14:textId="7E1882AB" w:rsidR="00D65CD3" w:rsidRDefault="00D65CD3" w:rsidP="003D56F0">
      <w:pPr>
        <w:pStyle w:val="Heading3"/>
        <w:numPr>
          <w:ilvl w:val="1"/>
          <w:numId w:val="12"/>
        </w:numPr>
      </w:pPr>
      <w:bookmarkStart w:id="56" w:name="_Toc452035645"/>
      <w:r>
        <w:t>Models focussing on cocaine use</w:t>
      </w:r>
      <w:bookmarkEnd w:id="56"/>
    </w:p>
    <w:p w14:paraId="6390CB8F" w14:textId="77777777" w:rsidR="00D65CD3" w:rsidRDefault="00D65CD3" w:rsidP="003D56F0"/>
    <w:p w14:paraId="0CB89709" w14:textId="2A30A428" w:rsidR="0051256B" w:rsidRDefault="0051256B">
      <w:pPr>
        <w:pStyle w:val="Heading6"/>
      </w:pPr>
      <w:r>
        <w:t>Costs</w:t>
      </w:r>
    </w:p>
    <w:p w14:paraId="3260E3B0" w14:textId="77777777" w:rsidR="0051256B" w:rsidRPr="0051256B" w:rsidRDefault="0051256B" w:rsidP="003D56F0"/>
    <w:p w14:paraId="177EAF3B" w14:textId="4D021DEA" w:rsidR="0051256B" w:rsidRDefault="006815C1">
      <w:r>
        <w:fldChar w:fldCharType="begin"/>
      </w:r>
      <w:r>
        <w:instrText xml:space="preserve"> REF _Ref451501707 \h </w:instrText>
      </w:r>
      <w:r>
        <w:fldChar w:fldCharType="separate"/>
      </w:r>
      <w:r>
        <w:t xml:space="preserve">Figure </w:t>
      </w:r>
      <w:r>
        <w:rPr>
          <w:noProof/>
        </w:rPr>
        <w:t>14</w:t>
      </w:r>
      <w:r>
        <w:fldChar w:fldCharType="end"/>
      </w:r>
      <w:r>
        <w:t xml:space="preserve"> </w:t>
      </w:r>
      <w:r w:rsidR="0051256B">
        <w:t>shows an example of the social cost of one year of cocaine use that may be prevented by an intervention.</w:t>
      </w:r>
    </w:p>
    <w:p w14:paraId="2DF3D8BD" w14:textId="77777777" w:rsidR="006815C1" w:rsidRDefault="006815C1"/>
    <w:p w14:paraId="72152DDE" w14:textId="77777777" w:rsidR="0051256B" w:rsidRDefault="0051256B">
      <w:pPr>
        <w:pStyle w:val="Caption"/>
      </w:pPr>
      <w:bookmarkStart w:id="57" w:name="_Ref451501707"/>
      <w:r>
        <w:lastRenderedPageBreak/>
        <w:t xml:space="preserve">Figure </w:t>
      </w:r>
      <w:fldSimple w:instr=" SEQ Figure \* ARABIC ">
        <w:r w:rsidR="0087365D">
          <w:rPr>
            <w:noProof/>
          </w:rPr>
          <w:t>14</w:t>
        </w:r>
      </w:fldSimple>
      <w:bookmarkEnd w:id="57"/>
      <w:r>
        <w:t>. Example social cost of one year of cocaine use based on Morgenstern model. Total cost = £137.78.</w:t>
      </w:r>
    </w:p>
    <w:p w14:paraId="318D89C5" w14:textId="77777777" w:rsidR="0051256B" w:rsidRDefault="0051256B">
      <w:r>
        <w:rPr>
          <w:noProof/>
        </w:rPr>
        <w:drawing>
          <wp:inline distT="0" distB="0" distL="0" distR="0" wp14:anchorId="1DEB289B" wp14:editId="54B28066">
            <wp:extent cx="5731377" cy="2579427"/>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t="11683"/>
                    <a:stretch/>
                  </pic:blipFill>
                  <pic:spPr bwMode="auto">
                    <a:xfrm>
                      <a:off x="0" y="0"/>
                      <a:ext cx="5730875" cy="2579201"/>
                    </a:xfrm>
                    <a:prstGeom prst="rect">
                      <a:avLst/>
                    </a:prstGeom>
                    <a:noFill/>
                    <a:ln>
                      <a:noFill/>
                    </a:ln>
                    <a:extLst>
                      <a:ext uri="{53640926-AAD7-44D8-BBD7-CCE9431645EC}">
                        <a14:shadowObscured xmlns:a14="http://schemas.microsoft.com/office/drawing/2010/main"/>
                      </a:ext>
                    </a:extLst>
                  </pic:spPr>
                </pic:pic>
              </a:graphicData>
            </a:graphic>
          </wp:inline>
        </w:drawing>
      </w:r>
    </w:p>
    <w:p w14:paraId="79A02F11" w14:textId="77777777" w:rsidR="0051256B" w:rsidRPr="0051256B" w:rsidRDefault="0051256B" w:rsidP="003D56F0"/>
    <w:p w14:paraId="6D08391F" w14:textId="041C6DC5" w:rsidR="00D65CD3" w:rsidRPr="00CF762B" w:rsidRDefault="00D65CD3" w:rsidP="003D56F0">
      <w:pPr>
        <w:pStyle w:val="Heading7"/>
      </w:pPr>
      <w:r w:rsidRPr="00CF762B">
        <w:t>Crime</w:t>
      </w:r>
      <w:r w:rsidR="0051256B" w:rsidRPr="00CF762B">
        <w:t xml:space="preserve"> costs</w:t>
      </w:r>
    </w:p>
    <w:p w14:paraId="6F844003" w14:textId="77777777" w:rsidR="00D65CD3" w:rsidRPr="00372280" w:rsidRDefault="00D65CD3"/>
    <w:p w14:paraId="3F98A68E" w14:textId="77777777" w:rsidR="00D65CD3" w:rsidRDefault="00D65CD3">
      <w:r w:rsidRPr="00372280">
        <w:t xml:space="preserve">We made the assumption that through reducing drug use the intervention did not prevent any acquisitive crime or drug dealing associated with drug use, only that it prevents people being arrested for possession. We have assumed that cocaine use is associated with a risk of arrest for possession offences, but have not assumed any risk around supply offences due to difficulties in estimation. There were 31,962 arrests for possession of controlled drugs (excluding cannabis) in England and Wales between April 2014 and March 2015. If we apply the fact that around 23% of non-cannabis drug use is cocaine use </w:t>
      </w:r>
      <w:r w:rsidRPr="00372280">
        <w:fldChar w:fldCharType="begin" w:fldLock="1"/>
      </w:r>
      <w:r>
        <w:instrText>ADDIN CSL_CITATION { "citationItems" : [ { "id" : "ITEM-1", "itemData" : { "author" : [ { "dropping-particle" : "", "family" : "CSEW", "given" : "", "non-dropping-particle" : "", "parse-names" : false, "suffix" : "" } ], "id" : "ITEM-1", "issue" : "15 August 2014", "issued" : { "date-parts" : [ [ "2015" ] ] }, "number-of-pages" : "1-29", "title" : "Drug misuse: Findings from the 2014/15 Crime Survey for England and Wales", "type" : "report" }, "uris" : [ "http://www.mendeley.com/documents/?uuid=87318f2e-ab8c-4100-921e-cd7c64c366ea" ] } ], "mendeley" : { "formattedCitation" : "(CSEW 2015)", "plainTextFormattedCitation" : "(CSEW 2015)", "previouslyFormattedCitation" : "(CSEW 2015)" }, "properties" : { "noteIndex" : 0 }, "schema" : "https://github.com/citation-style-language/schema/raw/master/csl-citation.json" }</w:instrText>
      </w:r>
      <w:r w:rsidRPr="00372280">
        <w:fldChar w:fldCharType="separate"/>
      </w:r>
      <w:r w:rsidRPr="00962964">
        <w:rPr>
          <w:noProof/>
        </w:rPr>
        <w:t>(CSEW 2015)</w:t>
      </w:r>
      <w:r w:rsidRPr="00372280">
        <w:fldChar w:fldCharType="end"/>
      </w:r>
      <w:r w:rsidRPr="00372280">
        <w:t xml:space="preserve"> then we have made an assumption that 23% of non-cannabis drug possession arrests are cocaine related. This may not be the case if police do not prioritise policing cocaine over other drugs like heroin. This equates to 9.4 arrests per 1000 cocaine users per year. We have assumed a cost of £1</w:t>
      </w:r>
      <w:r>
        <w:t>,</w:t>
      </w:r>
      <w:r w:rsidRPr="00372280">
        <w:t xml:space="preserve">925 per arrest which is based on costs from </w:t>
      </w:r>
      <w:r>
        <w:fldChar w:fldCharType="begin" w:fldLock="1"/>
      </w:r>
      <w:r>
        <w:instrText>ADDIN CSL_CITATION { "citationItems" : [ { "id" : "ITEM-1", "itemData" : { "author" : [ { "dropping-particle" : "", "family" : "Godfrey", "given" : "Christine", "non-dropping-particle" : "", "parse-names" : false, "suffix" : "" }, { "dropping-particle" : "", "family" : "Eaton", "given" : "Gail", "non-dropping-particle" : "", "parse-names" : false, "suffix" : "" }, { "dropping-particle" : "", "family" : "McDougall", "given" : "Cynthia", "non-dropping-particle" : "", "parse-names" : false, "suffix" : "" }, { "dropping-particle" : "", "family" : "Culyer", "given" : "Anthony", "non-dropping-particle" : "", "parse-names" : false, "suffix" : "" } ], "id" : "ITEM-1", "issue" : "July", "issued" : { "date-parts" : [ [ "2002" ] ] }, "title" : "The economic and social costs of Class A drug use in England and Wales", "type" : "report" }, "uris" : [ "http://www.mendeley.com/documents/?uuid=86a6e458-e8ab-43ce-b2ab-12fe942ba45b" ] } ], "mendeley" : { "formattedCitation" : "(Godfrey et al. 2002)", "manualFormatting" : "Godfrey et al. (2002)", "plainTextFormattedCitation" : "(Godfrey et al. 2002)", "previouslyFormattedCitation" : "(Godfrey et al. 2002)" }, "properties" : { "noteIndex" : 0 }, "schema" : "https://github.com/citation-style-language/schema/raw/master/csl-citation.json" }</w:instrText>
      </w:r>
      <w:r>
        <w:fldChar w:fldCharType="separate"/>
      </w:r>
      <w:r w:rsidRPr="00BE2A66">
        <w:rPr>
          <w:noProof/>
        </w:rPr>
        <w:t xml:space="preserve">Godfrey et al. </w:t>
      </w:r>
      <w:r>
        <w:rPr>
          <w:noProof/>
        </w:rPr>
        <w:t>(</w:t>
      </w:r>
      <w:r w:rsidRPr="00BE2A66">
        <w:rPr>
          <w:noProof/>
        </w:rPr>
        <w:t>2002)</w:t>
      </w:r>
      <w:r>
        <w:fldChar w:fldCharType="end"/>
      </w:r>
      <w:r>
        <w:t>,</w:t>
      </w:r>
      <w:r w:rsidRPr="00372280">
        <w:t xml:space="preserve"> inflated to 2015 prices. This equates to a cost of arrest of £18.10 per cocaine user per year. </w:t>
      </w:r>
    </w:p>
    <w:p w14:paraId="5E3A6BFA" w14:textId="77777777" w:rsidR="00D65CD3" w:rsidRDefault="00D65CD3"/>
    <w:p w14:paraId="73321ED4" w14:textId="7CED8379" w:rsidR="0051256B" w:rsidRPr="00CF762B" w:rsidRDefault="00CF762B" w:rsidP="003D56F0">
      <w:pPr>
        <w:pStyle w:val="Heading7"/>
      </w:pPr>
      <w:r w:rsidRPr="00CF762B">
        <w:t xml:space="preserve">Hospital </w:t>
      </w:r>
      <w:r>
        <w:t>a</w:t>
      </w:r>
      <w:r w:rsidR="0051256B" w:rsidRPr="00CF762B">
        <w:t>dmissions</w:t>
      </w:r>
      <w:r>
        <w:t xml:space="preserve"> costs</w:t>
      </w:r>
    </w:p>
    <w:p w14:paraId="64D5B2C9" w14:textId="77777777" w:rsidR="0051256B" w:rsidRPr="00372280" w:rsidRDefault="0051256B"/>
    <w:p w14:paraId="7538A7F3" w14:textId="65427053" w:rsidR="0051256B" w:rsidRPr="00372280" w:rsidRDefault="0051256B">
      <w:r w:rsidRPr="00372280">
        <w:t xml:space="preserve">There were around 12,000 hospital admissions in England in 2014/15 where cocaine was mentioned in at least one diagnosis field. Of these, 1,624 were cocaine-specific, i.e. mental and behavioural disorders due to cocaine or poisoning by cocaine was the primary diagnosis </w:t>
      </w:r>
      <w:r w:rsidRPr="00372280">
        <w:fldChar w:fldCharType="begin" w:fldLock="1"/>
      </w:r>
      <w:r>
        <w:instrText>ADDIN CSL_CITATION { "citationItems" : [ { "id" : "ITEM-1", "itemData" : { "URL" : "http://www.hscic.gov.uk/", "author" : [ { "dropping-particle" : "", "family" : "HSCIC", "given" : "", "non-dropping-particle" : "", "parse-names" : false, "suffix" : "" } ], "container-title" : "Health &amp; Social Care Information Centre", "id" : "ITEM-1", "issued" : { "date-parts" : [ [ "2016" ] ] }, "title" : "Hospital episode statistics 2014/15", "type" : "webpage" }, "uris" : [ "http://www.mendeley.com/documents/?uuid=4ee99b0d-f988-4612-bba4-d268e2a30eb4" ] } ], "mendeley" : { "formattedCitation" : "(HSCIC 2016)", "plainTextFormattedCitation" : "(HSCIC 2016)", "previouslyFormattedCitation" : "(HSCIC 2016)" }, "properties" : { "noteIndex" : 0 }, "schema" : "https://github.com/citation-style-language/schema/raw/master/csl-citation.json" }</w:instrText>
      </w:r>
      <w:r w:rsidRPr="00372280">
        <w:fldChar w:fldCharType="separate"/>
      </w:r>
      <w:r w:rsidRPr="00372280">
        <w:rPr>
          <w:noProof/>
        </w:rPr>
        <w:t>(HSCIC 2016)</w:t>
      </w:r>
      <w:r w:rsidRPr="00372280">
        <w:fldChar w:fldCharType="end"/>
      </w:r>
      <w:r w:rsidRPr="00372280">
        <w:t>. A proportion of these might be crack cocaine or polydrug users. This equates to 2.2 admissions per 1000 cocaine users, and an average cost of £3.</w:t>
      </w:r>
      <w:r w:rsidR="00FB307D">
        <w:t>95</w:t>
      </w:r>
      <w:r w:rsidRPr="00372280">
        <w:t xml:space="preserve"> per cocaine user per year.</w:t>
      </w:r>
    </w:p>
    <w:p w14:paraId="19901ACD" w14:textId="77777777" w:rsidR="0051256B" w:rsidRPr="00372280" w:rsidRDefault="0051256B"/>
    <w:p w14:paraId="4860F82C" w14:textId="40DC0395" w:rsidR="0051256B" w:rsidRPr="00372280" w:rsidRDefault="0051256B">
      <w:r w:rsidRPr="00372280">
        <w:t xml:space="preserve">As mentioned previously, cocaine is also associated with CVD. In the study by </w:t>
      </w:r>
      <w:r w:rsidRPr="00372280">
        <w:fldChar w:fldCharType="begin" w:fldLock="1"/>
      </w:r>
      <w:r>
        <w:instrText>ADDIN CSL_CITATION { "citationItems" : [ { "id" : "ITEM-1", "itemData" : { "DOI" : "10.1093/eurheartj/ehp557", "ISBN" : "0195-668X\\r1522-9645", "ISSN" : "0195668X", "PMID" : "20071326", "abstract" : "AIMS: With an estimated 12 million consumers in Europe, cocaine (COC) is the illicit drug leading to the most emergency department visits. The aim of this study was to examine a consecutive series of sudden deaths (SDs) to focus on the prevalence, the toxicological characteristics, and the causes of death in COC-related fatalities.\\n\\nMETHODS AND RESULTS: Prospective case-control study of forensic autopsies was carried out in the time interval November 2003 to June 2006 at the Institute of Legal Medicine, Seville, south-west Spain, with a reference population of 1 875 462 inhabitants. Toxicology included blood ethanol analysis and blood and urine investigation for drugs of abuse and medical drugs. Autopsy was performed according to the European standardized protocol. Ten age- and sex-matched patients who died of violent causes with no antecedents of COC consumption and negative toxicology served as controls. During the study period, 2477 forensic autopsies were performed, including 1114 natural deaths. Among the latter, 668 fulfilled the criteria of SD and 21 (all males, mean age 34.6 +/- 7.3 years) resulted to be COC-related (3.1%). Cocaine was detected in 67.1% of the blood (median 0.17 mg/L, interquartile range 0.08-0.42) and in 83.0% of the urine samples (median 1.15 mg/L, interquartile range 0.37-17.34). A concomitant use of ethanol was found in 76.0% and cigarette smoking in 81.0%. Causes of SD were cardiovascular in 62.0%, cerebrovascular in 14.0%, excited delirium in 14.0%, respiratory and metabolic in 5.0% each. Left ventricular hypertrophy was observed in 57.0%, small vessels disease in 42.9%, severe atherosclerotic coronary artery disease in 28.6%, and coronary thrombosis in 14.3%.\\n\\nCONCLUSION: Systematic toxicology investigation indicates that 3.1% of SDs are COC-related and are mainly due to cardio-cerebrovascular causes. Left ventricular hypertrophy, small vessel disease, and premature coronary artery atherosclerosis, with or without lumen thrombosis, are frequent findings that may account for myocardial ischaemia at risk of cardiac arrest in COC addicts.", "author" : [ { "dropping-particle" : "", "family" : "Lucena", "given" : "Joaquin", "non-dropping-particle" : "", "parse-names" : false, "suffix" : "" }, { "dropping-particle" : "", "family" : "Blanco", "given" : "Mario", "non-dropping-particle" : "", "parse-names" : false, "suffix" : "" }, { "dropping-particle" : "", "family" : "Jurado", "given" : "Carmen", "non-dropping-particle" : "", "parse-names" : false, "suffix" : "" }, { "dropping-particle" : "", "family" : "Rico", "given" : "Antonio", "non-dropping-particle" : "", "parse-names" : false, "suffix" : "" }, { "dropping-particle" : "", "family" : "Salguero", "given" : "Manuel", "non-dropping-particle" : "", "parse-names" : false, "suffix" : "" }, { "dropping-particle" : "", "family" : "Vazquez", "given" : "Rafael", "non-dropping-particle" : "", "parse-names" : false, "suffix" : "" }, { "dropping-particle" : "", "family" : "Thiene", "given" : "Gaetano", "non-dropping-particle" : "", "parse-names" : false, "suffix" : "" }, { "dropping-particle" : "", "family" : "Basso", "given" : "Cristina", "non-dropping-particle" : "", "parse-names" : false, "suffix" : "" } ], "container-title" : "European Heart Journal", "id" : "ITEM-1", "issue" : "3", "issued" : { "date-parts" : [ [ "2010" ] ] }, "page" : "318-329", "title" : "Cocaine-related sudden death: A prospective investigation in south-west Spain", "type" : "article-journal", "volume" : "31" }, "uris" : [ "http://www.mendeley.com/documents/?uuid=10a0421b-59bc-4578-9685-134fedb431d5" ] } ], "mendeley" : { "formattedCitation" : "(Lucena et al. 2010)", "manualFormatting" : "Lucena et al. (2010", "plainTextFormattedCitation" : "(Lucena et al. 2010)", "previouslyFormattedCitation" : "(Lucena et al. 2010)" }, "properties" : { "noteIndex" : 0 }, "schema" : "https://github.com/citation-style-language/schema/raw/master/csl-citation.json" }</w:instrText>
      </w:r>
      <w:r w:rsidRPr="00372280">
        <w:fldChar w:fldCharType="separate"/>
      </w:r>
      <w:r w:rsidRPr="00372280">
        <w:rPr>
          <w:noProof/>
        </w:rPr>
        <w:t>Lucena et al. (2010</w:t>
      </w:r>
      <w:r w:rsidRPr="00372280">
        <w:fldChar w:fldCharType="end"/>
      </w:r>
      <w:r w:rsidRPr="00372280">
        <w:t xml:space="preserve">) the main cardiovascular findings relating to cocaine deaths were </w:t>
      </w:r>
      <w:r w:rsidRPr="00372280">
        <w:lastRenderedPageBreak/>
        <w:t xml:space="preserve">for atherosclerosis (blocked arteries) and left ventricular hypertrophy (thickening of the heart muscle), dilated cardiomyopathy (enlarged heart), and myocarditis (inflammation and damage of the heart muscle). The risk of myocardial infarction or stroke increases in the hours after cocaine use. There is evidence that around 1 in 4 myocardial infarctions in 18-44 year olds are cocaine related </w:t>
      </w:r>
      <w:r w:rsidRPr="00372280">
        <w:fldChar w:fldCharType="begin" w:fldLock="1"/>
      </w:r>
      <w:r>
        <w:instrText>ADDIN CSL_CITATION { "citationItems" : [ { "id" : "ITEM-1", "itemData" : { "DOI" : "10.1161/01.CIR.103.4.502", "author" : [ { "dropping-particle" : "", "family" : "Qureshi", "given" : "Adnan I", "non-dropping-particle" : "", "parse-names" : false, "suffix" : "" }, { "dropping-particle" : "", "family" : "Suri", "given" : "M Fareed K", "non-dropping-particle" : "", "parse-names" : false, "suffix" : "" }, { "dropping-particle" : "", "family" : "Guterman", "given" : "Lee R", "non-dropping-particle" : "", "parse-names" : false, "suffix" : "" }, { "dropping-particle" : "", "family" : "Hopkins", "given" : "L Nelson", "non-dropping-particle" : "", "parse-names" : false, "suffix" : "" } ], "container-title" : "World Wide Web Internet And Web Information Systems", "id" : "ITEM-1", "issue" : "Mi", "issued" : { "date-parts" : [ [ "2001" ] ] }, "page" : "502-506", "title" : "Cocaine Use and the Likelihood of Nonfatal Myocardial", "type" : "article-journal" }, "uris" : [ "http://www.mendeley.com/documents/?uuid=41b93e2e-84ff-4396-90d1-e55cb364e536" ] } ], "mendeley" : { "formattedCitation" : "(Qureshi et al. 2001)", "plainTextFormattedCitation" : "(Qureshi et al. 2001)", "previouslyFormattedCitation" : "(Qureshi et al. 2001)" }, "properties" : { "noteIndex" : 0 }, "schema" : "https://github.com/citation-style-language/schema/raw/master/csl-citation.json" }</w:instrText>
      </w:r>
      <w:r w:rsidRPr="00372280">
        <w:fldChar w:fldCharType="separate"/>
      </w:r>
      <w:r w:rsidRPr="00372280">
        <w:rPr>
          <w:noProof/>
        </w:rPr>
        <w:t>(Qureshi et al. 2001)</w:t>
      </w:r>
      <w:r w:rsidRPr="00372280">
        <w:fldChar w:fldCharType="end"/>
      </w:r>
      <w:r w:rsidRPr="00372280">
        <w:t xml:space="preserve">. Allowing for some admissions to be crack cocaine related, we have assumed that 20% of hospital admissions for myocardial infarction (ICD 10 codes I21 – I23) in 18-44 year olds are powder cocaine related. The cost per myocardial infarction admission was £3,371 based on the NHS hospital tariff cost for 2014/15. </w:t>
      </w:r>
      <w:r w:rsidR="00FB307D">
        <w:t xml:space="preserve">The average cost of myocardial infarctions was £4.82 per year. </w:t>
      </w:r>
      <w:r w:rsidRPr="00372280">
        <w:t>There were 53,355 admissions for other CVD ICD-10 codes ((ICD 10 I10-I79 excluding I21-I23) in 18-44 year old persons in England in 2014/15 financial year which equates to an average of 2.4 CVD admissions per 1000 cocaine users with an average cost of £3.</w:t>
      </w:r>
      <w:r w:rsidR="00FB307D">
        <w:t>70</w:t>
      </w:r>
      <w:r w:rsidRPr="00372280">
        <w:t xml:space="preserve"> per cocaine user per year. </w:t>
      </w:r>
    </w:p>
    <w:p w14:paraId="4B1D97AF" w14:textId="77777777" w:rsidR="0051256B" w:rsidRPr="00372280" w:rsidRDefault="0051256B"/>
    <w:p w14:paraId="4950FD66" w14:textId="53824664" w:rsidR="0051256B" w:rsidRPr="00372280" w:rsidRDefault="0051256B">
      <w:r w:rsidRPr="00372280">
        <w:t>The total cost of hospital admissions (cocaine specific and CVD) was £12.47 per cocaine user per year</w:t>
      </w:r>
      <w:r w:rsidR="00FB307D">
        <w:t xml:space="preserve"> (made up of £3.95 cocaine specific, plus £4.82 myocardial infarctions, plus £3.70 other CVD admissions).</w:t>
      </w:r>
    </w:p>
    <w:p w14:paraId="43161051" w14:textId="77777777" w:rsidR="0051256B" w:rsidRPr="00372280" w:rsidRDefault="0051256B"/>
    <w:p w14:paraId="407CBA3C" w14:textId="77777777" w:rsidR="0051256B" w:rsidRPr="00372280" w:rsidRDefault="0051256B">
      <w:r w:rsidRPr="00372280">
        <w:t>It is likely that there are a number of A&amp;E attendances that are due to cocaine use as well but A&amp;E attendances are generally not well coded unlike hospital admissions and we did not find any other evidence to estimate this. There may be other cases of temporary cocaine-induced psychosis that are coded under general psychosis rather than ‘mental and behavioural disorders due to cocaine’.</w:t>
      </w:r>
    </w:p>
    <w:p w14:paraId="0C015C3A" w14:textId="77777777" w:rsidR="0051256B" w:rsidRPr="00372280" w:rsidRDefault="0051256B"/>
    <w:p w14:paraId="2B3BDB0A" w14:textId="152E673D" w:rsidR="0051256B" w:rsidRPr="00CF762B" w:rsidRDefault="0051256B" w:rsidP="003D56F0">
      <w:pPr>
        <w:pStyle w:val="Heading7"/>
      </w:pPr>
      <w:r w:rsidRPr="00CF762B">
        <w:t xml:space="preserve">Costs of </w:t>
      </w:r>
      <w:r w:rsidR="00CF762B">
        <w:t>d</w:t>
      </w:r>
      <w:r w:rsidRPr="00CF762B">
        <w:t xml:space="preserve">rug </w:t>
      </w:r>
      <w:r w:rsidR="00CF762B">
        <w:t>t</w:t>
      </w:r>
      <w:r w:rsidRPr="00CF762B">
        <w:t>reatment</w:t>
      </w:r>
    </w:p>
    <w:p w14:paraId="324ECA6D" w14:textId="77777777" w:rsidR="0051256B" w:rsidRPr="00372280" w:rsidRDefault="0051256B"/>
    <w:p w14:paraId="13B88F7E" w14:textId="77777777" w:rsidR="0051256B" w:rsidRPr="00372280" w:rsidRDefault="0051256B">
      <w:r w:rsidRPr="00372280">
        <w:t>There were 10,610 people in drug treatment with a primary drug of powder cocaine in England based on adult NDTMS data for 2013/14. This was 5% of all people in treatment. The average cost of one year of drug treatment</w:t>
      </w:r>
      <w:r>
        <w:t xml:space="preserve"> was £6,064 in the NTORS study (</w:t>
      </w:r>
      <w:r w:rsidRPr="00372280">
        <w:fldChar w:fldCharType="begin" w:fldLock="1"/>
      </w:r>
      <w:r>
        <w:instrText>ADDIN CSL_CITATION { "citationItems" : [ { "id" : "ITEM-1", "itemData" : { "abstract" : "The Drug Treatment Outcomes Research Study (DTORS)  assessed the outcomes, costs and benefits of drug  treatment in England. Results obtained in the study were variable and affected by  a very small number of outliers. However, they provided  evidence that treatment was effective in improving health  status and in reducing the costs of other health and social  care services. Overall, the net benefits of structured drug  treatment were estimated to be positive, both overall and  at the individual level in around 80 per cent of cases, with a  benefit-cost ratio of approximately 2.5:1. Small sample size  prevented the estimation of robust net benefits for sample  subgroups. However, the results are broadly generalisable  to the population of people seeking structured drug  treatment in England and Wales. There were limitations to the analysis, due to missing  observations and follow-up data, and the use of self-report  data to estimate service use, offending and health status.  The absence of a control group not receiving treatment  also means that it is not possible to ascribe with a high  degree of confidence any observed changes in outcomes  to structured drug treatment specifically. DTORS participants were individuals who had received  triage and a care plan for drug treatment, and not all of  these would have taken up or completed their courses of  treatment. The reported results reflect the average over all  individuals. Further, the analysis does not include the costs  of ancillary services which might have been received prior  to accessing treatment, for instance the costs of triage and  care plans. More significantly, the costs of referral through  schemes such as the Drug Interventions Programme are  also excluded", "author" : [ { "dropping-particle" : "", "family" : "Davies", "given" : "Linda", "non-dropping-particle" : "", "parse-names" : false, "suffix" : "" }, { "dropping-particle" : "", "family" : "Jones", "given" : "Andrew", "non-dropping-particle" : "", "parse-names" : false, "suffix" : "" }, { "dropping-particle" : "", "family" : "Vamvakas", "given" : "Georgios", "non-dropping-particle" : "", "parse-names" : false, "suffix" : "" }, { "dropping-particle" : "", "family" : "Dubourg", "given" : "Richard", "non-dropping-particle" : "", "parse-names" : false, "suffix" : "" }, { "dropping-particle" : "", "family" : "Donmall", "given" : "Michael", "non-dropping-particle" : "", "parse-names" : false, "suffix" : "" } ], "id" : "ITEM-1", "issue" : "December", "issued" : { "date-parts" : [ [ "2009" ] ] }, "page" : "18", "title" : "The Drug Treatment Outcomes Research Study (DTORS): Cost effectiveness analysis", "type" : "article-journal" }, "uris" : [ "http://www.mendeley.com/documents/?uuid=b6e71b46-36da-453f-b7e1-ce24fc8c2266" ] } ], "mendeley" : { "formattedCitation" : "(Davies et al. 2009)", "manualFormatting" : "Davies et al. 2009)", "plainTextFormattedCitation" : "(Davies et al. 2009)", "previouslyFormattedCitation" : "(Davies et al. 2009)" }, "properties" : { "noteIndex" : 0 }, "schema" : "https://github.com/citation-style-language/schema/raw/master/csl-citation.json" }</w:instrText>
      </w:r>
      <w:r w:rsidRPr="00372280">
        <w:fldChar w:fldCharType="separate"/>
      </w:r>
      <w:r>
        <w:rPr>
          <w:noProof/>
        </w:rPr>
        <w:t xml:space="preserve">Davies et al. </w:t>
      </w:r>
      <w:r w:rsidRPr="00372280">
        <w:rPr>
          <w:noProof/>
        </w:rPr>
        <w:t>2009)</w:t>
      </w:r>
      <w:r w:rsidRPr="00372280">
        <w:fldChar w:fldCharType="end"/>
      </w:r>
      <w:r w:rsidRPr="00372280">
        <w:t xml:space="preserve"> but this is likely to be skewed by high costs for opiate and crack users. We have estimated a total cost of drug treatment of £</w:t>
      </w:r>
      <w:r>
        <w:t>1,562</w:t>
      </w:r>
      <w:r w:rsidRPr="00372280">
        <w:t xml:space="preserve"> based on data supplied by PHE. This leads to a cost of drug treatment of £</w:t>
      </w:r>
      <w:r>
        <w:t>22.81</w:t>
      </w:r>
      <w:r w:rsidRPr="00372280">
        <w:t xml:space="preserve"> per cocaine user per year</w:t>
      </w:r>
      <w:r>
        <w:t xml:space="preserve">. </w:t>
      </w:r>
    </w:p>
    <w:p w14:paraId="024D4039" w14:textId="77777777" w:rsidR="00D65CD3" w:rsidRPr="00372280" w:rsidRDefault="00D65CD3"/>
    <w:p w14:paraId="2F7F2768" w14:textId="06C1CFCC" w:rsidR="00D65CD3" w:rsidRDefault="0051256B" w:rsidP="003D56F0">
      <w:pPr>
        <w:pStyle w:val="Heading7"/>
      </w:pPr>
      <w:r>
        <w:t>QALY losses associated with premature death</w:t>
      </w:r>
    </w:p>
    <w:p w14:paraId="2646BF18" w14:textId="77777777" w:rsidR="00D36E3E" w:rsidRPr="00627432" w:rsidRDefault="00D36E3E" w:rsidP="003D56F0"/>
    <w:p w14:paraId="3C1785B7" w14:textId="5B8256FE" w:rsidR="00D65CD3" w:rsidRPr="00372280" w:rsidRDefault="00D65CD3">
      <w:r w:rsidRPr="00372280">
        <w:t xml:space="preserve">There were 247 drug related deaths registered in England and Wales in 2014 where cocaine was mentioned on the death certificate and 74 where it was the sole drug. This includes crack cocaine as well as powder cocaine. Crack cocaine users are more likely to be disadvantaged and to lead chaotic lifestyles and die from drug use than powder cocaine users, but crack users would also be more likely to have other drugs involved in their death and mentioned on the death certificate as many crack users are also opiate users. We have assumed that 50% of the deaths that </w:t>
      </w:r>
      <w:r w:rsidRPr="00372280">
        <w:lastRenderedPageBreak/>
        <w:t xml:space="preserve">mentioned cocaine only (37) were due to powder cocaine use (we do not have evidence to assess the accuracy of this estimate). Cocaine is a cause of sudden death from cardiovascular disease (CVD), particularly in men aged under 45 where deaths from heart disease are relatively rare. It is unlikely that there is any double counting between CVD causes of death and records showing cocaine poisoning. A study which used urine screening at two London Emergency Departments indicated that 7% of patients presenting with chest pain, and 23% of all patients aged 18 to 30 years, tested positive for cocaine </w:t>
      </w:r>
      <w:r w:rsidRPr="00372280">
        <w:fldChar w:fldCharType="begin" w:fldLock="1"/>
      </w:r>
      <w:r>
        <w:instrText>ADDIN CSL_CITATION { "citationItems" : [ { "id" : "ITEM-1", "itemData" : { "DOI" : "10.1136/emj.2008.070581", "ISSN" : "1472-0213", "PMID" : "20584958", "abstract" : "INTRODUCTION: Cocaine is the only drug to show a rise in misuse between 1996 and 2007 in England and Wales. It can cause chest pain and myocardial infarction. This study assessed the prevalence of cocaine use in patients presenting with chest pain, and determined the association between cocaine use and chest pain.\\n\\nMETHODS: Patients presenting with chest pain had a urine sample collected at presentation. Each patient with chest pain was matched with a non-chest pain control. Demographic detail, drug history and clinical outcome was recorded, samples anonymised and subsequently tested for cocaine and metabolites.\\n\\nRESULTS: Of the 1469 patients, 101 (6.9%) tested positive for cocaine compared with 3.8% of controls (p&lt;0.001). Men (8%) were more likely than women (5.1%) to test positive for cocaine. Two patients developed a myocardial infarction. Cocaine use was highest in those aged 18-30 years for both sexes and decreased with age. Cocaine-positive patients with chest pain were more likely to present in the evening, after midnight or at the weekend. Only 18% of all patients presenting with chest pain had a specific drug history recorded in their notes.\\n\\nCONCLUSIONS: As many patients do not admit to use of an illegal drug, routine testing would enable cocaine-related ischaemic events to be identified more easily but this remains controversial. As management of cocaine-induced chest pain is different from other causes of chest pain, doctors should routinely question patients with chest pain about cocaine use in addition to well recognised risk factors.", "author" : [ { "dropping-particle" : "", "family" : "Maric", "given" : "Tanya", "non-dropping-particle" : "", "parse-names" : false, "suffix" : "" }, { "dropping-particle" : "", "family" : "O'Connor", "given" : "Sally", "non-dropping-particle" : "", "parse-names" : false, "suffix" : "" }, { "dropping-particle" : "", "family" : "Pollock", "given" : "Noel", "non-dropping-particle" : "", "parse-names" : false, "suffix" : "" }, { "dropping-particle" : "", "family" : "Mirza", "given" : "Zul", "non-dropping-particle" : "", "parse-names" : false, "suffix" : "" }, { "dropping-particle" : "", "family" : "Henry", "given" : "John", "non-dropping-particle" : "", "parse-names" : false, "suffix" : "" } ], "container-title" : "Emergency medicine journal : EMJ", "id" : "ITEM-1", "issue" : "7", "issued" : { "date-parts" : [ [ "2010" ] ] }, "page" : "548-50", "title" : "Prevalence of cocaine use among patients attending the emergency department with chest pain.", "type" : "article-journal", "volume" : "27" }, "uris" : [ "http://www.mendeley.com/documents/?uuid=7b24c46b-f1c6-4d09-b8ef-e875693269c4" ] } ], "mendeley" : { "formattedCitation" : "(Maric et al. 2010)", "plainTextFormattedCitation" : "(Maric et al. 2010)", "previouslyFormattedCitation" : "(Maric et al. 2010)" }, "properties" : { "noteIndex" : 0 }, "schema" : "https://github.com/citation-style-language/schema/raw/master/csl-citation.json" }</w:instrText>
      </w:r>
      <w:r w:rsidRPr="00372280">
        <w:fldChar w:fldCharType="separate"/>
      </w:r>
      <w:r w:rsidRPr="00372280">
        <w:rPr>
          <w:noProof/>
        </w:rPr>
        <w:t>(Maric et al. 2010)</w:t>
      </w:r>
      <w:r w:rsidRPr="00372280">
        <w:fldChar w:fldCharType="end"/>
      </w:r>
      <w:r w:rsidRPr="00372280">
        <w:t xml:space="preserve">. A study in Valencia in Spain found that 3% of sudden deaths were cocaine related – this would include crack cocaine </w:t>
      </w:r>
      <w:r w:rsidRPr="00372280">
        <w:fldChar w:fldCharType="begin" w:fldLock="1"/>
      </w:r>
      <w:r>
        <w:instrText>ADDIN CSL_CITATION { "citationItems" : [ { "id" : "ITEM-1", "itemData" : { "DOI" : "10.1093/eurheartj/ehp557", "ISBN" : "0195-668X\\r1522-9645", "ISSN" : "0195668X", "PMID" : "20071326", "abstract" : "AIMS: With an estimated 12 million consumers in Europe, cocaine (COC) is the illicit drug leading to the most emergency department visits. The aim of this study was to examine a consecutive series of sudden deaths (SDs) to focus on the prevalence, the toxicological characteristics, and the causes of death in COC-related fatalities.\\n\\nMETHODS AND RESULTS: Prospective case-control study of forensic autopsies was carried out in the time interval November 2003 to June 2006 at the Institute of Legal Medicine, Seville, south-west Spain, with a reference population of 1 875 462 inhabitants. Toxicology included blood ethanol analysis and blood and urine investigation for drugs of abuse and medical drugs. Autopsy was performed according to the European standardized protocol. Ten age- and sex-matched patients who died of violent causes with no antecedents of COC consumption and negative toxicology served as controls. During the study period, 2477 forensic autopsies were performed, including 1114 natural deaths. Among the latter, 668 fulfilled the criteria of SD and 21 (all males, mean age 34.6 +/- 7.3 years) resulted to be COC-related (3.1%). Cocaine was detected in 67.1% of the blood (median 0.17 mg/L, interquartile range 0.08-0.42) and in 83.0% of the urine samples (median 1.15 mg/L, interquartile range 0.37-17.34). A concomitant use of ethanol was found in 76.0% and cigarette smoking in 81.0%. Causes of SD were cardiovascular in 62.0%, cerebrovascular in 14.0%, excited delirium in 14.0%, respiratory and metabolic in 5.0% each. Left ventricular hypertrophy was observed in 57.0%, small vessels disease in 42.9%, severe atherosclerotic coronary artery disease in 28.6%, and coronary thrombosis in 14.3%.\\n\\nCONCLUSION: Systematic toxicology investigation indicates that 3.1% of SDs are COC-related and are mainly due to cardio-cerebrovascular causes. Left ventricular hypertrophy, small vessel disease, and premature coronary artery atherosclerosis, with or without lumen thrombosis, are frequent findings that may account for myocardial ischaemia at risk of cardiac arrest in COC addicts.", "author" : [ { "dropping-particle" : "", "family" : "Lucena", "given" : "Joaquin", "non-dropping-particle" : "", "parse-names" : false, "suffix" : "" }, { "dropping-particle" : "", "family" : "Blanco", "given" : "Mario", "non-dropping-particle" : "", "parse-names" : false, "suffix" : "" }, { "dropping-particle" : "", "family" : "Jurado", "given" : "Carmen", "non-dropping-particle" : "", "parse-names" : false, "suffix" : "" }, { "dropping-particle" : "", "family" : "Rico", "given" : "Antonio", "non-dropping-particle" : "", "parse-names" : false, "suffix" : "" }, { "dropping-particle" : "", "family" : "Salguero", "given" : "Manuel", "non-dropping-particle" : "", "parse-names" : false, "suffix" : "" }, { "dropping-particle" : "", "family" : "Vazquez", "given" : "Rafael", "non-dropping-particle" : "", "parse-names" : false, "suffix" : "" }, { "dropping-particle" : "", "family" : "Thiene", "given" : "Gaetano", "non-dropping-particle" : "", "parse-names" : false, "suffix" : "" }, { "dropping-particle" : "", "family" : "Basso", "given" : "Cristina", "non-dropping-particle" : "", "parse-names" : false, "suffix" : "" } ], "container-title" : "European Heart Journal", "id" : "ITEM-1", "issue" : "3", "issued" : { "date-parts" : [ [ "2010" ] ] }, "page" : "318-329", "title" : "Cocaine-related sudden death: A prospective investigation in south-west Spain", "type" : "article-journal", "volume" : "31" }, "uris" : [ "http://www.mendeley.com/documents/?uuid=10a0421b-59bc-4578-9685-134fedb431d5" ] } ], "mendeley" : { "formattedCitation" : "(Lucena et al. 2010)", "plainTextFormattedCitation" : "(Lucena et al. 2010)", "previouslyFormattedCitation" : "(Lucena et al. 2010)" }, "properties" : { "noteIndex" : 0 }, "schema" : "https://github.com/citation-style-language/schema/raw/master/csl-citation.json" }</w:instrText>
      </w:r>
      <w:r w:rsidRPr="00372280">
        <w:fldChar w:fldCharType="separate"/>
      </w:r>
      <w:r w:rsidRPr="00372280">
        <w:rPr>
          <w:noProof/>
        </w:rPr>
        <w:t>(Lucena et al. 2010)</w:t>
      </w:r>
      <w:r w:rsidRPr="00372280">
        <w:fldChar w:fldCharType="end"/>
      </w:r>
      <w:r w:rsidR="00940B3D">
        <w:t xml:space="preserve">. </w:t>
      </w:r>
      <w:r w:rsidRPr="00372280">
        <w:t xml:space="preserve">Some 62% of these deaths were caused by cardiac disease, and all of the deaths were in men aged between 21 and 45. The deaths were typically in men in their mid-30s, with a high rate of deaths at weekends suggesting recreational users rather than daily dependent users. Many of these cases were heavy smokers which is also a risk factor for heart disease. Cocaine use in Spain is similar to that in the UK, and both countries have high cocaine use when compared to the rest of Europe. It was assumed that deaths happened at an age of 25 on average producing a QALY loss of 20.89 QALYs when discounted at 3.5% or 32.31 QALYs when discounted at 1.5%. Overall the average QALY loss from cocaine related deaths was estimated as 2.64 QALYs per 1000 users per year. </w:t>
      </w:r>
    </w:p>
    <w:p w14:paraId="4298C329" w14:textId="77777777" w:rsidR="00D65CD3" w:rsidRPr="00372280" w:rsidRDefault="00D65CD3"/>
    <w:p w14:paraId="7983CACA" w14:textId="712081D1" w:rsidR="00D65CD3" w:rsidRPr="00372280" w:rsidRDefault="0051256B" w:rsidP="003D56F0">
      <w:pPr>
        <w:pStyle w:val="Heading7"/>
      </w:pPr>
      <w:r>
        <w:t xml:space="preserve">QALY losses associated with </w:t>
      </w:r>
      <w:r w:rsidR="00D65CD3" w:rsidRPr="00372280">
        <w:t>Cocaine Dependence</w:t>
      </w:r>
    </w:p>
    <w:p w14:paraId="5007B1DA" w14:textId="77777777" w:rsidR="00D65CD3" w:rsidRPr="00372280" w:rsidRDefault="00D65CD3"/>
    <w:p w14:paraId="523EC572" w14:textId="1A39F78B" w:rsidR="00D65CD3" w:rsidRDefault="00D65CD3">
      <w:r w:rsidRPr="00372280">
        <w:t xml:space="preserve">It is estimated that around 15% of cocaine users (according to US data) become dependent </w:t>
      </w:r>
      <w:r w:rsidRPr="00372280">
        <w:fldChar w:fldCharType="begin" w:fldLock="1"/>
      </w:r>
      <w:r>
        <w:instrText>ADDIN CSL_CITATION { "citationItems" : [ { "id" : "ITEM-1", "itemData" : { "DOI" : "10.1016/S0893-133X(01)00367-0", "ISBN" : "0893-133X (Print)\\r0006-3223 (Linking)", "ISSN" : "0893133X", "PMID" : "11927172", "abstract" : "The focal point of this paper is the transition from drug use to drug dependence. We present new evidence on risk for starting to use marijuana, cocaine, and alcohol, as well as risks for progression from first drug use to the onset of drug dependence, separately for each of these drugs. Data from the National Comorbidity Survey (NCS) were analyzed. The NCS had a representative sample of the United States population ages 15-54 years (n = 8,098). Survival analysis techniques were used to provide age- and time-specific risk estimates of initiating use of marijuana, cocaine, and alcohol, as well as of becoming dependent on each drug. With respect to risk of initiating use, estimated peak values for alcohol and marijuana were found at age 18, about two years earlier than the later peak in risk of initiating cocaine use. With respect to risk of meeting criteria for the clinical dependence syndrome, estimated peak values for alcohol and marijuana were found at age 17-18. Peak values for cocaine dependence were found at age 23-25. Once use began, cocaine dependence emerged early and more explosively, with an estimated 5-6% of cocaine users becoming cocaine dependent in the first year of use. Most of the observed cases of cocaine dependence met criteria for dependence within three years after initial cocaine use. Whereas some 15-16% of cocaine users had developed cocaine dependence within 10 years of first cocaine use, the corresponding values were about 8% for marijuana users, and 12-13% for alcohol users. The most novel findings of this study document a noteworthy risk for quickly developing cocaine dependence after initial cocaine use, with about one in 16 to 20 cocaine users becoming dependent within the first year of cocaine use. For marijuana and alcohol, there is a more insidious onset of the drug dependence syndrome. ?? 2002 American College of Neuropsychopharmacology. Published by Elsevier Science Inc.", "author" : [ { "dropping-particle" : "", "family" : "Wagner", "given" : "Fernando A.", "non-dropping-particle" : "", "parse-names" : false, "suffix" : "" }, { "dropping-particle" : "", "family" : "Anthony", "given" : "James C.", "non-dropping-particle" : "", "parse-names" : false, "suffix" : "" } ], "container-title" : "Neuropsychopharmacology", "id" : "ITEM-1", "issue" : "4", "issued" : { "date-parts" : [ [ "2002" ] ] }, "page" : "479-488", "title" : "From first drug use to drug dependence: Developmental periods of risk for dependence upon marijuana, cocaine, and alcohol", "type" : "article-journal", "volume" : "26" }, "uris" : [ "http://www.mendeley.com/documents/?uuid=f5ae5c31-6d6f-4080-8d09-ca345482dd40" ] } ], "mendeley" : { "formattedCitation" : "(Wagner &amp; Anthony 2002)", "plainTextFormattedCitation" : "(Wagner &amp; Anthony 2002)", "previouslyFormattedCitation" : "(Wagner &amp; Anthony 2002)" }, "properties" : { "noteIndex" : 0 }, "schema" : "https://github.com/citation-style-language/schema/raw/master/csl-citation.json" }</w:instrText>
      </w:r>
      <w:r w:rsidRPr="00372280">
        <w:fldChar w:fldCharType="separate"/>
      </w:r>
      <w:r w:rsidRPr="00372280">
        <w:rPr>
          <w:noProof/>
        </w:rPr>
        <w:t>(Wagner &amp; Anthony 2002)</w:t>
      </w:r>
      <w:r w:rsidRPr="00372280">
        <w:fldChar w:fldCharType="end"/>
      </w:r>
      <w:r w:rsidRPr="00372280">
        <w:t xml:space="preserve"> which was annualised to a risk of 1.2% per year for 18-29 year olds, and that dependence causes a quality of life reduction of around 0.064 over six months where quality of life is measured on a scale of zero to one (</w:t>
      </w:r>
      <w:r w:rsidRPr="00372280">
        <w:fldChar w:fldCharType="begin" w:fldLock="1"/>
      </w:r>
      <w:r>
        <w:instrText>ADDIN CSL_CITATION { "citationItems" : [ { "id" : "ITEM-1", "itemData" : { "DOI" : "10.1111/j.1360-0443.2010.03299.x", "ISBN" : "1360-0443 (Electronic) 0965-2140 (Linking)", "ISSN" : "09652140", "PMID" : "21205046", "abstract" : "AIM: To examine the construct validity of generic preference-weighted health-related quality of life measures in a sample of patients with a substance use disorder (SUD).\\n\\nDESIGN: Longitudinal (baseline and 6-month follow-up) data from a research study that evaluated interventions to improve linkage and engagement with SUD treatment.\\n\\nSETTING: A central intake unit that referred patients to seven SUD treatment centers in a Midwestern US metropolitan area.\\n\\nPARTICIPANTS: A total of 495 individuals with a SUD.\\n\\nMEASUREMENTS: Participants completed two preference-weighted measures: the self-administered Quality of Well-Being scale (QWB-SA) and the standard gamble weighted Medical Outcomes Study SF-12 (SF-6D). They were also administered two clinical assessments: all seven domains of the Addiction Severity Index (ASI) and a symptom checklist based on the DSM-IV. Construct validity was determined via the relationships between disease-specific SUD and generic measures.\\n\\nFINDINGS: In unadjusted analyses, the QWB-SA and SF-6D change scores were correlated significantly with six ASI subscale change scores, but not with employment status. In adjusted repeated-measures analyses, three of seven ASI subscale scores were significant predictors of QWB-SA and 5/7 ASI subscale scores were significant predictors of SF-6D. Abstinence and problematic use at follow-up were significant predictors of QWB-SA and SF-6D. Effect sizes ranged from 0.352 to 0.400 for abstinence and -0.484 to -0.585 for problematic use.\\n\\nCONCLUSIONS: Generic preference-weighted health-related quality of life measures show moderate to good associations with substance-use specific measures and in certain circumstances can be used in their stead. This study provides further support for the use of the Quality of Well-Being scale and Medical Outcomes Study SF-12 in clinical and economic evaluations of substance use disorder interventions.", "author" : [ { "dropping-particle" : "", "family" : "Pyne", "given" : "Jeffrey M.", "non-dropping-particle" : "", "parse-names" : false, "suffix" : "" }, { "dropping-particle" : "", "family" : "Tripathi", "given" : "Shanti", "non-dropping-particle" : "", "parse-names" : false, "suffix" : "" }, { "dropping-particle" : "", "family" : "French", "given" : "Michael", "non-dropping-particle" : "", "parse-names" : false, "suffix" : "" }, { "dropping-particle" : "", "family" : "McCollister", "given" : "Kathryn", "non-dropping-particle" : "", "parse-names" : false, "suffix" : "" }, { "dropping-particle" : "", "family" : "Rapp", "given" : "Richard C.", "non-dropping-particle" : "", "parse-names" : false, "suffix" : "" }, { "dropping-particle" : "", "family" : "Booth", "given" : "Brenda M.", "non-dropping-particle" : "", "parse-names" : false, "suffix" : "" } ], "container-title" : "Addiction", "id" : "ITEM-1", "issue" : "3", "issued" : { "date-parts" : [ [ "2011" ] ] }, "page" : "507-515", "title" : "Longitudinal association of preference-weighted health-related quality of life measures and substance use disorder outcomes", "type" : "article-journal", "volume" : "106" }, "uris" : [ "http://www.mendeley.com/documents/?uuid=f90ea6b1-3343-42bd-9e2a-789f327b2a86" ] } ], "mendeley" : { "formattedCitation" : "(Pyne et al. 2011)", "manualFormatting" : "Pyne et al. (2011)", "plainTextFormattedCitation" : "(Pyne et al. 2011)", "previouslyFormattedCitation" : "(Pyne et al. 2011)" }, "properties" : { "noteIndex" : 0 }, "schema" : "https://github.com/citation-style-language/schema/raw/master/csl-citation.json" }</w:instrText>
      </w:r>
      <w:r w:rsidRPr="00372280">
        <w:fldChar w:fldCharType="separate"/>
      </w:r>
      <w:r>
        <w:rPr>
          <w:noProof/>
        </w:rPr>
        <w:t>Pyne et al. (</w:t>
      </w:r>
      <w:r w:rsidRPr="00372280">
        <w:rPr>
          <w:noProof/>
        </w:rPr>
        <w:t>2011)</w:t>
      </w:r>
      <w:r w:rsidRPr="00372280">
        <w:fldChar w:fldCharType="end"/>
      </w:r>
      <w:r w:rsidRPr="00372280">
        <w:t xml:space="preserve"> used SF-6D HRQoL tool). We do not know if this quality of life loss gets better or worse over time</w:t>
      </w:r>
      <w:r w:rsidR="00940B3D">
        <w:t xml:space="preserve">. </w:t>
      </w:r>
      <w:r w:rsidRPr="00372280">
        <w:t xml:space="preserve">It was assumed that each case of cocaine dependence caused on average five years’ worth of QALY decrements, so a QALY loss of 0.64 (undiscounted) or 0.576 (discounted at 3.5%) in total. No evidence was found for HRQoL loss for recreational or non-dependent cocaine use. </w:t>
      </w:r>
    </w:p>
    <w:p w14:paraId="55EF135F" w14:textId="77777777" w:rsidR="002E6934" w:rsidRDefault="002E6934"/>
    <w:p w14:paraId="1041DE4A" w14:textId="77777777" w:rsidR="002E6934" w:rsidRPr="00372280" w:rsidRDefault="002E6934" w:rsidP="003D56F0">
      <w:pPr>
        <w:pStyle w:val="Heading7"/>
      </w:pPr>
      <w:r w:rsidRPr="00372280">
        <w:t>Other Health &amp; Social Harms </w:t>
      </w:r>
    </w:p>
    <w:p w14:paraId="49F97381" w14:textId="77777777" w:rsidR="002E6934" w:rsidRPr="00372280" w:rsidRDefault="002E6934"/>
    <w:p w14:paraId="01D105AB" w14:textId="77777777" w:rsidR="002E6934" w:rsidRPr="005006EE" w:rsidRDefault="002E6934">
      <w:r w:rsidRPr="005006EE">
        <w:t xml:space="preserve">Cocaine use is associated with an increase in risky sexual behaviour and an increase in risk of sexually transmitted diseases e.g. </w:t>
      </w:r>
      <w:r w:rsidRPr="005006EE">
        <w:fldChar w:fldCharType="begin" w:fldLock="1"/>
      </w:r>
      <w:r w:rsidRPr="005006EE">
        <w:instrText>ADDIN CSL_CITATION { "citationItems" : [ { "id" : "ITEM-1", "itemData" : { "DOI" : "10.1037/0003-066X.48.10.1035", "ISBN" : "0003-066X", "ISSN" : "0003-066X", "PMID" : "8256876", "abstract" : "Recent reports have suggested that the use of alcohol or drugs is related to sexual behavior that is high risk for HIV infection. If substance use leads to unsafe sexual activity, understanding the dynamics of this relationship can contribute to research and preventive and educational efforts to contain the spread of AIDS. In this article, we review research on the relationship between substance use and high-risk sexual behavior. We then consider the inherent limitations of the research designs used to study this relationship, outline some methodological concerns including measurement and sampling issues, and comment on causal interpretations of correlational research findings. We end with a consideration of potential avenues for future research and a discussion of implications of these findings for current AIDS prevention policies.", "author" : [ { "dropping-particle" : "", "family" : "Leigh", "given" : "B C", "non-dropping-particle" : "", "parse-names" : false, "suffix" : "" }, { "dropping-particle" : "", "family" : "Stall", "given" : "R", "non-dropping-particle" : "", "parse-names" : false, "suffix" : "" } ], "container-title" : "The American psychologist", "id" : "ITEM-1", "issue" : "10", "issued" : { "date-parts" : [ [ "1993" ] ] }, "page" : "1035-45", "title" : "Substance use and risky sexual behavior for exposure to HIV. Issues in methodology, interpretation, and prevention.", "type" : "article-journal", "volume" : "48" }, "uris" : [ "http://www.mendeley.com/documents/?uuid=673df34f-0aef-47a7-a5b0-86330fe343e3" ] } ], "mendeley" : { "formattedCitation" : "(Leigh &amp; Stall 1993)", "manualFormatting" : "Leigh &amp; Stall (1993)", "plainTextFormattedCitation" : "(Leigh &amp; Stall 1993)", "previouslyFormattedCitation" : "(Leigh &amp; Stall 1993)" }, "properties" : { "noteIndex" : 0 }, "schema" : "https://github.com/citation-style-language/schema/raw/master/csl-citation.json" }</w:instrText>
      </w:r>
      <w:r w:rsidRPr="005006EE">
        <w:fldChar w:fldCharType="separate"/>
      </w:r>
      <w:r w:rsidRPr="005006EE">
        <w:rPr>
          <w:noProof/>
        </w:rPr>
        <w:t>Leigh &amp; Stall (1993)</w:t>
      </w:r>
      <w:r w:rsidRPr="005006EE">
        <w:fldChar w:fldCharType="end"/>
      </w:r>
      <w:r w:rsidRPr="005006EE">
        <w:t xml:space="preserve">. We have not quantified this or included this in the model. The Parsons study was looking at risky sexual behaviour and drug use but we have only modelled the drug use outcomes. </w:t>
      </w:r>
    </w:p>
    <w:p w14:paraId="4AD31084" w14:textId="77777777" w:rsidR="002E6934" w:rsidRPr="005006EE" w:rsidRDefault="002E6934"/>
    <w:p w14:paraId="1E2D75EB" w14:textId="77777777" w:rsidR="002E6934" w:rsidRPr="005006EE" w:rsidRDefault="002E6934">
      <w:r w:rsidRPr="005006EE">
        <w:t xml:space="preserve">We have not estimated the cost of other potential social harms caused by cocaine use. But it is worth considering that cocaine use contributes to other social harms like organised crime and violence; drug use and dependence spreading from peer to peer by microdiffusion; debt and associated problems; relationship and family </w:t>
      </w:r>
      <w:r w:rsidRPr="005006EE">
        <w:lastRenderedPageBreak/>
        <w:t>breakdown; and lost productivity and being made unemployed. Cocaine will also be associated with a proportion of drug road traffic accidents.</w:t>
      </w:r>
    </w:p>
    <w:p w14:paraId="51117A4F" w14:textId="77777777" w:rsidR="002E6934" w:rsidRPr="005006EE" w:rsidRDefault="002E6934"/>
    <w:p w14:paraId="268DFC8C" w14:textId="47D34D4F" w:rsidR="002E6934" w:rsidRPr="00372280" w:rsidRDefault="002E6934">
      <w:pPr>
        <w:rPr>
          <w:sz w:val="22"/>
        </w:rPr>
      </w:pPr>
      <w:r w:rsidRPr="005006EE">
        <w:t xml:space="preserve">It may well be that if more consequences were modelled, the intervention would become more cost effective, so the results should be taken as a conservative estimated of cost effectiveness, i.e, the intervention may be more cost effective than these results indicate. </w:t>
      </w:r>
      <w:r w:rsidRPr="00BE2A66">
        <w:t>However the results are very sensitive to the proportion of CVD risk in young people that can be attributed to cocaine use, which is subject to considerable uncertainty</w:t>
      </w:r>
      <w:r w:rsidRPr="00372280">
        <w:t>.</w:t>
      </w:r>
    </w:p>
    <w:p w14:paraId="709DEB98" w14:textId="77777777" w:rsidR="002E6934" w:rsidRPr="00372280" w:rsidRDefault="002E6934"/>
    <w:p w14:paraId="5B2F50FF" w14:textId="277413CF" w:rsidR="0080344A" w:rsidRPr="00372280" w:rsidRDefault="00D65CD3" w:rsidP="00CC7EC2">
      <w:pPr>
        <w:pStyle w:val="Heading3"/>
      </w:pPr>
      <w:bookmarkStart w:id="58" w:name="_Toc452035646"/>
      <w:r w:rsidRPr="0051256B">
        <w:t xml:space="preserve">5.3.1 </w:t>
      </w:r>
      <w:r w:rsidR="0080344A" w:rsidRPr="0051256B">
        <w:t xml:space="preserve">Model of Motivational Interviewing to reduce drug use in young gay and bisexual men, based on </w:t>
      </w:r>
      <w:r w:rsidR="0080344A" w:rsidRPr="0051256B">
        <w:fldChar w:fldCharType="begin" w:fldLock="1"/>
      </w:r>
      <w:r w:rsidR="0080344A" w:rsidRPr="0051256B">
        <w:instrText>ADDIN CSL_CITATION { "citationItems" : [ { "id" : "ITEM-1", "itemData" : { "DOI" : "10.1037/a0035311", "ISBN" : "1939-2117(Electronic);0022-006X(Print)", "ISSN" : "1939-2117", "PMID" : "24364800", "abstract" : "OBJECTIVE: Young gay and bisexual men (YGBM) are disproportionally at risk of HIV infection due to sexual risk behaviors, which are often exacerbated by recreational drug use. However, there have been no evidence-based interventions targeting substance-using YGBM. This study was designed to test a brief motivational interviewing (MI) intervention to reduce both risky sex and drug use among HIV-negative YGBM.\\n\\nMETHOD: A total of 143 non-treatment-seeking YGBM (ages 18-29 years) who reported recent unprotected anal intercourse (UAI) and recreational drug use were randomized to 4 sessions of MI or 4 sessions of content-matched education. Participants were followed every 3 months for 1 year, and behavior change was examined across conditions and time for aggregated and day-level drug use and UAI.\\n\\nRESULTS: Regardless of condition, participants reported significant reductions in UAI and substance use over time. However, YGBM in the MI condition were 18% less likely to use drugs and 24% less likely to engage in UAI than YGBM in the education condition.\\n\\nCONCLUSIONS: The results support the utility of MI, compared with a content-matched education condition, to significantly reduce both UAI and drug use among YGBM. Interventions may benefit from an emphasis on substance use reductions, which might indirectly lead to less frequent UAI. Future research efforts should examine whether this type of brief MI intervention is effective when delivered by clinic or community settings utilized by YGBM.", "author" : [ { "dropping-particle" : "", "family" : "Parsons", "given" : "Jeffrey T.;", "non-dropping-particle" : "", "parse-names" : false, "suffix" : "" }, { "dropping-particle" : "", "family" : "Lelutiu-Weinberger", "given" : "Corina", "non-dropping-particle" : "", "parse-names" : false, "suffix" : "" }, { "dropping-particle" : "", "family" : "Michael", "given" : "Botsko.;", "non-dropping-particle" : "", "parse-names" : false, "suffix" : "" }, { "dropping-particle" : "", "family" : "Golub", "given" : "Sarit A.", "non-dropping-particle" : "", "parse-names" : false, "suffix" : "" } ], "container-title" : "Journal of consulting and clinical psychology", "id" : "ITEM-1", "issue" : "1", "issued" : { "date-parts" : [ [ "2014" ] ] }, "page" : "9-18", "title" : "A randomized controlled trial utilizing motivational interviewing to reduce HIV risk and drug use in young gay and bisexual men.", "type" : "article-journal", "volume" : "82" }, "uris" : [ "http://www.mendeley.com/documents/?uuid=79b0e7e0-d531-429c-ab47-a6973bfb2e73" ] } ], "mendeley" : { "formattedCitation" : "(J. T. . Parsons et al. 2014)", "manualFormatting" : "Parsons et al., (2014)", "plainTextFormattedCitation" : "(J. T. . Parsons et al. 2014)", "previouslyFormattedCitation" : "(J. T. . Parsons et al. 2014)" }, "properties" : { "noteIndex" : 0 }, "schema" : "https://github.com/citation-style-language/schema/raw/master/csl-citation.json" }</w:instrText>
      </w:r>
      <w:r w:rsidR="0080344A" w:rsidRPr="0051256B">
        <w:fldChar w:fldCharType="separate"/>
      </w:r>
      <w:r w:rsidR="0080344A" w:rsidRPr="0051256B">
        <w:rPr>
          <w:noProof/>
        </w:rPr>
        <w:t>Parsons et al., (2014)</w:t>
      </w:r>
      <w:bookmarkEnd w:id="58"/>
      <w:r w:rsidR="0080344A" w:rsidRPr="0051256B">
        <w:fldChar w:fldCharType="end"/>
      </w:r>
    </w:p>
    <w:p w14:paraId="41432798" w14:textId="77777777" w:rsidR="0080344A" w:rsidRDefault="0080344A" w:rsidP="00AD2788"/>
    <w:p w14:paraId="6EA726AD" w14:textId="5B67B217" w:rsidR="000505C6" w:rsidRDefault="000505C6" w:rsidP="003D56F0">
      <w:pPr>
        <w:pStyle w:val="Heading6"/>
      </w:pPr>
      <w:r>
        <w:t>Study</w:t>
      </w:r>
    </w:p>
    <w:p w14:paraId="202DC37F" w14:textId="77777777" w:rsidR="000505C6" w:rsidRPr="000D3D3B" w:rsidRDefault="000505C6"/>
    <w:p w14:paraId="4852CDB5" w14:textId="7D3E87EB" w:rsidR="0080344A" w:rsidRPr="00372280" w:rsidRDefault="0080344A">
      <w:r w:rsidRPr="00372280">
        <w:t>This study compared four sessions of motivational interviewing in t</w:t>
      </w:r>
      <w:r w:rsidR="00110AFC">
        <w:t>he intervention arm (N=73) with</w:t>
      </w:r>
      <w:r w:rsidRPr="00372280">
        <w:t xml:space="preserve"> four sessions of content-matched education in the control arm (N=70) in terms of the effect on drug use and unprotected sex measured at 3 month intervals up to 12 months. Men from the New York City metropolitan area, 18-29 years of age, were included in the study if they had a history of drug use and risky sexual behaviour. We estimated the intervention arm cost to be £825 based on clinical psychologist time. Drug use and unprotected sex decreased in both groups, but the decrease was significantly larger in the motivational interview group. The demographics of both groups in the study appear similar. However, the study did not control for observable factors. The outcomes in the study were drug use (broken down into all drug use, cocaine, ecstasy, GHB, ketamine); and number of occasions of unprotected anal intercourse (UAI). The main drug used was cocaine (67.8% at baseline) so the model was based on outcomes associated with cocaine use. It is assumed that because the intervention was aimed at recreational / club drug users that the majority of cocaine use was powder cocaine which is typically insufflated, rather than crack cocaine which is smoked, and is associated with greater social harms and typically with dependent drug use. Cocaine is occasionally injected as well. </w:t>
      </w:r>
    </w:p>
    <w:p w14:paraId="2BAA6A47" w14:textId="77777777" w:rsidR="0080344A" w:rsidRPr="00372280" w:rsidRDefault="0080344A"/>
    <w:p w14:paraId="43BBF13F" w14:textId="77777777" w:rsidR="0080344A" w:rsidRPr="00372280" w:rsidRDefault="0080344A">
      <w:pPr>
        <w:pStyle w:val="Heading6"/>
      </w:pPr>
      <w:r w:rsidRPr="00372280">
        <w:t xml:space="preserve">Population </w:t>
      </w:r>
    </w:p>
    <w:p w14:paraId="1C22D45B" w14:textId="77777777" w:rsidR="0080344A" w:rsidRPr="00372280" w:rsidRDefault="0080344A"/>
    <w:p w14:paraId="7F39720F" w14:textId="54E6F5FC" w:rsidR="0080344A" w:rsidRPr="00372280" w:rsidRDefault="0080344A">
      <w:r w:rsidRPr="00372280">
        <w:t xml:space="preserve">The model was constructed based on an estimated population of 124,791 gay and bisexual men aged 18-29 in the UK (based on the ONS Integrated Household Survey, 2.4% of men). </w:t>
      </w:r>
      <w:r>
        <w:t>Powder cocaine</w:t>
      </w:r>
      <w:r w:rsidRPr="00372280">
        <w:t xml:space="preserve"> use was estimated at 10% based on</w:t>
      </w:r>
      <w:r>
        <w:t xml:space="preserve"> </w:t>
      </w:r>
      <w:r>
        <w:fldChar w:fldCharType="begin" w:fldLock="1"/>
      </w:r>
      <w:r>
        <w:instrText>ADDIN CSL_CITATION { "citationItems" : [ { "id" : "ITEM-1", "itemData" : { "author" : [ { "dropping-particle" : "", "family" : "Buffin", "given" : "J", "non-dropping-particle" : "", "parse-names" : false, "suffix" : "" }, { "dropping-particle" : "", "family" : "Roy", "given" : "A", "non-dropping-particle" : "", "parse-names" : false, "suffix" : "" }, { "dropping-particle" : "", "family" : "Williams", "given" : "H", "non-dropping-particle" : "", "parse-names" : false, "suffix" : "" }, { "dropping-particle" : "", "family" : "Winter", "given" : "A", "non-dropping-particle" : "", "parse-names" : false, "suffix" : "" } ], "id" : "ITEM-1", "issued" : { "date-parts" : [ [ "2012" ] ] }, "title" : "Part of the Picture: Lesbian, gay, and bisexual people's alcohol and drug use in England (2009\u20132011).", "type" : "report" }, "uris" : [ "http://www.mendeley.com/documents/?uuid=f4239c9b-b84e-4c08-ae15-e12a4e681932" ] } ], "mendeley" : { "formattedCitation" : "(Buffin et al. 2012)", "manualFormatting" : "Buffin et al. (2012)", "plainTextFormattedCitation" : "(Buffin et al. 2012)", "previouslyFormattedCitation" : "(Buffin et al. 2012)" }, "properties" : { "noteIndex" : 0 }, "schema" : "https://github.com/citation-style-language/schema/raw/master/csl-citation.json" }</w:instrText>
      </w:r>
      <w:r>
        <w:fldChar w:fldCharType="separate"/>
      </w:r>
      <w:r w:rsidRPr="003E6E42">
        <w:rPr>
          <w:noProof/>
        </w:rPr>
        <w:t xml:space="preserve">Buffin et al. </w:t>
      </w:r>
      <w:r>
        <w:rPr>
          <w:noProof/>
        </w:rPr>
        <w:t>(</w:t>
      </w:r>
      <w:r w:rsidRPr="003E6E42">
        <w:rPr>
          <w:noProof/>
        </w:rPr>
        <w:t>2012)</w:t>
      </w:r>
      <w:r>
        <w:fldChar w:fldCharType="end"/>
      </w:r>
      <w:r w:rsidRPr="00372280">
        <w:t xml:space="preserve"> so equated to a possible target population of 12,479.</w:t>
      </w:r>
      <w:r w:rsidR="002E6934">
        <w:t xml:space="preserve"> </w:t>
      </w:r>
      <w:r w:rsidR="002E6934" w:rsidRPr="00372280">
        <w:t xml:space="preserve">The </w:t>
      </w:r>
      <w:r w:rsidR="002E6934">
        <w:t>inputs</w:t>
      </w:r>
      <w:r w:rsidR="002E6934" w:rsidRPr="00372280">
        <w:t xml:space="preserve"> used for the model were ideally for the UK, if not then for England &amp; Wales, and if this data was not available, then for England alone. The </w:t>
      </w:r>
      <w:r w:rsidR="002E6934">
        <w:t>inputs</w:t>
      </w:r>
      <w:r w:rsidR="002E6934" w:rsidRPr="00372280">
        <w:t xml:space="preserve"> were ideally measured for </w:t>
      </w:r>
      <w:r w:rsidR="002E6934" w:rsidRPr="00372280">
        <w:lastRenderedPageBreak/>
        <w:t>males as the intervention was targeted at males only. If data was not available for males then data for all persons was used.</w:t>
      </w:r>
    </w:p>
    <w:p w14:paraId="59D9A2D5" w14:textId="77777777" w:rsidR="0080344A" w:rsidRPr="00372280" w:rsidRDefault="0080344A"/>
    <w:p w14:paraId="0D48A91D" w14:textId="74AC484B" w:rsidR="0080344A" w:rsidRPr="00372280" w:rsidRDefault="002E6934">
      <w:pPr>
        <w:pStyle w:val="Heading6"/>
      </w:pPr>
      <w:r>
        <w:t>Decision tree</w:t>
      </w:r>
    </w:p>
    <w:p w14:paraId="378C67F2" w14:textId="77777777" w:rsidR="0080344A" w:rsidRDefault="0080344A"/>
    <w:p w14:paraId="7D43B85C" w14:textId="0FC2E5D3" w:rsidR="002E6934" w:rsidRPr="00372280" w:rsidRDefault="002E6934">
      <w:r>
        <w:t>The decision tree (</w:t>
      </w:r>
      <w:r>
        <w:fldChar w:fldCharType="begin"/>
      </w:r>
      <w:r>
        <w:instrText xml:space="preserve"> REF _Ref448418927 \h  \* MERGEFORMAT </w:instrText>
      </w:r>
      <w:r>
        <w:fldChar w:fldCharType="separate"/>
      </w:r>
      <w:r w:rsidR="0087365D">
        <w:t xml:space="preserve">Figure </w:t>
      </w:r>
      <w:r w:rsidR="0087365D">
        <w:rPr>
          <w:noProof/>
        </w:rPr>
        <w:t>15</w:t>
      </w:r>
      <w:r>
        <w:fldChar w:fldCharType="end"/>
      </w:r>
      <w:r>
        <w:t>)) compares intervention to control.</w:t>
      </w:r>
      <w:r w:rsidR="00D36E3E">
        <w:t xml:space="preserve"> </w:t>
      </w:r>
      <w:r w:rsidRPr="00372280">
        <w:t xml:space="preserve">The intervention effects were modelled for two years only. Two scenarios were modelled; in the base case scenario the drug use in both the control and intervention groups returned to baseline after 2 years. In the second </w:t>
      </w:r>
      <w:r>
        <w:t xml:space="preserve">(maintained reduction) </w:t>
      </w:r>
      <w:r w:rsidRPr="00372280">
        <w:t>scenario, drug use in both groups continued to decrease in a linear fashion over the two years.</w:t>
      </w:r>
    </w:p>
    <w:p w14:paraId="637D7275" w14:textId="77777777" w:rsidR="0080344A" w:rsidRDefault="0080344A"/>
    <w:p w14:paraId="5E9CE01F" w14:textId="15962679" w:rsidR="0080344A" w:rsidRDefault="0080344A">
      <w:pPr>
        <w:pStyle w:val="Caption"/>
      </w:pPr>
      <w:bookmarkStart w:id="59" w:name="_Ref448418927"/>
      <w:r>
        <w:t xml:space="preserve">Figure </w:t>
      </w:r>
      <w:fldSimple w:instr=" SEQ Figure \* ARABIC ">
        <w:r w:rsidR="0087365D">
          <w:rPr>
            <w:noProof/>
          </w:rPr>
          <w:t>15</w:t>
        </w:r>
      </w:fldSimple>
      <w:bookmarkEnd w:id="59"/>
      <w:r>
        <w:t xml:space="preserve">. Decision tree model of </w:t>
      </w:r>
      <w:r w:rsidRPr="00372280">
        <w:t>motivational interviewing to reduce drug use in young gay and bisexual men</w:t>
      </w:r>
      <w:r>
        <w:t>.</w:t>
      </w:r>
    </w:p>
    <w:p w14:paraId="434EFB80" w14:textId="77777777" w:rsidR="0080344A" w:rsidRPr="00372280" w:rsidRDefault="0080344A">
      <w:pPr>
        <w:rPr>
          <w:sz w:val="22"/>
        </w:rPr>
      </w:pPr>
      <w:r w:rsidRPr="00084A5A">
        <w:rPr>
          <w:noProof/>
        </w:rPr>
        <w:drawing>
          <wp:inline distT="0" distB="0" distL="0" distR="0" wp14:anchorId="1A8DF4BE" wp14:editId="52F2D0B9">
            <wp:extent cx="3690773" cy="3888188"/>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99010" cy="3896866"/>
                    </a:xfrm>
                    <a:prstGeom prst="rect">
                      <a:avLst/>
                    </a:prstGeom>
                    <a:noFill/>
                    <a:ln>
                      <a:noFill/>
                    </a:ln>
                  </pic:spPr>
                </pic:pic>
              </a:graphicData>
            </a:graphic>
          </wp:inline>
        </w:drawing>
      </w:r>
    </w:p>
    <w:p w14:paraId="4813291A" w14:textId="77777777" w:rsidR="0080344A" w:rsidRPr="00372280" w:rsidRDefault="0080344A"/>
    <w:p w14:paraId="39B60826" w14:textId="77777777" w:rsidR="0080344A" w:rsidRPr="00372280" w:rsidRDefault="0080344A"/>
    <w:p w14:paraId="5AB4D101" w14:textId="4B426EA6" w:rsidR="0080344A" w:rsidRPr="00372280" w:rsidRDefault="0080344A" w:rsidP="003D56F0">
      <w:pPr>
        <w:pStyle w:val="Heading6"/>
      </w:pPr>
      <w:r w:rsidRPr="00372280">
        <w:t xml:space="preserve">Model Results </w:t>
      </w:r>
    </w:p>
    <w:p w14:paraId="658767B0" w14:textId="37F61E5F" w:rsidR="0080344A" w:rsidRPr="00372280" w:rsidRDefault="0080344A"/>
    <w:p w14:paraId="572BFF0F" w14:textId="77F8027E" w:rsidR="0080344A" w:rsidRDefault="0080344A">
      <w:pPr>
        <w:pStyle w:val="Caption"/>
      </w:pPr>
      <w:bookmarkStart w:id="60" w:name="_Ref448419675"/>
      <w:r w:rsidRPr="00DB1B0D">
        <w:t xml:space="preserve">Table </w:t>
      </w:r>
      <w:fldSimple w:instr=" SEQ Table \* ARABIC ">
        <w:r w:rsidR="008527AA">
          <w:rPr>
            <w:noProof/>
          </w:rPr>
          <w:t>11</w:t>
        </w:r>
      </w:fldSimple>
      <w:bookmarkEnd w:id="60"/>
      <w:r w:rsidRPr="00DB1B0D">
        <w:t>. Results from economic model based on Parsons et al., (2014)</w:t>
      </w:r>
      <w:r>
        <w:t xml:space="preserve">. </w:t>
      </w:r>
    </w:p>
    <w:p w14:paraId="5F3FC4B4" w14:textId="72879309" w:rsidR="0080344A" w:rsidRPr="003D56F0" w:rsidRDefault="0080344A">
      <w:pPr>
        <w:rPr>
          <w:sz w:val="18"/>
          <w:szCs w:val="18"/>
        </w:rPr>
      </w:pPr>
      <w:r w:rsidRPr="003D56F0">
        <w:rPr>
          <w:sz w:val="18"/>
          <w:szCs w:val="18"/>
        </w:rPr>
        <w:t>Base case scenario.</w:t>
      </w:r>
    </w:p>
    <w:tbl>
      <w:tblPr>
        <w:tblW w:w="5000" w:type="pct"/>
        <w:tblLayout w:type="fixed"/>
        <w:tblLook w:val="04A0" w:firstRow="1" w:lastRow="0" w:firstColumn="1" w:lastColumn="0" w:noHBand="0" w:noVBand="1"/>
      </w:tblPr>
      <w:tblGrid>
        <w:gridCol w:w="1406"/>
        <w:gridCol w:w="1893"/>
        <w:gridCol w:w="1381"/>
        <w:gridCol w:w="1941"/>
        <w:gridCol w:w="1349"/>
        <w:gridCol w:w="1272"/>
      </w:tblGrid>
      <w:tr w:rsidR="0080344A" w:rsidRPr="003D56F0" w14:paraId="039801B1" w14:textId="77777777" w:rsidTr="003D56F0">
        <w:trPr>
          <w:trHeight w:val="525"/>
        </w:trPr>
        <w:tc>
          <w:tcPr>
            <w:tcW w:w="761" w:type="pct"/>
            <w:tcBorders>
              <w:top w:val="single" w:sz="4" w:space="0" w:color="000000"/>
              <w:left w:val="single" w:sz="4" w:space="0" w:color="000000"/>
              <w:bottom w:val="single" w:sz="8" w:space="0" w:color="auto"/>
              <w:right w:val="single" w:sz="8" w:space="0" w:color="auto"/>
            </w:tcBorders>
            <w:shd w:val="clear" w:color="auto" w:fill="auto"/>
            <w:vAlign w:val="center"/>
            <w:hideMark/>
          </w:tcPr>
          <w:p w14:paraId="60CD1615" w14:textId="77777777" w:rsidR="0080344A" w:rsidRPr="003D56F0" w:rsidRDefault="0080344A" w:rsidP="003D56F0">
            <w:pPr>
              <w:rPr>
                <w:sz w:val="18"/>
                <w:szCs w:val="18"/>
              </w:rPr>
            </w:pPr>
            <w:r w:rsidRPr="003D56F0">
              <w:rPr>
                <w:sz w:val="18"/>
                <w:szCs w:val="18"/>
              </w:rPr>
              <w:t> </w:t>
            </w:r>
          </w:p>
        </w:tc>
        <w:tc>
          <w:tcPr>
            <w:tcW w:w="1024" w:type="pct"/>
            <w:tcBorders>
              <w:top w:val="single" w:sz="4" w:space="0" w:color="000000"/>
              <w:left w:val="nil"/>
              <w:bottom w:val="single" w:sz="8" w:space="0" w:color="auto"/>
              <w:right w:val="single" w:sz="8" w:space="0" w:color="auto"/>
            </w:tcBorders>
            <w:shd w:val="clear" w:color="auto" w:fill="auto"/>
            <w:vAlign w:val="center"/>
            <w:hideMark/>
          </w:tcPr>
          <w:p w14:paraId="36D5203C" w14:textId="77777777" w:rsidR="0080344A" w:rsidRPr="003D56F0" w:rsidRDefault="0080344A" w:rsidP="003D56F0">
            <w:pPr>
              <w:rPr>
                <w:b/>
                <w:sz w:val="18"/>
                <w:szCs w:val="18"/>
              </w:rPr>
            </w:pPr>
            <w:r w:rsidRPr="003D56F0">
              <w:rPr>
                <w:b/>
                <w:sz w:val="18"/>
                <w:szCs w:val="18"/>
              </w:rPr>
              <w:t>Total costs (£)</w:t>
            </w:r>
          </w:p>
        </w:tc>
        <w:tc>
          <w:tcPr>
            <w:tcW w:w="747" w:type="pct"/>
            <w:tcBorders>
              <w:top w:val="single" w:sz="4" w:space="0" w:color="000000"/>
              <w:left w:val="nil"/>
              <w:bottom w:val="single" w:sz="8" w:space="0" w:color="auto"/>
              <w:right w:val="single" w:sz="8" w:space="0" w:color="auto"/>
            </w:tcBorders>
            <w:shd w:val="clear" w:color="auto" w:fill="auto"/>
            <w:vAlign w:val="center"/>
            <w:hideMark/>
          </w:tcPr>
          <w:p w14:paraId="29427A43" w14:textId="77777777" w:rsidR="0080344A" w:rsidRPr="003D56F0" w:rsidRDefault="0080344A" w:rsidP="003D56F0">
            <w:pPr>
              <w:rPr>
                <w:b/>
                <w:sz w:val="18"/>
                <w:szCs w:val="18"/>
              </w:rPr>
            </w:pPr>
            <w:r w:rsidRPr="003D56F0">
              <w:rPr>
                <w:b/>
                <w:sz w:val="18"/>
                <w:szCs w:val="18"/>
              </w:rPr>
              <w:t>Total QALYs lost</w:t>
            </w:r>
          </w:p>
        </w:tc>
        <w:tc>
          <w:tcPr>
            <w:tcW w:w="1050" w:type="pct"/>
            <w:tcBorders>
              <w:top w:val="single" w:sz="4" w:space="0" w:color="000000"/>
              <w:left w:val="nil"/>
              <w:bottom w:val="single" w:sz="8" w:space="0" w:color="auto"/>
              <w:right w:val="single" w:sz="8" w:space="0" w:color="auto"/>
            </w:tcBorders>
            <w:shd w:val="clear" w:color="auto" w:fill="auto"/>
            <w:vAlign w:val="center"/>
            <w:hideMark/>
          </w:tcPr>
          <w:p w14:paraId="7659155B" w14:textId="77777777" w:rsidR="0080344A" w:rsidRPr="003D56F0" w:rsidRDefault="0080344A" w:rsidP="003D56F0">
            <w:pPr>
              <w:rPr>
                <w:b/>
                <w:sz w:val="18"/>
                <w:szCs w:val="18"/>
              </w:rPr>
            </w:pPr>
            <w:r w:rsidRPr="003D56F0">
              <w:rPr>
                <w:b/>
                <w:sz w:val="18"/>
                <w:szCs w:val="18"/>
              </w:rPr>
              <w:t>Incremental costs (£)</w:t>
            </w:r>
          </w:p>
        </w:tc>
        <w:tc>
          <w:tcPr>
            <w:tcW w:w="730" w:type="pct"/>
            <w:tcBorders>
              <w:top w:val="single" w:sz="4" w:space="0" w:color="000000"/>
              <w:left w:val="nil"/>
              <w:bottom w:val="single" w:sz="8" w:space="0" w:color="auto"/>
              <w:right w:val="single" w:sz="8" w:space="0" w:color="auto"/>
            </w:tcBorders>
            <w:shd w:val="clear" w:color="auto" w:fill="auto"/>
            <w:vAlign w:val="center"/>
            <w:hideMark/>
          </w:tcPr>
          <w:p w14:paraId="52954D07" w14:textId="77777777" w:rsidR="0080344A" w:rsidRPr="003D56F0" w:rsidRDefault="0080344A" w:rsidP="003D56F0">
            <w:pPr>
              <w:rPr>
                <w:b/>
                <w:sz w:val="18"/>
                <w:szCs w:val="18"/>
              </w:rPr>
            </w:pPr>
            <w:r w:rsidRPr="003D56F0">
              <w:rPr>
                <w:b/>
                <w:sz w:val="18"/>
                <w:szCs w:val="18"/>
              </w:rPr>
              <w:t>Incremental QALYs</w:t>
            </w:r>
          </w:p>
        </w:tc>
        <w:tc>
          <w:tcPr>
            <w:tcW w:w="688" w:type="pct"/>
            <w:tcBorders>
              <w:top w:val="single" w:sz="4" w:space="0" w:color="000000"/>
              <w:left w:val="nil"/>
              <w:bottom w:val="single" w:sz="8" w:space="0" w:color="auto"/>
              <w:right w:val="single" w:sz="4" w:space="0" w:color="000000"/>
            </w:tcBorders>
            <w:shd w:val="clear" w:color="auto" w:fill="auto"/>
            <w:vAlign w:val="center"/>
            <w:hideMark/>
          </w:tcPr>
          <w:p w14:paraId="44B8E0E1" w14:textId="77777777" w:rsidR="0080344A" w:rsidRPr="003D56F0" w:rsidRDefault="0080344A" w:rsidP="003D56F0">
            <w:pPr>
              <w:rPr>
                <w:b/>
                <w:sz w:val="18"/>
                <w:szCs w:val="18"/>
              </w:rPr>
            </w:pPr>
            <w:r w:rsidRPr="003D56F0">
              <w:rPr>
                <w:b/>
                <w:sz w:val="18"/>
                <w:szCs w:val="18"/>
              </w:rPr>
              <w:t>ICER (£) (QALYs)</w:t>
            </w:r>
          </w:p>
        </w:tc>
      </w:tr>
      <w:tr w:rsidR="0080344A" w:rsidRPr="003D56F0" w14:paraId="6DAAB8CB" w14:textId="77777777" w:rsidTr="003D56F0">
        <w:trPr>
          <w:trHeight w:val="300"/>
        </w:trPr>
        <w:tc>
          <w:tcPr>
            <w:tcW w:w="761" w:type="pct"/>
            <w:tcBorders>
              <w:top w:val="nil"/>
              <w:left w:val="single" w:sz="4" w:space="0" w:color="000000"/>
              <w:bottom w:val="single" w:sz="8" w:space="0" w:color="auto"/>
              <w:right w:val="single" w:sz="8" w:space="0" w:color="auto"/>
            </w:tcBorders>
            <w:shd w:val="clear" w:color="auto" w:fill="auto"/>
            <w:vAlign w:val="center"/>
            <w:hideMark/>
          </w:tcPr>
          <w:p w14:paraId="798590A1" w14:textId="77777777" w:rsidR="0080344A" w:rsidRPr="003D56F0" w:rsidRDefault="0080344A" w:rsidP="003D56F0">
            <w:pPr>
              <w:rPr>
                <w:sz w:val="18"/>
                <w:szCs w:val="18"/>
              </w:rPr>
            </w:pPr>
            <w:r w:rsidRPr="003D56F0">
              <w:rPr>
                <w:sz w:val="18"/>
                <w:szCs w:val="18"/>
              </w:rPr>
              <w:t>Intervention</w:t>
            </w:r>
          </w:p>
        </w:tc>
        <w:tc>
          <w:tcPr>
            <w:tcW w:w="1024"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140A6C93" w14:textId="77777777" w:rsidR="0080344A" w:rsidRPr="003D56F0" w:rsidRDefault="0080344A" w:rsidP="003D56F0">
            <w:pPr>
              <w:rPr>
                <w:rFonts w:eastAsia="Times New Roman"/>
                <w:color w:val="000000"/>
                <w:sz w:val="18"/>
                <w:szCs w:val="18"/>
              </w:rPr>
            </w:pPr>
            <w:r w:rsidRPr="003D56F0">
              <w:rPr>
                <w:sz w:val="18"/>
                <w:szCs w:val="18"/>
              </w:rPr>
              <w:t>£3,164,427</w:t>
            </w:r>
          </w:p>
        </w:tc>
        <w:tc>
          <w:tcPr>
            <w:tcW w:w="747" w:type="pct"/>
            <w:tcBorders>
              <w:top w:val="single" w:sz="4" w:space="0" w:color="auto"/>
              <w:left w:val="nil"/>
              <w:bottom w:val="single" w:sz="8" w:space="0" w:color="auto"/>
              <w:right w:val="single" w:sz="4" w:space="0" w:color="auto"/>
            </w:tcBorders>
            <w:shd w:val="clear" w:color="auto" w:fill="auto"/>
            <w:noWrap/>
            <w:vAlign w:val="bottom"/>
            <w:hideMark/>
          </w:tcPr>
          <w:p w14:paraId="6EF3EF15" w14:textId="77777777" w:rsidR="0080344A" w:rsidRPr="003D56F0" w:rsidRDefault="0080344A" w:rsidP="003D56F0">
            <w:pPr>
              <w:rPr>
                <w:rFonts w:eastAsia="Times New Roman"/>
                <w:color w:val="000000"/>
                <w:sz w:val="18"/>
                <w:szCs w:val="18"/>
              </w:rPr>
            </w:pPr>
            <w:r w:rsidRPr="003D56F0">
              <w:rPr>
                <w:sz w:val="18"/>
                <w:szCs w:val="18"/>
              </w:rPr>
              <w:t>163</w:t>
            </w:r>
          </w:p>
        </w:tc>
        <w:tc>
          <w:tcPr>
            <w:tcW w:w="1050" w:type="pct"/>
            <w:vMerge w:val="restart"/>
            <w:tcBorders>
              <w:top w:val="nil"/>
              <w:left w:val="single" w:sz="8" w:space="0" w:color="auto"/>
              <w:bottom w:val="single" w:sz="4" w:space="0" w:color="000000"/>
              <w:right w:val="single" w:sz="8" w:space="0" w:color="auto"/>
            </w:tcBorders>
            <w:shd w:val="clear" w:color="auto" w:fill="auto"/>
            <w:vAlign w:val="bottom"/>
            <w:hideMark/>
          </w:tcPr>
          <w:p w14:paraId="1F27F4DD" w14:textId="77777777" w:rsidR="0080344A" w:rsidRPr="003D56F0" w:rsidRDefault="0080344A" w:rsidP="003D56F0">
            <w:pPr>
              <w:rPr>
                <w:rFonts w:eastAsia="Times New Roman"/>
                <w:color w:val="000000"/>
                <w:sz w:val="18"/>
                <w:szCs w:val="18"/>
              </w:rPr>
            </w:pPr>
            <w:r w:rsidRPr="003D56F0">
              <w:rPr>
                <w:sz w:val="18"/>
                <w:szCs w:val="18"/>
              </w:rPr>
              <w:t>£2,233,612</w:t>
            </w:r>
          </w:p>
        </w:tc>
        <w:tc>
          <w:tcPr>
            <w:tcW w:w="730" w:type="pct"/>
            <w:vMerge w:val="restart"/>
            <w:tcBorders>
              <w:top w:val="nil"/>
              <w:left w:val="single" w:sz="8" w:space="0" w:color="auto"/>
              <w:bottom w:val="single" w:sz="4" w:space="0" w:color="000000"/>
              <w:right w:val="single" w:sz="8" w:space="0" w:color="auto"/>
            </w:tcBorders>
            <w:shd w:val="clear" w:color="auto" w:fill="auto"/>
            <w:vAlign w:val="bottom"/>
            <w:hideMark/>
          </w:tcPr>
          <w:p w14:paraId="5AE97C0E" w14:textId="77777777" w:rsidR="0080344A" w:rsidRPr="003D56F0" w:rsidRDefault="0080344A" w:rsidP="003D56F0">
            <w:pPr>
              <w:rPr>
                <w:rFonts w:eastAsia="Times New Roman"/>
                <w:color w:val="000000"/>
                <w:sz w:val="18"/>
                <w:szCs w:val="18"/>
              </w:rPr>
            </w:pPr>
            <w:r w:rsidRPr="003D56F0">
              <w:rPr>
                <w:sz w:val="18"/>
                <w:szCs w:val="18"/>
              </w:rPr>
              <w:t>7.41</w:t>
            </w:r>
          </w:p>
        </w:tc>
        <w:tc>
          <w:tcPr>
            <w:tcW w:w="688" w:type="pct"/>
            <w:vMerge w:val="restart"/>
            <w:tcBorders>
              <w:top w:val="nil"/>
              <w:left w:val="single" w:sz="8" w:space="0" w:color="auto"/>
              <w:bottom w:val="single" w:sz="4" w:space="0" w:color="000000"/>
              <w:right w:val="single" w:sz="4" w:space="0" w:color="000000"/>
            </w:tcBorders>
            <w:shd w:val="clear" w:color="auto" w:fill="auto"/>
            <w:vAlign w:val="bottom"/>
            <w:hideMark/>
          </w:tcPr>
          <w:p w14:paraId="4A4900A6" w14:textId="77777777" w:rsidR="0080344A" w:rsidRPr="003D56F0" w:rsidRDefault="0080344A" w:rsidP="003D56F0">
            <w:pPr>
              <w:rPr>
                <w:rFonts w:eastAsia="Times New Roman"/>
                <w:color w:val="000000"/>
                <w:sz w:val="18"/>
                <w:szCs w:val="18"/>
              </w:rPr>
            </w:pPr>
            <w:r w:rsidRPr="003D56F0">
              <w:rPr>
                <w:sz w:val="18"/>
                <w:szCs w:val="18"/>
              </w:rPr>
              <w:t>£301,235</w:t>
            </w:r>
          </w:p>
        </w:tc>
      </w:tr>
      <w:tr w:rsidR="0080344A" w:rsidRPr="003D56F0" w14:paraId="40C8B4D3" w14:textId="77777777" w:rsidTr="003D56F0">
        <w:trPr>
          <w:trHeight w:val="300"/>
        </w:trPr>
        <w:tc>
          <w:tcPr>
            <w:tcW w:w="761" w:type="pct"/>
            <w:tcBorders>
              <w:top w:val="nil"/>
              <w:left w:val="single" w:sz="4" w:space="0" w:color="000000"/>
              <w:bottom w:val="single" w:sz="4" w:space="0" w:color="000000"/>
              <w:right w:val="single" w:sz="8" w:space="0" w:color="auto"/>
            </w:tcBorders>
            <w:shd w:val="clear" w:color="auto" w:fill="auto"/>
            <w:vAlign w:val="center"/>
            <w:hideMark/>
          </w:tcPr>
          <w:p w14:paraId="49803171" w14:textId="77777777" w:rsidR="0080344A" w:rsidRPr="003D56F0" w:rsidRDefault="0080344A" w:rsidP="003D56F0">
            <w:pPr>
              <w:rPr>
                <w:sz w:val="18"/>
                <w:szCs w:val="18"/>
              </w:rPr>
            </w:pPr>
            <w:r w:rsidRPr="003D56F0">
              <w:rPr>
                <w:sz w:val="18"/>
                <w:szCs w:val="18"/>
              </w:rPr>
              <w:t>Comparator</w:t>
            </w:r>
          </w:p>
        </w:tc>
        <w:tc>
          <w:tcPr>
            <w:tcW w:w="1024"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55F592E4" w14:textId="77777777" w:rsidR="0080344A" w:rsidRPr="003D56F0" w:rsidRDefault="0080344A" w:rsidP="003D56F0">
            <w:pPr>
              <w:rPr>
                <w:rFonts w:eastAsia="Times New Roman"/>
                <w:color w:val="000000"/>
                <w:sz w:val="18"/>
                <w:szCs w:val="18"/>
              </w:rPr>
            </w:pPr>
            <w:r w:rsidRPr="003D56F0">
              <w:rPr>
                <w:sz w:val="18"/>
                <w:szCs w:val="18"/>
              </w:rPr>
              <w:t>£930,815</w:t>
            </w:r>
          </w:p>
        </w:tc>
        <w:tc>
          <w:tcPr>
            <w:tcW w:w="747" w:type="pct"/>
            <w:tcBorders>
              <w:top w:val="single" w:sz="4" w:space="0" w:color="auto"/>
              <w:left w:val="nil"/>
              <w:bottom w:val="single" w:sz="8" w:space="0" w:color="auto"/>
              <w:right w:val="single" w:sz="4" w:space="0" w:color="auto"/>
            </w:tcBorders>
            <w:shd w:val="clear" w:color="auto" w:fill="auto"/>
            <w:noWrap/>
            <w:vAlign w:val="bottom"/>
            <w:hideMark/>
          </w:tcPr>
          <w:p w14:paraId="491122AC" w14:textId="77777777" w:rsidR="0080344A" w:rsidRPr="003D56F0" w:rsidRDefault="0080344A" w:rsidP="003D56F0">
            <w:pPr>
              <w:rPr>
                <w:rFonts w:eastAsia="Times New Roman"/>
                <w:color w:val="000000"/>
                <w:sz w:val="18"/>
                <w:szCs w:val="18"/>
              </w:rPr>
            </w:pPr>
            <w:r w:rsidRPr="003D56F0">
              <w:rPr>
                <w:sz w:val="18"/>
                <w:szCs w:val="18"/>
              </w:rPr>
              <w:t>170</w:t>
            </w:r>
          </w:p>
        </w:tc>
        <w:tc>
          <w:tcPr>
            <w:tcW w:w="1050" w:type="pct"/>
            <w:vMerge/>
            <w:tcBorders>
              <w:top w:val="nil"/>
              <w:left w:val="single" w:sz="8" w:space="0" w:color="auto"/>
              <w:bottom w:val="single" w:sz="4" w:space="0" w:color="000000"/>
              <w:right w:val="single" w:sz="8" w:space="0" w:color="auto"/>
            </w:tcBorders>
            <w:vAlign w:val="bottom"/>
            <w:hideMark/>
          </w:tcPr>
          <w:p w14:paraId="316C0544" w14:textId="77777777" w:rsidR="0080344A" w:rsidRPr="003D56F0" w:rsidRDefault="0080344A" w:rsidP="003D56F0">
            <w:pPr>
              <w:rPr>
                <w:sz w:val="18"/>
                <w:szCs w:val="18"/>
              </w:rPr>
            </w:pPr>
          </w:p>
        </w:tc>
        <w:tc>
          <w:tcPr>
            <w:tcW w:w="730" w:type="pct"/>
            <w:vMerge/>
            <w:tcBorders>
              <w:top w:val="nil"/>
              <w:left w:val="single" w:sz="8" w:space="0" w:color="auto"/>
              <w:bottom w:val="single" w:sz="4" w:space="0" w:color="000000"/>
              <w:right w:val="single" w:sz="8" w:space="0" w:color="auto"/>
            </w:tcBorders>
            <w:vAlign w:val="bottom"/>
            <w:hideMark/>
          </w:tcPr>
          <w:p w14:paraId="1812C0F2" w14:textId="77777777" w:rsidR="0080344A" w:rsidRPr="003D56F0" w:rsidRDefault="0080344A" w:rsidP="003D56F0">
            <w:pPr>
              <w:rPr>
                <w:sz w:val="18"/>
                <w:szCs w:val="18"/>
              </w:rPr>
            </w:pPr>
          </w:p>
        </w:tc>
        <w:tc>
          <w:tcPr>
            <w:tcW w:w="688" w:type="pct"/>
            <w:vMerge/>
            <w:tcBorders>
              <w:top w:val="nil"/>
              <w:left w:val="single" w:sz="8" w:space="0" w:color="auto"/>
              <w:bottom w:val="single" w:sz="4" w:space="0" w:color="000000"/>
              <w:right w:val="single" w:sz="4" w:space="0" w:color="000000"/>
            </w:tcBorders>
            <w:vAlign w:val="bottom"/>
            <w:hideMark/>
          </w:tcPr>
          <w:p w14:paraId="2280C315" w14:textId="77777777" w:rsidR="0080344A" w:rsidRPr="003D56F0" w:rsidRDefault="0080344A" w:rsidP="003D56F0">
            <w:pPr>
              <w:rPr>
                <w:sz w:val="18"/>
                <w:szCs w:val="18"/>
              </w:rPr>
            </w:pPr>
          </w:p>
        </w:tc>
      </w:tr>
    </w:tbl>
    <w:p w14:paraId="6ECDE555" w14:textId="77777777" w:rsidR="0080344A" w:rsidRPr="003D56F0" w:rsidRDefault="0080344A" w:rsidP="00CC7EC2">
      <w:pPr>
        <w:rPr>
          <w:sz w:val="18"/>
          <w:szCs w:val="18"/>
        </w:rPr>
      </w:pPr>
    </w:p>
    <w:p w14:paraId="6BE3D02F" w14:textId="77777777" w:rsidR="0080344A" w:rsidRPr="003D56F0" w:rsidRDefault="0080344A" w:rsidP="00AD2788">
      <w:pPr>
        <w:rPr>
          <w:sz w:val="18"/>
          <w:szCs w:val="18"/>
        </w:rPr>
      </w:pPr>
      <w:r w:rsidRPr="003D56F0">
        <w:rPr>
          <w:sz w:val="18"/>
          <w:szCs w:val="18"/>
        </w:rPr>
        <w:lastRenderedPageBreak/>
        <w:t>2 year reduction scenario.</w:t>
      </w:r>
    </w:p>
    <w:tbl>
      <w:tblPr>
        <w:tblW w:w="5000" w:type="pct"/>
        <w:tblLayout w:type="fixed"/>
        <w:tblLook w:val="04A0" w:firstRow="1" w:lastRow="0" w:firstColumn="1" w:lastColumn="0" w:noHBand="0" w:noVBand="1"/>
      </w:tblPr>
      <w:tblGrid>
        <w:gridCol w:w="1380"/>
        <w:gridCol w:w="1932"/>
        <w:gridCol w:w="1379"/>
        <w:gridCol w:w="1932"/>
        <w:gridCol w:w="1379"/>
        <w:gridCol w:w="1240"/>
      </w:tblGrid>
      <w:tr w:rsidR="0080344A" w:rsidRPr="003D56F0" w14:paraId="432B8F33" w14:textId="77777777" w:rsidTr="003D56F0">
        <w:trPr>
          <w:trHeight w:val="525"/>
        </w:trPr>
        <w:tc>
          <w:tcPr>
            <w:tcW w:w="747" w:type="pct"/>
            <w:tcBorders>
              <w:top w:val="single" w:sz="4" w:space="0" w:color="000000"/>
              <w:left w:val="single" w:sz="4" w:space="0" w:color="000000"/>
              <w:bottom w:val="single" w:sz="8" w:space="0" w:color="auto"/>
              <w:right w:val="single" w:sz="8" w:space="0" w:color="auto"/>
            </w:tcBorders>
            <w:shd w:val="clear" w:color="auto" w:fill="auto"/>
            <w:vAlign w:val="center"/>
            <w:hideMark/>
          </w:tcPr>
          <w:p w14:paraId="1DB680E7" w14:textId="77777777" w:rsidR="0080344A" w:rsidRPr="003D56F0" w:rsidRDefault="0080344A" w:rsidP="003D56F0">
            <w:pPr>
              <w:rPr>
                <w:sz w:val="18"/>
                <w:szCs w:val="18"/>
              </w:rPr>
            </w:pPr>
            <w:r w:rsidRPr="003D56F0">
              <w:rPr>
                <w:sz w:val="18"/>
                <w:szCs w:val="18"/>
              </w:rPr>
              <w:t> </w:t>
            </w:r>
          </w:p>
        </w:tc>
        <w:tc>
          <w:tcPr>
            <w:tcW w:w="1045" w:type="pct"/>
            <w:tcBorders>
              <w:top w:val="single" w:sz="4" w:space="0" w:color="000000"/>
              <w:left w:val="nil"/>
              <w:bottom w:val="single" w:sz="8" w:space="0" w:color="auto"/>
              <w:right w:val="single" w:sz="8" w:space="0" w:color="auto"/>
            </w:tcBorders>
            <w:shd w:val="clear" w:color="auto" w:fill="auto"/>
            <w:vAlign w:val="center"/>
            <w:hideMark/>
          </w:tcPr>
          <w:p w14:paraId="7D7BF20F" w14:textId="77777777" w:rsidR="0080344A" w:rsidRPr="003D56F0" w:rsidRDefault="0080344A" w:rsidP="003D56F0">
            <w:pPr>
              <w:rPr>
                <w:b/>
                <w:sz w:val="18"/>
                <w:szCs w:val="18"/>
              </w:rPr>
            </w:pPr>
            <w:r w:rsidRPr="003D56F0">
              <w:rPr>
                <w:b/>
                <w:sz w:val="18"/>
                <w:szCs w:val="18"/>
              </w:rPr>
              <w:t>Total costs (£)</w:t>
            </w:r>
          </w:p>
        </w:tc>
        <w:tc>
          <w:tcPr>
            <w:tcW w:w="746" w:type="pct"/>
            <w:tcBorders>
              <w:top w:val="single" w:sz="4" w:space="0" w:color="000000"/>
              <w:left w:val="nil"/>
              <w:bottom w:val="single" w:sz="8" w:space="0" w:color="auto"/>
              <w:right w:val="single" w:sz="8" w:space="0" w:color="auto"/>
            </w:tcBorders>
            <w:shd w:val="clear" w:color="auto" w:fill="auto"/>
            <w:vAlign w:val="center"/>
            <w:hideMark/>
          </w:tcPr>
          <w:p w14:paraId="170228FB" w14:textId="77777777" w:rsidR="0080344A" w:rsidRPr="003D56F0" w:rsidRDefault="0080344A" w:rsidP="003D56F0">
            <w:pPr>
              <w:rPr>
                <w:b/>
                <w:sz w:val="18"/>
                <w:szCs w:val="18"/>
              </w:rPr>
            </w:pPr>
            <w:r w:rsidRPr="003D56F0">
              <w:rPr>
                <w:b/>
                <w:sz w:val="18"/>
                <w:szCs w:val="18"/>
              </w:rPr>
              <w:t>Total QALYs lost</w:t>
            </w:r>
          </w:p>
        </w:tc>
        <w:tc>
          <w:tcPr>
            <w:tcW w:w="1045" w:type="pct"/>
            <w:tcBorders>
              <w:top w:val="single" w:sz="4" w:space="0" w:color="000000"/>
              <w:left w:val="nil"/>
              <w:bottom w:val="single" w:sz="8" w:space="0" w:color="auto"/>
              <w:right w:val="single" w:sz="8" w:space="0" w:color="auto"/>
            </w:tcBorders>
            <w:shd w:val="clear" w:color="auto" w:fill="auto"/>
            <w:vAlign w:val="center"/>
            <w:hideMark/>
          </w:tcPr>
          <w:p w14:paraId="48EADEA7" w14:textId="77777777" w:rsidR="0080344A" w:rsidRPr="003D56F0" w:rsidRDefault="0080344A" w:rsidP="003D56F0">
            <w:pPr>
              <w:rPr>
                <w:b/>
                <w:sz w:val="18"/>
                <w:szCs w:val="18"/>
              </w:rPr>
            </w:pPr>
            <w:r w:rsidRPr="003D56F0">
              <w:rPr>
                <w:b/>
                <w:sz w:val="18"/>
                <w:szCs w:val="18"/>
              </w:rPr>
              <w:t>Incremental costs (£)</w:t>
            </w:r>
          </w:p>
        </w:tc>
        <w:tc>
          <w:tcPr>
            <w:tcW w:w="746" w:type="pct"/>
            <w:tcBorders>
              <w:top w:val="single" w:sz="4" w:space="0" w:color="000000"/>
              <w:left w:val="nil"/>
              <w:bottom w:val="single" w:sz="8" w:space="0" w:color="auto"/>
              <w:right w:val="single" w:sz="8" w:space="0" w:color="auto"/>
            </w:tcBorders>
            <w:shd w:val="clear" w:color="auto" w:fill="auto"/>
            <w:vAlign w:val="center"/>
            <w:hideMark/>
          </w:tcPr>
          <w:p w14:paraId="756C92B8" w14:textId="77777777" w:rsidR="0080344A" w:rsidRPr="003D56F0" w:rsidRDefault="0080344A" w:rsidP="003D56F0">
            <w:pPr>
              <w:rPr>
                <w:b/>
                <w:sz w:val="18"/>
                <w:szCs w:val="18"/>
              </w:rPr>
            </w:pPr>
            <w:r w:rsidRPr="003D56F0">
              <w:rPr>
                <w:b/>
                <w:sz w:val="18"/>
                <w:szCs w:val="18"/>
              </w:rPr>
              <w:t>Incremental QALYs</w:t>
            </w:r>
          </w:p>
        </w:tc>
        <w:tc>
          <w:tcPr>
            <w:tcW w:w="672" w:type="pct"/>
            <w:tcBorders>
              <w:top w:val="single" w:sz="4" w:space="0" w:color="000000"/>
              <w:left w:val="nil"/>
              <w:bottom w:val="single" w:sz="8" w:space="0" w:color="auto"/>
              <w:right w:val="single" w:sz="4" w:space="0" w:color="000000"/>
            </w:tcBorders>
            <w:shd w:val="clear" w:color="auto" w:fill="auto"/>
            <w:vAlign w:val="center"/>
            <w:hideMark/>
          </w:tcPr>
          <w:p w14:paraId="614585D1" w14:textId="77777777" w:rsidR="0080344A" w:rsidRPr="003D56F0" w:rsidRDefault="0080344A" w:rsidP="003D56F0">
            <w:pPr>
              <w:rPr>
                <w:b/>
                <w:sz w:val="18"/>
                <w:szCs w:val="18"/>
              </w:rPr>
            </w:pPr>
            <w:r w:rsidRPr="003D56F0">
              <w:rPr>
                <w:b/>
                <w:sz w:val="18"/>
                <w:szCs w:val="18"/>
              </w:rPr>
              <w:t>ICER (£) (QALYs)</w:t>
            </w:r>
          </w:p>
        </w:tc>
      </w:tr>
      <w:tr w:rsidR="0080344A" w:rsidRPr="003D56F0" w14:paraId="35B2E7F0" w14:textId="77777777" w:rsidTr="003D56F0">
        <w:trPr>
          <w:trHeight w:val="300"/>
        </w:trPr>
        <w:tc>
          <w:tcPr>
            <w:tcW w:w="747" w:type="pct"/>
            <w:tcBorders>
              <w:top w:val="nil"/>
              <w:left w:val="single" w:sz="4" w:space="0" w:color="000000"/>
              <w:bottom w:val="single" w:sz="8" w:space="0" w:color="auto"/>
              <w:right w:val="single" w:sz="8" w:space="0" w:color="auto"/>
            </w:tcBorders>
            <w:shd w:val="clear" w:color="auto" w:fill="auto"/>
            <w:vAlign w:val="center"/>
            <w:hideMark/>
          </w:tcPr>
          <w:p w14:paraId="79215D0F" w14:textId="77777777" w:rsidR="0080344A" w:rsidRPr="003D56F0" w:rsidRDefault="0080344A" w:rsidP="003D56F0">
            <w:pPr>
              <w:rPr>
                <w:sz w:val="18"/>
                <w:szCs w:val="18"/>
              </w:rPr>
            </w:pPr>
            <w:r w:rsidRPr="003D56F0">
              <w:rPr>
                <w:sz w:val="18"/>
                <w:szCs w:val="18"/>
              </w:rPr>
              <w:t>Intervention</w:t>
            </w:r>
          </w:p>
        </w:tc>
        <w:tc>
          <w:tcPr>
            <w:tcW w:w="1045"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0FFBF7DF" w14:textId="77777777" w:rsidR="0080344A" w:rsidRPr="003D56F0" w:rsidRDefault="0080344A" w:rsidP="003D56F0">
            <w:pPr>
              <w:rPr>
                <w:rFonts w:eastAsia="Times New Roman"/>
                <w:color w:val="000000"/>
                <w:sz w:val="18"/>
                <w:szCs w:val="18"/>
              </w:rPr>
            </w:pPr>
            <w:r w:rsidRPr="003D56F0">
              <w:rPr>
                <w:sz w:val="18"/>
                <w:szCs w:val="18"/>
              </w:rPr>
              <w:t>£2,364,013</w:t>
            </w:r>
          </w:p>
        </w:tc>
        <w:tc>
          <w:tcPr>
            <w:tcW w:w="746" w:type="pct"/>
            <w:tcBorders>
              <w:top w:val="single" w:sz="4" w:space="0" w:color="auto"/>
              <w:left w:val="nil"/>
              <w:bottom w:val="single" w:sz="8" w:space="0" w:color="auto"/>
              <w:right w:val="single" w:sz="4" w:space="0" w:color="auto"/>
            </w:tcBorders>
            <w:shd w:val="clear" w:color="auto" w:fill="auto"/>
            <w:noWrap/>
            <w:vAlign w:val="bottom"/>
            <w:hideMark/>
          </w:tcPr>
          <w:p w14:paraId="5060DD62" w14:textId="77777777" w:rsidR="0080344A" w:rsidRPr="003D56F0" w:rsidRDefault="0080344A" w:rsidP="003D56F0">
            <w:pPr>
              <w:rPr>
                <w:rFonts w:eastAsia="Times New Roman"/>
                <w:color w:val="000000"/>
                <w:sz w:val="18"/>
                <w:szCs w:val="18"/>
              </w:rPr>
            </w:pPr>
            <w:r w:rsidRPr="003D56F0">
              <w:rPr>
                <w:sz w:val="18"/>
                <w:szCs w:val="18"/>
              </w:rPr>
              <w:t>122</w:t>
            </w:r>
          </w:p>
        </w:tc>
        <w:tc>
          <w:tcPr>
            <w:tcW w:w="1045" w:type="pct"/>
            <w:vMerge w:val="restart"/>
            <w:tcBorders>
              <w:top w:val="nil"/>
              <w:left w:val="single" w:sz="8" w:space="0" w:color="auto"/>
              <w:bottom w:val="single" w:sz="4" w:space="0" w:color="000000"/>
              <w:right w:val="single" w:sz="8" w:space="0" w:color="auto"/>
            </w:tcBorders>
            <w:shd w:val="clear" w:color="auto" w:fill="auto"/>
            <w:vAlign w:val="bottom"/>
            <w:hideMark/>
          </w:tcPr>
          <w:p w14:paraId="2F19DB5C" w14:textId="77777777" w:rsidR="0080344A" w:rsidRPr="003D56F0" w:rsidRDefault="0080344A" w:rsidP="003D56F0">
            <w:pPr>
              <w:rPr>
                <w:rFonts w:eastAsia="Times New Roman"/>
                <w:color w:val="000000"/>
                <w:sz w:val="18"/>
                <w:szCs w:val="18"/>
              </w:rPr>
            </w:pPr>
            <w:r w:rsidRPr="003D56F0">
              <w:rPr>
                <w:sz w:val="18"/>
                <w:szCs w:val="18"/>
              </w:rPr>
              <w:t>£1,577,206</w:t>
            </w:r>
          </w:p>
        </w:tc>
        <w:tc>
          <w:tcPr>
            <w:tcW w:w="746" w:type="pct"/>
            <w:vMerge w:val="restart"/>
            <w:tcBorders>
              <w:top w:val="nil"/>
              <w:left w:val="single" w:sz="8" w:space="0" w:color="auto"/>
              <w:bottom w:val="single" w:sz="4" w:space="0" w:color="000000"/>
              <w:right w:val="single" w:sz="8" w:space="0" w:color="auto"/>
            </w:tcBorders>
            <w:shd w:val="clear" w:color="auto" w:fill="auto"/>
            <w:vAlign w:val="bottom"/>
            <w:hideMark/>
          </w:tcPr>
          <w:p w14:paraId="0E011B56" w14:textId="77777777" w:rsidR="0080344A" w:rsidRPr="003D56F0" w:rsidRDefault="0080344A" w:rsidP="003D56F0">
            <w:pPr>
              <w:rPr>
                <w:rFonts w:eastAsia="Times New Roman"/>
                <w:color w:val="000000"/>
                <w:sz w:val="18"/>
                <w:szCs w:val="18"/>
              </w:rPr>
            </w:pPr>
            <w:r w:rsidRPr="003D56F0">
              <w:rPr>
                <w:sz w:val="18"/>
                <w:szCs w:val="18"/>
              </w:rPr>
              <w:t>22.24</w:t>
            </w:r>
          </w:p>
        </w:tc>
        <w:tc>
          <w:tcPr>
            <w:tcW w:w="672" w:type="pct"/>
            <w:vMerge w:val="restart"/>
            <w:tcBorders>
              <w:top w:val="nil"/>
              <w:left w:val="single" w:sz="8" w:space="0" w:color="auto"/>
              <w:bottom w:val="single" w:sz="4" w:space="0" w:color="000000"/>
              <w:right w:val="single" w:sz="4" w:space="0" w:color="000000"/>
            </w:tcBorders>
            <w:shd w:val="clear" w:color="auto" w:fill="auto"/>
            <w:vAlign w:val="bottom"/>
            <w:hideMark/>
          </w:tcPr>
          <w:p w14:paraId="5B826D96" w14:textId="77777777" w:rsidR="0080344A" w:rsidRPr="003D56F0" w:rsidRDefault="0080344A" w:rsidP="003D56F0">
            <w:pPr>
              <w:rPr>
                <w:rFonts w:eastAsia="Times New Roman"/>
                <w:color w:val="000000"/>
                <w:sz w:val="18"/>
                <w:szCs w:val="18"/>
              </w:rPr>
            </w:pPr>
            <w:r w:rsidRPr="003D56F0">
              <w:rPr>
                <w:sz w:val="18"/>
                <w:szCs w:val="18"/>
              </w:rPr>
              <w:t>£70,903</w:t>
            </w:r>
          </w:p>
        </w:tc>
      </w:tr>
      <w:tr w:rsidR="0080344A" w:rsidRPr="003D56F0" w14:paraId="23F23DEB" w14:textId="77777777" w:rsidTr="003D56F0">
        <w:trPr>
          <w:trHeight w:val="300"/>
        </w:trPr>
        <w:tc>
          <w:tcPr>
            <w:tcW w:w="747" w:type="pct"/>
            <w:tcBorders>
              <w:top w:val="nil"/>
              <w:left w:val="single" w:sz="4" w:space="0" w:color="000000"/>
              <w:bottom w:val="single" w:sz="4" w:space="0" w:color="000000"/>
              <w:right w:val="single" w:sz="8" w:space="0" w:color="auto"/>
            </w:tcBorders>
            <w:shd w:val="clear" w:color="auto" w:fill="auto"/>
            <w:vAlign w:val="center"/>
            <w:hideMark/>
          </w:tcPr>
          <w:p w14:paraId="2B78B0DD" w14:textId="77777777" w:rsidR="0080344A" w:rsidRPr="003D56F0" w:rsidRDefault="0080344A" w:rsidP="003D56F0">
            <w:pPr>
              <w:rPr>
                <w:sz w:val="18"/>
                <w:szCs w:val="18"/>
              </w:rPr>
            </w:pPr>
            <w:r w:rsidRPr="003D56F0">
              <w:rPr>
                <w:sz w:val="18"/>
                <w:szCs w:val="18"/>
              </w:rPr>
              <w:t>Comparator</w:t>
            </w:r>
          </w:p>
        </w:tc>
        <w:tc>
          <w:tcPr>
            <w:tcW w:w="1045"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5025DD7C" w14:textId="77777777" w:rsidR="0080344A" w:rsidRPr="003D56F0" w:rsidRDefault="0080344A" w:rsidP="003D56F0">
            <w:pPr>
              <w:rPr>
                <w:rFonts w:eastAsia="Times New Roman"/>
                <w:color w:val="000000"/>
                <w:sz w:val="18"/>
                <w:szCs w:val="18"/>
              </w:rPr>
            </w:pPr>
            <w:r w:rsidRPr="003D56F0">
              <w:rPr>
                <w:sz w:val="18"/>
                <w:szCs w:val="18"/>
              </w:rPr>
              <w:t>£786,807</w:t>
            </w:r>
          </w:p>
        </w:tc>
        <w:tc>
          <w:tcPr>
            <w:tcW w:w="746" w:type="pct"/>
            <w:tcBorders>
              <w:top w:val="single" w:sz="4" w:space="0" w:color="auto"/>
              <w:left w:val="nil"/>
              <w:bottom w:val="single" w:sz="8" w:space="0" w:color="auto"/>
              <w:right w:val="single" w:sz="4" w:space="0" w:color="auto"/>
            </w:tcBorders>
            <w:shd w:val="clear" w:color="auto" w:fill="auto"/>
            <w:noWrap/>
            <w:vAlign w:val="bottom"/>
            <w:hideMark/>
          </w:tcPr>
          <w:p w14:paraId="57AEB7A9" w14:textId="77777777" w:rsidR="0080344A" w:rsidRPr="003D56F0" w:rsidRDefault="0080344A" w:rsidP="003D56F0">
            <w:pPr>
              <w:rPr>
                <w:rFonts w:eastAsia="Times New Roman"/>
                <w:color w:val="000000"/>
                <w:sz w:val="18"/>
                <w:szCs w:val="18"/>
              </w:rPr>
            </w:pPr>
            <w:r w:rsidRPr="003D56F0">
              <w:rPr>
                <w:sz w:val="18"/>
                <w:szCs w:val="18"/>
              </w:rPr>
              <w:t>144</w:t>
            </w:r>
          </w:p>
        </w:tc>
        <w:tc>
          <w:tcPr>
            <w:tcW w:w="1045" w:type="pct"/>
            <w:vMerge/>
            <w:tcBorders>
              <w:top w:val="nil"/>
              <w:left w:val="single" w:sz="8" w:space="0" w:color="auto"/>
              <w:bottom w:val="single" w:sz="4" w:space="0" w:color="000000"/>
              <w:right w:val="single" w:sz="8" w:space="0" w:color="auto"/>
            </w:tcBorders>
            <w:vAlign w:val="bottom"/>
            <w:hideMark/>
          </w:tcPr>
          <w:p w14:paraId="64C8B186" w14:textId="77777777" w:rsidR="0080344A" w:rsidRPr="003D56F0" w:rsidRDefault="0080344A" w:rsidP="003D56F0">
            <w:pPr>
              <w:rPr>
                <w:sz w:val="18"/>
                <w:szCs w:val="18"/>
              </w:rPr>
            </w:pPr>
          </w:p>
        </w:tc>
        <w:tc>
          <w:tcPr>
            <w:tcW w:w="746" w:type="pct"/>
            <w:vMerge/>
            <w:tcBorders>
              <w:top w:val="nil"/>
              <w:left w:val="single" w:sz="8" w:space="0" w:color="auto"/>
              <w:bottom w:val="single" w:sz="4" w:space="0" w:color="000000"/>
              <w:right w:val="single" w:sz="8" w:space="0" w:color="auto"/>
            </w:tcBorders>
            <w:vAlign w:val="bottom"/>
            <w:hideMark/>
          </w:tcPr>
          <w:p w14:paraId="024F4770" w14:textId="77777777" w:rsidR="0080344A" w:rsidRPr="003D56F0" w:rsidRDefault="0080344A" w:rsidP="003D56F0">
            <w:pPr>
              <w:rPr>
                <w:sz w:val="18"/>
                <w:szCs w:val="18"/>
              </w:rPr>
            </w:pPr>
          </w:p>
        </w:tc>
        <w:tc>
          <w:tcPr>
            <w:tcW w:w="672" w:type="pct"/>
            <w:vMerge/>
            <w:tcBorders>
              <w:top w:val="nil"/>
              <w:left w:val="single" w:sz="8" w:space="0" w:color="auto"/>
              <w:bottom w:val="single" w:sz="4" w:space="0" w:color="000000"/>
              <w:right w:val="single" w:sz="4" w:space="0" w:color="000000"/>
            </w:tcBorders>
            <w:vAlign w:val="bottom"/>
            <w:hideMark/>
          </w:tcPr>
          <w:p w14:paraId="36743A6D" w14:textId="77777777" w:rsidR="0080344A" w:rsidRPr="003D56F0" w:rsidRDefault="0080344A" w:rsidP="003D56F0">
            <w:pPr>
              <w:rPr>
                <w:sz w:val="18"/>
                <w:szCs w:val="18"/>
              </w:rPr>
            </w:pPr>
          </w:p>
        </w:tc>
      </w:tr>
    </w:tbl>
    <w:p w14:paraId="1F3E3471" w14:textId="77777777" w:rsidR="0080344A" w:rsidRDefault="0080344A" w:rsidP="00CC7EC2"/>
    <w:p w14:paraId="475E4D88" w14:textId="788C0C92" w:rsidR="00424862" w:rsidRDefault="00424862" w:rsidP="00AD2788">
      <w:r>
        <w:t xml:space="preserve">The intervention was not cost effective under either scenario. Only if the intervention effects were maintained over two years, and the intervention cost less than £88 (£22 per hour of client contact), would it be cost effective </w:t>
      </w:r>
      <w:r w:rsidR="00BA74E7">
        <w:t>at a willingness-to-pay threshold of £20,000/QALY</w:t>
      </w:r>
      <w:r w:rsidR="00940B3D">
        <w:t xml:space="preserve">. </w:t>
      </w:r>
    </w:p>
    <w:p w14:paraId="07D135D3" w14:textId="77777777" w:rsidR="00424862" w:rsidRDefault="00424862"/>
    <w:p w14:paraId="59D43719" w14:textId="77777777" w:rsidR="00FB7674" w:rsidRDefault="00424862">
      <w:r w:rsidRPr="00372280">
        <w:t xml:space="preserve">This cost per QALY is from a broad perspective; it includes healthcare costs (which </w:t>
      </w:r>
      <w:r>
        <w:t>will be mainly borne by the NHS</w:t>
      </w:r>
      <w:r w:rsidR="00FB7674">
        <w:t>)</w:t>
      </w:r>
      <w:r w:rsidRPr="00372280">
        <w:t xml:space="preserve">, drug treatment costs (services which are typically commissioned by local authority public health teams in England), and crime costs (which are borne by the criminal justice system). </w:t>
      </w:r>
    </w:p>
    <w:p w14:paraId="4CCF8355" w14:textId="77777777" w:rsidR="00FB7674" w:rsidRDefault="00FB7674"/>
    <w:p w14:paraId="1B079B53" w14:textId="77777777" w:rsidR="00FB7674" w:rsidRDefault="00424862">
      <w:r w:rsidRPr="00372280">
        <w:t xml:space="preserve">The cost effectiveness of the intervention is very sensitive to the discount rate as many of the QALYs lost are through early deaths from cocaine use. </w:t>
      </w:r>
    </w:p>
    <w:p w14:paraId="43C155FD" w14:textId="77777777" w:rsidR="00424862" w:rsidRDefault="00424862"/>
    <w:p w14:paraId="1FC645B2" w14:textId="77777777" w:rsidR="0080344A" w:rsidRPr="00AC2C72" w:rsidRDefault="0080344A">
      <w:pPr>
        <w:pStyle w:val="Heading6"/>
      </w:pPr>
      <w:r w:rsidRPr="00AC2C72">
        <w:t>One-way sensitivity analysis (Tornado diagram)</w:t>
      </w:r>
    </w:p>
    <w:p w14:paraId="146C6F0B" w14:textId="77777777" w:rsidR="0080344A" w:rsidRDefault="0080344A"/>
    <w:p w14:paraId="1EECC760" w14:textId="489DE9FA" w:rsidR="0080344A" w:rsidRDefault="0080344A">
      <w:r>
        <w:t xml:space="preserve">A univariate sensitivity analysis was carried out which found that model results were most sensitive to uncertainty in drug use in the intervention and control groups, to the risk of becoming dependent to cocaine and the QALYs lost from dependence, and to the QALYs lost from cocaine and CVD related deaths (see </w:t>
      </w:r>
      <w:r>
        <w:fldChar w:fldCharType="begin"/>
      </w:r>
      <w:r>
        <w:instrText xml:space="preserve"> REF _Ref448418962 \h </w:instrText>
      </w:r>
      <w:r w:rsidR="00940B3D">
        <w:instrText xml:space="preserve"> \* MERGEFORMAT </w:instrText>
      </w:r>
      <w:r>
        <w:fldChar w:fldCharType="separate"/>
      </w:r>
      <w:r w:rsidR="0087365D">
        <w:t xml:space="preserve">Figure </w:t>
      </w:r>
      <w:r w:rsidR="0087365D">
        <w:rPr>
          <w:noProof/>
        </w:rPr>
        <w:t>16</w:t>
      </w:r>
      <w:r>
        <w:fldChar w:fldCharType="end"/>
      </w:r>
      <w:r>
        <w:t>). This varied the drug use in the intervention and control groups by +/- 5%, not 25% as in the other models, as if drug use was 25% higher in the intervention group the intervention would no longer be more effective than the comparator.</w:t>
      </w:r>
    </w:p>
    <w:p w14:paraId="7CA96133" w14:textId="77777777" w:rsidR="0080344A" w:rsidRDefault="0080344A"/>
    <w:p w14:paraId="0902CBA1" w14:textId="6D25EF96" w:rsidR="0080344A" w:rsidRDefault="0080344A">
      <w:pPr>
        <w:pStyle w:val="Caption"/>
      </w:pPr>
      <w:bookmarkStart w:id="61" w:name="_Ref448418962"/>
      <w:r>
        <w:lastRenderedPageBreak/>
        <w:t xml:space="preserve">Figure </w:t>
      </w:r>
      <w:fldSimple w:instr=" SEQ Figure \* ARABIC ">
        <w:r w:rsidR="0087365D">
          <w:rPr>
            <w:noProof/>
          </w:rPr>
          <w:t>16</w:t>
        </w:r>
      </w:fldSimple>
      <w:bookmarkEnd w:id="61"/>
      <w:r>
        <w:t xml:space="preserve">. Tornado diagram showing difference in net monetary benefit (NMB) for motivational interviewing intervention in young gay and bisexual men with changes in model parameters. NMB values each QALY at £20,000. </w:t>
      </w:r>
    </w:p>
    <w:p w14:paraId="4B4A9AC2" w14:textId="6365508A" w:rsidR="0080344A" w:rsidRDefault="00343081">
      <w:pPr>
        <w:rPr>
          <w:sz w:val="22"/>
        </w:rPr>
      </w:pPr>
      <w:r>
        <w:rPr>
          <w:noProof/>
        </w:rPr>
        <w:drawing>
          <wp:inline distT="0" distB="0" distL="0" distR="0" wp14:anchorId="0ABDCB0C" wp14:editId="4A445811">
            <wp:extent cx="5731510" cy="35433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3543300"/>
                    </a:xfrm>
                    <a:prstGeom prst="rect">
                      <a:avLst/>
                    </a:prstGeom>
                  </pic:spPr>
                </pic:pic>
              </a:graphicData>
            </a:graphic>
          </wp:inline>
        </w:drawing>
      </w:r>
    </w:p>
    <w:p w14:paraId="47C65070" w14:textId="58FC9C26" w:rsidR="0080344A" w:rsidRPr="00372280" w:rsidRDefault="0080344A">
      <w:pPr>
        <w:pStyle w:val="Heading6"/>
      </w:pPr>
      <w:r w:rsidRPr="00372280">
        <w:t>Discussion</w:t>
      </w:r>
      <w:r w:rsidR="003462A1">
        <w:t xml:space="preserve"> and </w:t>
      </w:r>
      <w:r w:rsidR="003462A1" w:rsidRPr="003C7FE4">
        <w:t>Limitations</w:t>
      </w:r>
    </w:p>
    <w:p w14:paraId="1E08A784" w14:textId="77777777" w:rsidR="0080344A" w:rsidRPr="00372280" w:rsidRDefault="0080344A"/>
    <w:p w14:paraId="4D0F29BA" w14:textId="77777777" w:rsidR="0080344A" w:rsidRPr="00372280" w:rsidRDefault="0080344A">
      <w:r w:rsidRPr="00372280">
        <w:t xml:space="preserve">The results suggest that this intervention would not be cost effective using a willingness to pay for a QALY of £20,000. However, if the intervention could be shown to have a longer term effect on drug use, then the intervention may be cost effective. </w:t>
      </w:r>
    </w:p>
    <w:p w14:paraId="00C10CEC" w14:textId="77777777" w:rsidR="00FB7674" w:rsidRDefault="00FB7674"/>
    <w:p w14:paraId="4C45226E" w14:textId="77777777" w:rsidR="0080344A" w:rsidRDefault="0080344A">
      <w:r w:rsidRPr="00372280">
        <w:t xml:space="preserve">The economic model suggests that the social costs of cocaine use are considerable so an intervention that could prevent cocaine use at a lower cost could be a cost effective use of resources. The main </w:t>
      </w:r>
      <w:r>
        <w:t xml:space="preserve">healthcare </w:t>
      </w:r>
      <w:r w:rsidRPr="00372280">
        <w:t>costs of cocaine were around cardiovascular disease rather than cocaine</w:t>
      </w:r>
      <w:r>
        <w:t>-</w:t>
      </w:r>
      <w:r w:rsidRPr="00372280">
        <w:t xml:space="preserve">specific costs but there is a lack of specific evidence around the UK burden of cardiovascular disease that is caused by cocaine. </w:t>
      </w:r>
    </w:p>
    <w:p w14:paraId="1346B4AC" w14:textId="32817AF0" w:rsidR="003462A1" w:rsidRDefault="003462A1" w:rsidP="003D56F0"/>
    <w:p w14:paraId="5F0F2E36" w14:textId="7AFF8F58" w:rsidR="003E77A8" w:rsidRDefault="00D65CD3" w:rsidP="00AD2788">
      <w:pPr>
        <w:pStyle w:val="Heading3"/>
      </w:pPr>
      <w:bookmarkStart w:id="62" w:name="_Toc452035647"/>
      <w:r>
        <w:t>5.3.2</w:t>
      </w:r>
      <w:r w:rsidR="007A18BC">
        <w:t xml:space="preserve"> </w:t>
      </w:r>
      <w:r w:rsidR="007352AE">
        <w:t xml:space="preserve">Model of </w:t>
      </w:r>
      <w:r w:rsidR="003E77A8">
        <w:t xml:space="preserve">Motivational Interviewing intervention to </w:t>
      </w:r>
      <w:r w:rsidR="00110AFC">
        <w:t>reduce club drug use and HIV risk b</w:t>
      </w:r>
      <w:r w:rsidR="003E77A8" w:rsidRPr="003E77A8">
        <w:t xml:space="preserve">ehaviors </w:t>
      </w:r>
      <w:r w:rsidR="00110AFC">
        <w:t>among men who have sex with men</w:t>
      </w:r>
      <w:r w:rsidR="003E77A8">
        <w:t>, based on Morgenstern et al., (2009).</w:t>
      </w:r>
      <w:bookmarkEnd w:id="62"/>
    </w:p>
    <w:p w14:paraId="32E0DFC2" w14:textId="77777777" w:rsidR="003E77A8" w:rsidRDefault="003E77A8"/>
    <w:p w14:paraId="22E1077F" w14:textId="2A7D0E4C" w:rsidR="0051256B" w:rsidRDefault="0051256B" w:rsidP="003D56F0">
      <w:pPr>
        <w:pStyle w:val="Heading6"/>
      </w:pPr>
      <w:r>
        <w:t>Study</w:t>
      </w:r>
    </w:p>
    <w:p w14:paraId="77AA685F" w14:textId="77777777" w:rsidR="0051256B" w:rsidRDefault="0051256B"/>
    <w:p w14:paraId="4D3759C3" w14:textId="77777777" w:rsidR="0043681A" w:rsidRDefault="003E77A8">
      <w:r>
        <w:t xml:space="preserve">This intervention compared four sessions of motivational interviewing (MI) with educational controls in reducing drug use and HIV risk behaviours in men who have </w:t>
      </w:r>
      <w:r>
        <w:lastRenderedPageBreak/>
        <w:t xml:space="preserve">sex with men in New York. The main drug used was cocaine (12.8%), also methamphetamine (9.8%), and ecstasy (7.1%). Methamphetamine use is rare in the UK, although is reported to be more common </w:t>
      </w:r>
      <w:r w:rsidR="00763679">
        <w:t xml:space="preserve">in MSM than some other groups </w:t>
      </w:r>
      <w:r w:rsidR="00763679">
        <w:fldChar w:fldCharType="begin" w:fldLock="1"/>
      </w:r>
      <w:r w:rsidR="00763679">
        <w:instrText>ADDIN CSL_CITATION { "citationItems" : [ { "id" : "ITEM-1", "itemData" : { "DOI" : "10.1136/sextrans-2015-052052", "ISBN" : "1368-4973", "ISSN" : "1472-3263", "PMID" : "26163510", "abstract" : "BACKGROUND: 'Chemsex' is a colloquial term used in the UK that describes sex under the influence of psychoactive substances (typically crystal methamphetamine, mephedrone and gamma-hydroxybutyric acid (GHB)/gamma-butyrolactone (GBL)). Recently, concern has been raised as to the impact of such behaviour on HIV/sexually transmitted infection (STI) transmission risk behaviour, which this qualitative study aimed to explore via semistructured interviews with gay men living in three South London boroughs.\\n\\nMETHODS: Interviews were conducted with 30 community-recruited gay men (age range 21-53) who lived in the boroughs of Lambeth, Southwark and Lewisham, and who had used crystal methamphetamine, mephedrone or GHB/GBL either immediately before or during sex with another man during the previous 12\u2005months. Data were subjected to a thematic analysis.\\n\\nRESULTS: Chemsex typically featured more partners and a longer duration than other forms of sex, and the relationship between drug use and HIV/STI transmission risk behaviour was varied. While some men believed that engaging in chemsex had unwittingly led them to take risks, others maintained strict personal rules about having safer sex. Among many participants with diagnosed HIV, there was little evidence that the use of drugs had significantly influenced their engagement in condomless anal intercourse (primarily with other men believed to be HIV positive), but their use had facilitated sex with more men and for longer.\\n\\nCONCLUSIONS: Analysis revealed that, within this sample, chemsex is never less risky than sex without drugs, and is sometimes more so. Targeted clinic-based and community-based harm reduction and sexual health interventions are required to address the prevention needs of gay men combining psychoactive substances with sex.", "author" : [ { "dropping-particle" : "", "family" : "Bourne", "given" : "A", "non-dropping-particle" : "", "parse-names" : false, "suffix" : "" }, { "dropping-particle" : "", "family" : "Reid", "given" : "D", "non-dropping-particle" : "", "parse-names" : false, "suffix" : "" }, { "dropping-particle" : "", "family" : "Hickson", "given" : "F", "non-dropping-particle" : "", "parse-names" : false, "suffix" : "" }, { "dropping-particle" : "", "family" : "Torres-Rueda", "given" : "S", "non-dropping-particle" : "", "parse-names" : false, "suffix" : "" }, { "dropping-particle" : "", "family" : "Weatherburn", "given" : "P", "non-dropping-particle" : "", "parse-names" : false, "suffix" : "" } ], "container-title" : "Sexually transmitted infections", "id" : "ITEM-1", "issue" : "8", "issued" : { "date-parts" : [ [ "2015" ] ] }, "page" : "564-568", "title" : "Illicit drug use in sexual settings ('chemsex') and HIV/STI transmission risk behaviour among gay men in South London: findings from a qualitative study.", "type" : "article-journal", "volume" : "91" }, "uris" : [ "http://www.mendeley.com/documents/?uuid=e90f8702-e2b1-47d3-8927-1d2cf9ffdf42" ] } ], "mendeley" : { "formattedCitation" : "(Bourne et al. 2015)", "plainTextFormattedCitation" : "(Bourne et al. 2015)", "previouslyFormattedCitation" : "(Bourne et al. 2015)" }, "properties" : { "noteIndex" : 0 }, "schema" : "https://github.com/citation-style-language/schema/raw/master/csl-citation.json" }</w:instrText>
      </w:r>
      <w:r w:rsidR="00763679">
        <w:fldChar w:fldCharType="separate"/>
      </w:r>
      <w:r w:rsidR="00763679" w:rsidRPr="00763679">
        <w:rPr>
          <w:noProof/>
        </w:rPr>
        <w:t>(Bourne et al. 2015)</w:t>
      </w:r>
      <w:r w:rsidR="00763679">
        <w:fldChar w:fldCharType="end"/>
      </w:r>
      <w:r>
        <w:t xml:space="preserve">. The model was based on cocaine use as cocaine was the most harmful drug used in the participants that is commonly used in the UK. </w:t>
      </w:r>
    </w:p>
    <w:p w14:paraId="42EB6D66" w14:textId="091D6CC4" w:rsidR="0051256B" w:rsidRDefault="0051256B">
      <w:r>
        <w:t>Drug use was reported in terms of days of drug use rather than prevalence of drug use. For the purposes of the model, d</w:t>
      </w:r>
      <w:r w:rsidRPr="002B4D2F">
        <w:t xml:space="preserve">rug use prevalence was assumed to reduce </w:t>
      </w:r>
      <w:r>
        <w:t>in line with days of drug use</w:t>
      </w:r>
      <w:r w:rsidR="004D24F1">
        <w:t>.</w:t>
      </w:r>
    </w:p>
    <w:p w14:paraId="1B25DCD1" w14:textId="77777777" w:rsidR="0043681A" w:rsidRDefault="0043681A"/>
    <w:p w14:paraId="5F19CA75" w14:textId="77777777" w:rsidR="0051256B" w:rsidRDefault="0051256B">
      <w:pPr>
        <w:pStyle w:val="Heading6"/>
      </w:pPr>
      <w:r>
        <w:t>Population</w:t>
      </w:r>
    </w:p>
    <w:p w14:paraId="7B78D9FE" w14:textId="77777777" w:rsidR="0051256B" w:rsidRPr="00EE4E11" w:rsidRDefault="0051256B"/>
    <w:p w14:paraId="664FF043" w14:textId="77777777" w:rsidR="0051256B" w:rsidRDefault="0051256B">
      <w:r>
        <w:t>The population for the study was aged 18 to 65 years old with an average age of 37.8 (SD 8.8) years. In this respect the population was older than the populations for other drug use prevention interventions we have modelled. The risk of cocaine dependence was based on 30-40 year olds while the lost QALYs from early deaths associated with cocaine were based on 39 year olds.</w:t>
      </w:r>
    </w:p>
    <w:p w14:paraId="0CABB2ED" w14:textId="77777777" w:rsidR="0051256B" w:rsidRDefault="0051256B"/>
    <w:p w14:paraId="4DC38E17" w14:textId="46B7A351" w:rsidR="0043681A" w:rsidRPr="0043681A" w:rsidRDefault="0051256B" w:rsidP="003D56F0">
      <w:pPr>
        <w:pStyle w:val="Heading6"/>
      </w:pPr>
      <w:r>
        <w:t>D</w:t>
      </w:r>
      <w:r w:rsidR="0043681A" w:rsidRPr="0043681A">
        <w:t>ecision tree</w:t>
      </w:r>
    </w:p>
    <w:p w14:paraId="21A70A8A" w14:textId="6113714B" w:rsidR="00EE4E11" w:rsidRDefault="00EE4E11" w:rsidP="00AD2788"/>
    <w:p w14:paraId="16EEB235" w14:textId="59CFF2BA" w:rsidR="00075E1D" w:rsidRDefault="00EE4E11">
      <w:r>
        <w:t xml:space="preserve">The decision tree structure is shown in </w:t>
      </w:r>
      <w:r>
        <w:fldChar w:fldCharType="begin"/>
      </w:r>
      <w:r>
        <w:instrText xml:space="preserve"> REF _Ref448419024 \h </w:instrText>
      </w:r>
      <w:r w:rsidR="00940B3D">
        <w:instrText xml:space="preserve"> \* MERGEFORMAT </w:instrText>
      </w:r>
      <w:r>
        <w:fldChar w:fldCharType="separate"/>
      </w:r>
      <w:r w:rsidR="0087365D">
        <w:t xml:space="preserve">Figure </w:t>
      </w:r>
      <w:r w:rsidR="0087365D">
        <w:rPr>
          <w:noProof/>
        </w:rPr>
        <w:t>17</w:t>
      </w:r>
      <w:r>
        <w:fldChar w:fldCharType="end"/>
      </w:r>
      <w:r>
        <w:t xml:space="preserve">. </w:t>
      </w:r>
      <w:r w:rsidR="00475018" w:rsidRPr="00862F32">
        <w:t xml:space="preserve">The intervention effects were modelled for two years only. </w:t>
      </w:r>
      <w:r w:rsidR="00862F32">
        <w:t>The study reported days of drug use rather than prevalence. All participants were drug users at baseline and drug</w:t>
      </w:r>
      <w:r w:rsidR="00D36E3E">
        <w:t xml:space="preserve"> u</w:t>
      </w:r>
      <w:r w:rsidR="00862F32">
        <w:t xml:space="preserve">se prevalence was assumed to decrease in </w:t>
      </w:r>
      <w:r w:rsidR="00D36E3E">
        <w:t>proportion to</w:t>
      </w:r>
      <w:r w:rsidR="00862F32">
        <w:t xml:space="preserve"> days of drug use. </w:t>
      </w:r>
      <w:r w:rsidR="00D36E3E">
        <w:t xml:space="preserve">In the base case scenario drug use was assumed to rebound back between 12 months and 24 months, whereas in the 2 year reduction scenario, drug use was assumed to continue to decrease in a linear fashion, with drug use in the intervention group reaching zero at 21 months, and drug use in the control group being at 32% in the control group at 24 months. Outcomes were based on the average </w:t>
      </w:r>
      <w:r w:rsidR="008527AA">
        <w:t xml:space="preserve">estimated </w:t>
      </w:r>
      <w:r w:rsidR="00D36E3E">
        <w:t xml:space="preserve">prevalence of drug use in the two groups over the two year time period.  </w:t>
      </w:r>
    </w:p>
    <w:p w14:paraId="20964ECC" w14:textId="1EC5285E" w:rsidR="00075E1D" w:rsidRDefault="00075E1D">
      <w:pPr>
        <w:pStyle w:val="Caption"/>
      </w:pPr>
      <w:bookmarkStart w:id="63" w:name="_Ref448419024"/>
      <w:r>
        <w:lastRenderedPageBreak/>
        <w:t xml:space="preserve">Figure </w:t>
      </w:r>
      <w:fldSimple w:instr=" SEQ Figure \* ARABIC ">
        <w:r w:rsidR="00D36E3E">
          <w:rPr>
            <w:noProof/>
          </w:rPr>
          <w:t>17</w:t>
        </w:r>
      </w:fldSimple>
      <w:bookmarkEnd w:id="63"/>
      <w:r>
        <w:t>. Decision tree of model of motivational interviewing intervention to reduce club drug use in men who have sex with men.</w:t>
      </w:r>
    </w:p>
    <w:p w14:paraId="5D7D44A8" w14:textId="13907D21" w:rsidR="00075E1D" w:rsidRDefault="00075E1D">
      <w:r w:rsidRPr="00075E1D">
        <w:rPr>
          <w:noProof/>
        </w:rPr>
        <w:drawing>
          <wp:inline distT="0" distB="0" distL="0" distR="0" wp14:anchorId="69EFEE53" wp14:editId="0E5BDDFA">
            <wp:extent cx="5271942" cy="4669923"/>
            <wp:effectExtent l="0" t="0" r="508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2815" cy="4670696"/>
                    </a:xfrm>
                    <a:prstGeom prst="rect">
                      <a:avLst/>
                    </a:prstGeom>
                    <a:noFill/>
                    <a:ln>
                      <a:noFill/>
                    </a:ln>
                  </pic:spPr>
                </pic:pic>
              </a:graphicData>
            </a:graphic>
          </wp:inline>
        </w:drawing>
      </w:r>
    </w:p>
    <w:p w14:paraId="4A0EBA14" w14:textId="77777777" w:rsidR="003E77A8" w:rsidRDefault="003E77A8"/>
    <w:p w14:paraId="76FB85B4" w14:textId="7BB99387" w:rsidR="00D4647A" w:rsidRDefault="00D4647A" w:rsidP="003D56F0">
      <w:pPr>
        <w:rPr>
          <w:color w:val="4F81BD" w:themeColor="accent1"/>
          <w:sz w:val="22"/>
        </w:rPr>
      </w:pPr>
    </w:p>
    <w:p w14:paraId="2E38BCA8" w14:textId="77777777" w:rsidR="003E77A8" w:rsidRPr="00DE340A" w:rsidRDefault="003E77A8" w:rsidP="00CC7EC2">
      <w:pPr>
        <w:pStyle w:val="Heading6"/>
      </w:pPr>
      <w:r w:rsidRPr="00DE340A">
        <w:t>Results</w:t>
      </w:r>
    </w:p>
    <w:p w14:paraId="04AA4845" w14:textId="696EC1AF" w:rsidR="008527AA" w:rsidRDefault="008527AA">
      <w:r>
        <w:t xml:space="preserve">The model results are shown in </w:t>
      </w:r>
      <w:r>
        <w:fldChar w:fldCharType="begin"/>
      </w:r>
      <w:r>
        <w:instrText xml:space="preserve"> REF _Ref452034488 \h </w:instrText>
      </w:r>
      <w:r>
        <w:fldChar w:fldCharType="separate"/>
      </w:r>
      <w:r w:rsidR="000D2733">
        <w:t xml:space="preserve">Table </w:t>
      </w:r>
      <w:r w:rsidR="000D2733">
        <w:rPr>
          <w:noProof/>
        </w:rPr>
        <w:t>12</w:t>
      </w:r>
      <w:r>
        <w:fldChar w:fldCharType="end"/>
      </w:r>
      <w:r>
        <w:t xml:space="preserve">. The intervention does not come out as cost effective in the base case scenario and is not quite cost effective in the 2 year reduction scenario if compared to a willingness to pay for a QALY of £20,000. The intervention had a significant effect in terms of reducing drug use but because the individuals were older on average the opportunity to save QALYs from dependence and early death was lower when applied to the population assumptions. </w:t>
      </w:r>
    </w:p>
    <w:p w14:paraId="21DCFF27" w14:textId="1C742E71" w:rsidR="008527AA" w:rsidRDefault="008527AA">
      <w:pPr>
        <w:spacing w:after="200"/>
      </w:pPr>
    </w:p>
    <w:p w14:paraId="5CEF5A89" w14:textId="195D9164" w:rsidR="002E665E" w:rsidRDefault="002E665E">
      <w:pPr>
        <w:pStyle w:val="Caption"/>
      </w:pPr>
      <w:bookmarkStart w:id="64" w:name="_Ref452034488"/>
      <w:r>
        <w:t xml:space="preserve">Table </w:t>
      </w:r>
      <w:fldSimple w:instr=" SEQ Table \* ARABIC ">
        <w:r w:rsidR="00D00623">
          <w:rPr>
            <w:noProof/>
          </w:rPr>
          <w:t>12</w:t>
        </w:r>
      </w:fldSimple>
      <w:bookmarkEnd w:id="64"/>
      <w:r>
        <w:t xml:space="preserve">. Results </w:t>
      </w:r>
      <w:r w:rsidRPr="00DB1B0D">
        <w:t xml:space="preserve">from economic model based on </w:t>
      </w:r>
      <w:r>
        <w:t>Morgenstern et al., (2009)</w:t>
      </w:r>
    </w:p>
    <w:p w14:paraId="6D24056C" w14:textId="71DEC6D3" w:rsidR="002E665E" w:rsidRPr="003D56F0" w:rsidRDefault="0017442A" w:rsidP="001C12B3">
      <w:pPr>
        <w:keepNext/>
        <w:rPr>
          <w:sz w:val="18"/>
          <w:szCs w:val="18"/>
        </w:rPr>
      </w:pPr>
      <w:r w:rsidRPr="003D56F0">
        <w:rPr>
          <w:sz w:val="18"/>
          <w:szCs w:val="18"/>
        </w:rPr>
        <w:t>Base case scenario</w:t>
      </w:r>
    </w:p>
    <w:tbl>
      <w:tblPr>
        <w:tblW w:w="5000" w:type="pct"/>
        <w:tblLook w:val="04A0" w:firstRow="1" w:lastRow="0" w:firstColumn="1" w:lastColumn="0" w:noHBand="0" w:noVBand="1"/>
      </w:tblPr>
      <w:tblGrid>
        <w:gridCol w:w="1374"/>
        <w:gridCol w:w="1946"/>
        <w:gridCol w:w="1377"/>
        <w:gridCol w:w="1928"/>
        <w:gridCol w:w="1377"/>
        <w:gridCol w:w="1240"/>
      </w:tblGrid>
      <w:tr w:rsidR="002E665E" w:rsidRPr="003D56F0" w14:paraId="62DEC2C7" w14:textId="77777777" w:rsidTr="003D56F0">
        <w:trPr>
          <w:trHeight w:val="525"/>
        </w:trPr>
        <w:tc>
          <w:tcPr>
            <w:tcW w:w="743" w:type="pct"/>
            <w:tcBorders>
              <w:top w:val="single" w:sz="4" w:space="0" w:color="000000"/>
              <w:left w:val="single" w:sz="4" w:space="0" w:color="000000"/>
              <w:bottom w:val="single" w:sz="8" w:space="0" w:color="auto"/>
              <w:right w:val="single" w:sz="8" w:space="0" w:color="auto"/>
            </w:tcBorders>
            <w:shd w:val="clear" w:color="auto" w:fill="auto"/>
            <w:hideMark/>
          </w:tcPr>
          <w:p w14:paraId="070BE61E" w14:textId="77777777" w:rsidR="002E665E" w:rsidRPr="003D56F0" w:rsidRDefault="002E665E" w:rsidP="001C12B3">
            <w:pPr>
              <w:keepNext/>
              <w:rPr>
                <w:sz w:val="18"/>
                <w:szCs w:val="18"/>
              </w:rPr>
            </w:pPr>
            <w:r w:rsidRPr="003D56F0">
              <w:rPr>
                <w:sz w:val="18"/>
                <w:szCs w:val="18"/>
              </w:rPr>
              <w:t> </w:t>
            </w:r>
          </w:p>
        </w:tc>
        <w:tc>
          <w:tcPr>
            <w:tcW w:w="1053" w:type="pct"/>
            <w:tcBorders>
              <w:top w:val="single" w:sz="4" w:space="0" w:color="000000"/>
              <w:left w:val="nil"/>
              <w:bottom w:val="single" w:sz="8" w:space="0" w:color="auto"/>
              <w:right w:val="single" w:sz="8" w:space="0" w:color="auto"/>
            </w:tcBorders>
            <w:shd w:val="clear" w:color="auto" w:fill="auto"/>
            <w:hideMark/>
          </w:tcPr>
          <w:p w14:paraId="6E87B13C" w14:textId="77777777" w:rsidR="002E665E" w:rsidRPr="003D56F0" w:rsidRDefault="002E665E" w:rsidP="001C12B3">
            <w:pPr>
              <w:keepNext/>
              <w:rPr>
                <w:b/>
                <w:sz w:val="18"/>
                <w:szCs w:val="18"/>
              </w:rPr>
            </w:pPr>
            <w:r w:rsidRPr="003D56F0">
              <w:rPr>
                <w:b/>
                <w:sz w:val="18"/>
                <w:szCs w:val="18"/>
              </w:rPr>
              <w:t>Total costs (£)</w:t>
            </w:r>
          </w:p>
        </w:tc>
        <w:tc>
          <w:tcPr>
            <w:tcW w:w="745" w:type="pct"/>
            <w:tcBorders>
              <w:top w:val="single" w:sz="4" w:space="0" w:color="000000"/>
              <w:left w:val="nil"/>
              <w:bottom w:val="single" w:sz="8" w:space="0" w:color="auto"/>
              <w:right w:val="single" w:sz="8" w:space="0" w:color="auto"/>
            </w:tcBorders>
            <w:shd w:val="clear" w:color="auto" w:fill="auto"/>
            <w:hideMark/>
          </w:tcPr>
          <w:p w14:paraId="66A74EAB" w14:textId="77777777" w:rsidR="002E665E" w:rsidRPr="003D56F0" w:rsidRDefault="002E665E" w:rsidP="001C12B3">
            <w:pPr>
              <w:keepNext/>
              <w:rPr>
                <w:b/>
                <w:sz w:val="18"/>
                <w:szCs w:val="18"/>
              </w:rPr>
            </w:pPr>
            <w:r w:rsidRPr="003D56F0">
              <w:rPr>
                <w:b/>
                <w:sz w:val="18"/>
                <w:szCs w:val="18"/>
              </w:rPr>
              <w:t>Total QALYs lost</w:t>
            </w:r>
          </w:p>
        </w:tc>
        <w:tc>
          <w:tcPr>
            <w:tcW w:w="1043" w:type="pct"/>
            <w:tcBorders>
              <w:top w:val="single" w:sz="4" w:space="0" w:color="000000"/>
              <w:left w:val="nil"/>
              <w:bottom w:val="single" w:sz="8" w:space="0" w:color="auto"/>
              <w:right w:val="single" w:sz="8" w:space="0" w:color="auto"/>
            </w:tcBorders>
            <w:shd w:val="clear" w:color="auto" w:fill="auto"/>
            <w:hideMark/>
          </w:tcPr>
          <w:p w14:paraId="3B81EA56" w14:textId="77777777" w:rsidR="002E665E" w:rsidRPr="003D56F0" w:rsidRDefault="002E665E" w:rsidP="001C12B3">
            <w:pPr>
              <w:keepNext/>
              <w:rPr>
                <w:b/>
                <w:sz w:val="18"/>
                <w:szCs w:val="18"/>
              </w:rPr>
            </w:pPr>
            <w:r w:rsidRPr="003D56F0">
              <w:rPr>
                <w:b/>
                <w:sz w:val="18"/>
                <w:szCs w:val="18"/>
              </w:rPr>
              <w:t>Incremental costs (£)</w:t>
            </w:r>
          </w:p>
        </w:tc>
        <w:tc>
          <w:tcPr>
            <w:tcW w:w="745" w:type="pct"/>
            <w:tcBorders>
              <w:top w:val="single" w:sz="4" w:space="0" w:color="000000"/>
              <w:left w:val="nil"/>
              <w:bottom w:val="single" w:sz="8" w:space="0" w:color="auto"/>
              <w:right w:val="single" w:sz="8" w:space="0" w:color="auto"/>
            </w:tcBorders>
            <w:shd w:val="clear" w:color="auto" w:fill="auto"/>
            <w:hideMark/>
          </w:tcPr>
          <w:p w14:paraId="0207B485" w14:textId="77777777" w:rsidR="002E665E" w:rsidRPr="003D56F0" w:rsidRDefault="002E665E" w:rsidP="001C12B3">
            <w:pPr>
              <w:keepNext/>
              <w:rPr>
                <w:b/>
                <w:sz w:val="18"/>
                <w:szCs w:val="18"/>
              </w:rPr>
            </w:pPr>
            <w:r w:rsidRPr="003D56F0">
              <w:rPr>
                <w:b/>
                <w:sz w:val="18"/>
                <w:szCs w:val="18"/>
              </w:rPr>
              <w:t>Incremental QALYs</w:t>
            </w:r>
          </w:p>
        </w:tc>
        <w:tc>
          <w:tcPr>
            <w:tcW w:w="671" w:type="pct"/>
            <w:tcBorders>
              <w:top w:val="single" w:sz="4" w:space="0" w:color="000000"/>
              <w:left w:val="nil"/>
              <w:bottom w:val="single" w:sz="8" w:space="0" w:color="auto"/>
              <w:right w:val="single" w:sz="4" w:space="0" w:color="000000"/>
            </w:tcBorders>
            <w:shd w:val="clear" w:color="auto" w:fill="auto"/>
            <w:hideMark/>
          </w:tcPr>
          <w:p w14:paraId="7CA50C88" w14:textId="77777777" w:rsidR="002E665E" w:rsidRPr="003D56F0" w:rsidRDefault="002E665E" w:rsidP="001C12B3">
            <w:pPr>
              <w:keepNext/>
              <w:rPr>
                <w:b/>
                <w:sz w:val="18"/>
                <w:szCs w:val="18"/>
              </w:rPr>
            </w:pPr>
            <w:r w:rsidRPr="003D56F0">
              <w:rPr>
                <w:b/>
                <w:sz w:val="18"/>
                <w:szCs w:val="18"/>
              </w:rPr>
              <w:t>ICER (£) (QALYs)</w:t>
            </w:r>
          </w:p>
        </w:tc>
      </w:tr>
      <w:tr w:rsidR="002E665E" w:rsidRPr="003D56F0" w14:paraId="56C02A29" w14:textId="77777777" w:rsidTr="003D56F0">
        <w:trPr>
          <w:trHeight w:val="300"/>
        </w:trPr>
        <w:tc>
          <w:tcPr>
            <w:tcW w:w="743" w:type="pct"/>
            <w:tcBorders>
              <w:top w:val="nil"/>
              <w:left w:val="single" w:sz="4" w:space="0" w:color="000000"/>
              <w:bottom w:val="single" w:sz="8" w:space="0" w:color="auto"/>
              <w:right w:val="single" w:sz="8" w:space="0" w:color="auto"/>
            </w:tcBorders>
            <w:shd w:val="clear" w:color="auto" w:fill="auto"/>
            <w:hideMark/>
          </w:tcPr>
          <w:p w14:paraId="16E3495A" w14:textId="77777777" w:rsidR="002E665E" w:rsidRPr="003D56F0" w:rsidRDefault="002E665E" w:rsidP="001C12B3">
            <w:pPr>
              <w:keepNext/>
              <w:rPr>
                <w:sz w:val="18"/>
                <w:szCs w:val="18"/>
              </w:rPr>
            </w:pPr>
            <w:r w:rsidRPr="003D56F0">
              <w:rPr>
                <w:sz w:val="18"/>
                <w:szCs w:val="18"/>
              </w:rPr>
              <w:t>Intervention</w:t>
            </w:r>
          </w:p>
        </w:tc>
        <w:tc>
          <w:tcPr>
            <w:tcW w:w="1053" w:type="pct"/>
            <w:tcBorders>
              <w:top w:val="single" w:sz="4" w:space="0" w:color="auto"/>
              <w:left w:val="single" w:sz="4" w:space="0" w:color="auto"/>
              <w:bottom w:val="single" w:sz="8" w:space="0" w:color="auto"/>
              <w:right w:val="single" w:sz="4" w:space="0" w:color="auto"/>
            </w:tcBorders>
            <w:shd w:val="clear" w:color="auto" w:fill="auto"/>
            <w:noWrap/>
            <w:hideMark/>
          </w:tcPr>
          <w:p w14:paraId="2881BB3E" w14:textId="77777777" w:rsidR="002E665E" w:rsidRPr="003D56F0" w:rsidRDefault="002E665E" w:rsidP="001C12B3">
            <w:pPr>
              <w:keepNext/>
              <w:rPr>
                <w:rFonts w:eastAsia="Times New Roman"/>
                <w:color w:val="000000"/>
                <w:sz w:val="18"/>
                <w:szCs w:val="18"/>
              </w:rPr>
            </w:pPr>
            <w:r w:rsidRPr="003D56F0">
              <w:rPr>
                <w:sz w:val="18"/>
                <w:szCs w:val="18"/>
              </w:rPr>
              <w:t>£8,217,791</w:t>
            </w:r>
          </w:p>
        </w:tc>
        <w:tc>
          <w:tcPr>
            <w:tcW w:w="745" w:type="pct"/>
            <w:tcBorders>
              <w:top w:val="single" w:sz="4" w:space="0" w:color="auto"/>
              <w:left w:val="nil"/>
              <w:bottom w:val="single" w:sz="8" w:space="0" w:color="auto"/>
              <w:right w:val="single" w:sz="4" w:space="0" w:color="auto"/>
            </w:tcBorders>
            <w:shd w:val="clear" w:color="auto" w:fill="auto"/>
            <w:noWrap/>
            <w:hideMark/>
          </w:tcPr>
          <w:p w14:paraId="13F9002F" w14:textId="77777777" w:rsidR="002E665E" w:rsidRPr="003D56F0" w:rsidRDefault="002E665E" w:rsidP="001C12B3">
            <w:pPr>
              <w:keepNext/>
              <w:rPr>
                <w:rFonts w:eastAsia="Times New Roman"/>
                <w:color w:val="000000"/>
                <w:sz w:val="18"/>
                <w:szCs w:val="18"/>
              </w:rPr>
            </w:pPr>
            <w:r w:rsidRPr="003D56F0">
              <w:rPr>
                <w:sz w:val="18"/>
                <w:szCs w:val="18"/>
              </w:rPr>
              <w:t>183</w:t>
            </w:r>
          </w:p>
        </w:tc>
        <w:tc>
          <w:tcPr>
            <w:tcW w:w="1043" w:type="pct"/>
            <w:vMerge w:val="restart"/>
            <w:tcBorders>
              <w:top w:val="nil"/>
              <w:left w:val="single" w:sz="8" w:space="0" w:color="auto"/>
              <w:bottom w:val="single" w:sz="4" w:space="0" w:color="000000"/>
              <w:right w:val="single" w:sz="8" w:space="0" w:color="auto"/>
            </w:tcBorders>
            <w:shd w:val="clear" w:color="auto" w:fill="auto"/>
            <w:hideMark/>
          </w:tcPr>
          <w:p w14:paraId="5288C990" w14:textId="77777777" w:rsidR="002E665E" w:rsidRPr="003D56F0" w:rsidRDefault="002E665E" w:rsidP="001C12B3">
            <w:pPr>
              <w:keepNext/>
              <w:rPr>
                <w:rFonts w:eastAsia="Times New Roman"/>
                <w:color w:val="000000"/>
                <w:sz w:val="18"/>
                <w:szCs w:val="18"/>
              </w:rPr>
            </w:pPr>
            <w:r w:rsidRPr="003D56F0">
              <w:rPr>
                <w:sz w:val="18"/>
                <w:szCs w:val="18"/>
              </w:rPr>
              <w:t>£5,386,242</w:t>
            </w:r>
          </w:p>
        </w:tc>
        <w:tc>
          <w:tcPr>
            <w:tcW w:w="745" w:type="pct"/>
            <w:vMerge w:val="restart"/>
            <w:tcBorders>
              <w:top w:val="nil"/>
              <w:left w:val="single" w:sz="8" w:space="0" w:color="auto"/>
              <w:bottom w:val="single" w:sz="4" w:space="0" w:color="000000"/>
              <w:right w:val="single" w:sz="8" w:space="0" w:color="auto"/>
            </w:tcBorders>
            <w:shd w:val="clear" w:color="auto" w:fill="auto"/>
            <w:hideMark/>
          </w:tcPr>
          <w:p w14:paraId="64A985E2" w14:textId="77777777" w:rsidR="002E665E" w:rsidRPr="003D56F0" w:rsidRDefault="002E665E" w:rsidP="001C12B3">
            <w:pPr>
              <w:keepNext/>
              <w:rPr>
                <w:rFonts w:eastAsia="Times New Roman"/>
                <w:color w:val="000000"/>
                <w:sz w:val="18"/>
                <w:szCs w:val="18"/>
              </w:rPr>
            </w:pPr>
            <w:r w:rsidRPr="003D56F0">
              <w:rPr>
                <w:sz w:val="18"/>
                <w:szCs w:val="18"/>
              </w:rPr>
              <w:t>41.13</w:t>
            </w:r>
          </w:p>
        </w:tc>
        <w:tc>
          <w:tcPr>
            <w:tcW w:w="671" w:type="pct"/>
            <w:vMerge w:val="restart"/>
            <w:tcBorders>
              <w:top w:val="nil"/>
              <w:left w:val="single" w:sz="8" w:space="0" w:color="auto"/>
              <w:bottom w:val="single" w:sz="4" w:space="0" w:color="000000"/>
              <w:right w:val="single" w:sz="4" w:space="0" w:color="000000"/>
            </w:tcBorders>
            <w:shd w:val="clear" w:color="auto" w:fill="auto"/>
            <w:hideMark/>
          </w:tcPr>
          <w:p w14:paraId="56821082" w14:textId="77777777" w:rsidR="002E665E" w:rsidRPr="003D56F0" w:rsidRDefault="002E665E" w:rsidP="001C12B3">
            <w:pPr>
              <w:keepNext/>
              <w:rPr>
                <w:rFonts w:eastAsia="Times New Roman"/>
                <w:color w:val="000000"/>
                <w:sz w:val="18"/>
                <w:szCs w:val="18"/>
              </w:rPr>
            </w:pPr>
            <w:r w:rsidRPr="003D56F0">
              <w:rPr>
                <w:sz w:val="18"/>
                <w:szCs w:val="18"/>
              </w:rPr>
              <w:t>£130,971</w:t>
            </w:r>
          </w:p>
        </w:tc>
      </w:tr>
      <w:tr w:rsidR="002E665E" w:rsidRPr="003D56F0" w14:paraId="74CD6592" w14:textId="77777777" w:rsidTr="003D56F0">
        <w:trPr>
          <w:trHeight w:val="300"/>
        </w:trPr>
        <w:tc>
          <w:tcPr>
            <w:tcW w:w="743" w:type="pct"/>
            <w:tcBorders>
              <w:top w:val="nil"/>
              <w:left w:val="single" w:sz="4" w:space="0" w:color="000000"/>
              <w:bottom w:val="single" w:sz="4" w:space="0" w:color="000000"/>
              <w:right w:val="single" w:sz="8" w:space="0" w:color="auto"/>
            </w:tcBorders>
            <w:shd w:val="clear" w:color="auto" w:fill="auto"/>
            <w:hideMark/>
          </w:tcPr>
          <w:p w14:paraId="251E460E" w14:textId="77777777" w:rsidR="002E665E" w:rsidRPr="003D56F0" w:rsidRDefault="002E665E" w:rsidP="001C12B3">
            <w:pPr>
              <w:keepNext/>
              <w:rPr>
                <w:sz w:val="18"/>
                <w:szCs w:val="18"/>
              </w:rPr>
            </w:pPr>
            <w:r w:rsidRPr="003D56F0">
              <w:rPr>
                <w:sz w:val="18"/>
                <w:szCs w:val="18"/>
              </w:rPr>
              <w:t>Comparator</w:t>
            </w:r>
          </w:p>
        </w:tc>
        <w:tc>
          <w:tcPr>
            <w:tcW w:w="1053" w:type="pct"/>
            <w:tcBorders>
              <w:top w:val="single" w:sz="4" w:space="0" w:color="auto"/>
              <w:left w:val="single" w:sz="4" w:space="0" w:color="auto"/>
              <w:bottom w:val="single" w:sz="8" w:space="0" w:color="auto"/>
              <w:right w:val="single" w:sz="4" w:space="0" w:color="auto"/>
            </w:tcBorders>
            <w:shd w:val="clear" w:color="auto" w:fill="auto"/>
            <w:noWrap/>
            <w:hideMark/>
          </w:tcPr>
          <w:p w14:paraId="157254CA" w14:textId="77777777" w:rsidR="002E665E" w:rsidRPr="003D56F0" w:rsidRDefault="002E665E" w:rsidP="001C12B3">
            <w:pPr>
              <w:keepNext/>
              <w:rPr>
                <w:rFonts w:eastAsia="Times New Roman"/>
                <w:color w:val="000000"/>
                <w:sz w:val="18"/>
                <w:szCs w:val="18"/>
              </w:rPr>
            </w:pPr>
            <w:r w:rsidRPr="003D56F0">
              <w:rPr>
                <w:sz w:val="18"/>
                <w:szCs w:val="18"/>
              </w:rPr>
              <w:t>£2,831,549</w:t>
            </w:r>
          </w:p>
        </w:tc>
        <w:tc>
          <w:tcPr>
            <w:tcW w:w="745" w:type="pct"/>
            <w:tcBorders>
              <w:top w:val="single" w:sz="4" w:space="0" w:color="auto"/>
              <w:left w:val="nil"/>
              <w:bottom w:val="single" w:sz="8" w:space="0" w:color="auto"/>
              <w:right w:val="single" w:sz="4" w:space="0" w:color="auto"/>
            </w:tcBorders>
            <w:shd w:val="clear" w:color="auto" w:fill="auto"/>
            <w:noWrap/>
            <w:hideMark/>
          </w:tcPr>
          <w:p w14:paraId="5E2B8AB8" w14:textId="77777777" w:rsidR="002E665E" w:rsidRPr="003D56F0" w:rsidRDefault="002E665E" w:rsidP="001C12B3">
            <w:pPr>
              <w:keepNext/>
              <w:rPr>
                <w:rFonts w:eastAsia="Times New Roman"/>
                <w:color w:val="000000"/>
                <w:sz w:val="18"/>
                <w:szCs w:val="18"/>
              </w:rPr>
            </w:pPr>
            <w:r w:rsidRPr="003D56F0">
              <w:rPr>
                <w:sz w:val="18"/>
                <w:szCs w:val="18"/>
              </w:rPr>
              <w:t>224</w:t>
            </w:r>
          </w:p>
        </w:tc>
        <w:tc>
          <w:tcPr>
            <w:tcW w:w="1043" w:type="pct"/>
            <w:vMerge/>
            <w:tcBorders>
              <w:top w:val="nil"/>
              <w:left w:val="single" w:sz="8" w:space="0" w:color="auto"/>
              <w:bottom w:val="single" w:sz="4" w:space="0" w:color="000000"/>
              <w:right w:val="single" w:sz="8" w:space="0" w:color="auto"/>
            </w:tcBorders>
            <w:hideMark/>
          </w:tcPr>
          <w:p w14:paraId="47759DAB" w14:textId="77777777" w:rsidR="002E665E" w:rsidRPr="003D56F0" w:rsidRDefault="002E665E" w:rsidP="001C12B3">
            <w:pPr>
              <w:keepNext/>
              <w:rPr>
                <w:sz w:val="18"/>
                <w:szCs w:val="18"/>
              </w:rPr>
            </w:pPr>
          </w:p>
        </w:tc>
        <w:tc>
          <w:tcPr>
            <w:tcW w:w="745" w:type="pct"/>
            <w:vMerge/>
            <w:tcBorders>
              <w:top w:val="nil"/>
              <w:left w:val="single" w:sz="8" w:space="0" w:color="auto"/>
              <w:bottom w:val="single" w:sz="4" w:space="0" w:color="000000"/>
              <w:right w:val="single" w:sz="8" w:space="0" w:color="auto"/>
            </w:tcBorders>
            <w:hideMark/>
          </w:tcPr>
          <w:p w14:paraId="062E8762" w14:textId="77777777" w:rsidR="002E665E" w:rsidRPr="003D56F0" w:rsidRDefault="002E665E" w:rsidP="001C12B3">
            <w:pPr>
              <w:keepNext/>
              <w:rPr>
                <w:sz w:val="18"/>
                <w:szCs w:val="18"/>
              </w:rPr>
            </w:pPr>
          </w:p>
        </w:tc>
        <w:tc>
          <w:tcPr>
            <w:tcW w:w="671" w:type="pct"/>
            <w:vMerge/>
            <w:tcBorders>
              <w:top w:val="nil"/>
              <w:left w:val="single" w:sz="8" w:space="0" w:color="auto"/>
              <w:bottom w:val="single" w:sz="4" w:space="0" w:color="000000"/>
              <w:right w:val="single" w:sz="4" w:space="0" w:color="000000"/>
            </w:tcBorders>
            <w:hideMark/>
          </w:tcPr>
          <w:p w14:paraId="420C8169" w14:textId="77777777" w:rsidR="002E665E" w:rsidRPr="003D56F0" w:rsidRDefault="002E665E" w:rsidP="001C12B3">
            <w:pPr>
              <w:keepNext/>
              <w:rPr>
                <w:sz w:val="18"/>
                <w:szCs w:val="18"/>
              </w:rPr>
            </w:pPr>
          </w:p>
        </w:tc>
      </w:tr>
    </w:tbl>
    <w:p w14:paraId="688E5622" w14:textId="77777777" w:rsidR="002E665E" w:rsidRPr="003D56F0" w:rsidRDefault="002E665E" w:rsidP="00CC7EC2">
      <w:pPr>
        <w:rPr>
          <w:sz w:val="18"/>
          <w:szCs w:val="18"/>
        </w:rPr>
      </w:pPr>
    </w:p>
    <w:tbl>
      <w:tblPr>
        <w:tblW w:w="5000" w:type="pct"/>
        <w:tblLayout w:type="fixed"/>
        <w:tblLook w:val="04A0" w:firstRow="1" w:lastRow="0" w:firstColumn="1" w:lastColumn="0" w:noHBand="0" w:noVBand="1"/>
      </w:tblPr>
      <w:tblGrid>
        <w:gridCol w:w="1243"/>
        <w:gridCol w:w="1628"/>
        <w:gridCol w:w="1277"/>
        <w:gridCol w:w="1789"/>
        <w:gridCol w:w="1789"/>
        <w:gridCol w:w="1516"/>
      </w:tblGrid>
      <w:tr w:rsidR="0017442A" w:rsidRPr="003D56F0" w14:paraId="641632E1" w14:textId="77777777" w:rsidTr="003D56F0">
        <w:trPr>
          <w:trHeight w:val="285"/>
        </w:trPr>
        <w:tc>
          <w:tcPr>
            <w:tcW w:w="1552" w:type="pct"/>
            <w:gridSpan w:val="2"/>
            <w:tcBorders>
              <w:top w:val="nil"/>
              <w:left w:val="nil"/>
              <w:bottom w:val="nil"/>
              <w:right w:val="nil"/>
            </w:tcBorders>
            <w:shd w:val="clear" w:color="auto" w:fill="auto"/>
            <w:noWrap/>
            <w:hideMark/>
          </w:tcPr>
          <w:p w14:paraId="3E0C4784" w14:textId="77777777" w:rsidR="002E665E" w:rsidRPr="003D56F0" w:rsidRDefault="002E665E" w:rsidP="001C12B3">
            <w:pPr>
              <w:keepNext/>
              <w:rPr>
                <w:sz w:val="18"/>
                <w:szCs w:val="18"/>
              </w:rPr>
            </w:pPr>
            <w:r w:rsidRPr="003D56F0">
              <w:rPr>
                <w:sz w:val="18"/>
                <w:szCs w:val="18"/>
              </w:rPr>
              <w:lastRenderedPageBreak/>
              <w:t>2 year reduction scenario</w:t>
            </w:r>
          </w:p>
        </w:tc>
        <w:tc>
          <w:tcPr>
            <w:tcW w:w="691" w:type="pct"/>
            <w:tcBorders>
              <w:top w:val="nil"/>
              <w:left w:val="nil"/>
              <w:bottom w:val="nil"/>
              <w:right w:val="nil"/>
            </w:tcBorders>
            <w:shd w:val="clear" w:color="auto" w:fill="auto"/>
            <w:noWrap/>
            <w:hideMark/>
          </w:tcPr>
          <w:p w14:paraId="78206A3E" w14:textId="77777777" w:rsidR="002E665E" w:rsidRPr="003D56F0" w:rsidRDefault="002E665E" w:rsidP="001C12B3">
            <w:pPr>
              <w:keepNext/>
              <w:rPr>
                <w:sz w:val="18"/>
                <w:szCs w:val="18"/>
              </w:rPr>
            </w:pPr>
          </w:p>
        </w:tc>
        <w:tc>
          <w:tcPr>
            <w:tcW w:w="968" w:type="pct"/>
            <w:tcBorders>
              <w:top w:val="nil"/>
              <w:left w:val="nil"/>
              <w:bottom w:val="nil"/>
              <w:right w:val="nil"/>
            </w:tcBorders>
            <w:shd w:val="clear" w:color="auto" w:fill="auto"/>
            <w:noWrap/>
            <w:hideMark/>
          </w:tcPr>
          <w:p w14:paraId="0E98BDD1" w14:textId="77777777" w:rsidR="002E665E" w:rsidRPr="003D56F0" w:rsidRDefault="002E665E" w:rsidP="001C12B3">
            <w:pPr>
              <w:keepNext/>
              <w:rPr>
                <w:sz w:val="18"/>
                <w:szCs w:val="18"/>
              </w:rPr>
            </w:pPr>
          </w:p>
        </w:tc>
        <w:tc>
          <w:tcPr>
            <w:tcW w:w="968" w:type="pct"/>
            <w:tcBorders>
              <w:top w:val="nil"/>
              <w:left w:val="nil"/>
              <w:bottom w:val="nil"/>
              <w:right w:val="nil"/>
            </w:tcBorders>
            <w:shd w:val="clear" w:color="auto" w:fill="auto"/>
            <w:noWrap/>
            <w:hideMark/>
          </w:tcPr>
          <w:p w14:paraId="14B6C6FB" w14:textId="77777777" w:rsidR="002E665E" w:rsidRPr="003D56F0" w:rsidRDefault="002E665E" w:rsidP="001C12B3">
            <w:pPr>
              <w:keepNext/>
              <w:rPr>
                <w:sz w:val="18"/>
                <w:szCs w:val="18"/>
              </w:rPr>
            </w:pPr>
          </w:p>
        </w:tc>
        <w:tc>
          <w:tcPr>
            <w:tcW w:w="820" w:type="pct"/>
            <w:tcBorders>
              <w:top w:val="nil"/>
              <w:left w:val="nil"/>
              <w:bottom w:val="nil"/>
              <w:right w:val="nil"/>
            </w:tcBorders>
            <w:shd w:val="clear" w:color="auto" w:fill="auto"/>
            <w:noWrap/>
            <w:hideMark/>
          </w:tcPr>
          <w:p w14:paraId="42FC4CAC" w14:textId="77777777" w:rsidR="002E665E" w:rsidRPr="003D56F0" w:rsidRDefault="002E665E" w:rsidP="001C12B3">
            <w:pPr>
              <w:keepNext/>
              <w:rPr>
                <w:sz w:val="18"/>
                <w:szCs w:val="18"/>
              </w:rPr>
            </w:pPr>
          </w:p>
        </w:tc>
      </w:tr>
      <w:tr w:rsidR="00862F32" w:rsidRPr="003D56F0" w14:paraId="6F29AC5D" w14:textId="77777777" w:rsidTr="003D56F0">
        <w:trPr>
          <w:trHeight w:val="525"/>
        </w:trPr>
        <w:tc>
          <w:tcPr>
            <w:tcW w:w="672" w:type="pct"/>
            <w:tcBorders>
              <w:top w:val="single" w:sz="4" w:space="0" w:color="000000"/>
              <w:left w:val="single" w:sz="4" w:space="0" w:color="000000"/>
              <w:bottom w:val="single" w:sz="8" w:space="0" w:color="auto"/>
              <w:right w:val="single" w:sz="8" w:space="0" w:color="auto"/>
            </w:tcBorders>
            <w:shd w:val="clear" w:color="auto" w:fill="auto"/>
            <w:hideMark/>
          </w:tcPr>
          <w:p w14:paraId="42AADE1F" w14:textId="77777777" w:rsidR="002E665E" w:rsidRPr="003D56F0" w:rsidRDefault="002E665E" w:rsidP="001C12B3">
            <w:pPr>
              <w:keepNext/>
              <w:rPr>
                <w:sz w:val="18"/>
                <w:szCs w:val="18"/>
              </w:rPr>
            </w:pPr>
            <w:r w:rsidRPr="003D56F0">
              <w:rPr>
                <w:sz w:val="18"/>
                <w:szCs w:val="18"/>
              </w:rPr>
              <w:t> </w:t>
            </w:r>
          </w:p>
        </w:tc>
        <w:tc>
          <w:tcPr>
            <w:tcW w:w="880" w:type="pct"/>
            <w:tcBorders>
              <w:top w:val="single" w:sz="4" w:space="0" w:color="000000"/>
              <w:left w:val="nil"/>
              <w:bottom w:val="single" w:sz="8" w:space="0" w:color="auto"/>
              <w:right w:val="single" w:sz="8" w:space="0" w:color="auto"/>
            </w:tcBorders>
            <w:shd w:val="clear" w:color="auto" w:fill="auto"/>
            <w:hideMark/>
          </w:tcPr>
          <w:p w14:paraId="301812D2" w14:textId="77777777" w:rsidR="002E665E" w:rsidRPr="003D56F0" w:rsidRDefault="002E665E" w:rsidP="001C12B3">
            <w:pPr>
              <w:keepNext/>
              <w:rPr>
                <w:rFonts w:eastAsia="Times New Roman"/>
                <w:b/>
                <w:color w:val="000000"/>
                <w:sz w:val="18"/>
                <w:szCs w:val="18"/>
              </w:rPr>
            </w:pPr>
            <w:r w:rsidRPr="003D56F0">
              <w:rPr>
                <w:b/>
                <w:sz w:val="18"/>
                <w:szCs w:val="18"/>
              </w:rPr>
              <w:t>Total costs (£)</w:t>
            </w:r>
          </w:p>
        </w:tc>
        <w:tc>
          <w:tcPr>
            <w:tcW w:w="691" w:type="pct"/>
            <w:tcBorders>
              <w:top w:val="single" w:sz="4" w:space="0" w:color="000000"/>
              <w:left w:val="nil"/>
              <w:bottom w:val="single" w:sz="8" w:space="0" w:color="auto"/>
              <w:right w:val="single" w:sz="8" w:space="0" w:color="auto"/>
            </w:tcBorders>
            <w:shd w:val="clear" w:color="auto" w:fill="auto"/>
            <w:hideMark/>
          </w:tcPr>
          <w:p w14:paraId="2696C7AD" w14:textId="77777777" w:rsidR="002E665E" w:rsidRPr="003D56F0" w:rsidRDefault="002E665E" w:rsidP="001C12B3">
            <w:pPr>
              <w:keepNext/>
              <w:rPr>
                <w:rFonts w:eastAsia="Times New Roman"/>
                <w:b/>
                <w:color w:val="000000"/>
                <w:sz w:val="18"/>
                <w:szCs w:val="18"/>
              </w:rPr>
            </w:pPr>
            <w:r w:rsidRPr="003D56F0">
              <w:rPr>
                <w:b/>
                <w:sz w:val="18"/>
                <w:szCs w:val="18"/>
              </w:rPr>
              <w:t>Total QALYs lost</w:t>
            </w:r>
          </w:p>
        </w:tc>
        <w:tc>
          <w:tcPr>
            <w:tcW w:w="968" w:type="pct"/>
            <w:tcBorders>
              <w:top w:val="single" w:sz="4" w:space="0" w:color="000000"/>
              <w:left w:val="nil"/>
              <w:bottom w:val="single" w:sz="8" w:space="0" w:color="auto"/>
              <w:right w:val="single" w:sz="8" w:space="0" w:color="auto"/>
            </w:tcBorders>
            <w:shd w:val="clear" w:color="auto" w:fill="auto"/>
            <w:hideMark/>
          </w:tcPr>
          <w:p w14:paraId="0176F2F8" w14:textId="77777777" w:rsidR="002E665E" w:rsidRPr="003D56F0" w:rsidRDefault="002E665E" w:rsidP="001C12B3">
            <w:pPr>
              <w:keepNext/>
              <w:rPr>
                <w:rFonts w:eastAsia="Times New Roman"/>
                <w:b/>
                <w:color w:val="000000"/>
                <w:sz w:val="18"/>
                <w:szCs w:val="18"/>
              </w:rPr>
            </w:pPr>
            <w:r w:rsidRPr="003D56F0">
              <w:rPr>
                <w:b/>
                <w:sz w:val="18"/>
                <w:szCs w:val="18"/>
              </w:rPr>
              <w:t>Incremental costs (£)</w:t>
            </w:r>
          </w:p>
        </w:tc>
        <w:tc>
          <w:tcPr>
            <w:tcW w:w="968" w:type="pct"/>
            <w:tcBorders>
              <w:top w:val="single" w:sz="4" w:space="0" w:color="000000"/>
              <w:left w:val="nil"/>
              <w:bottom w:val="single" w:sz="8" w:space="0" w:color="auto"/>
              <w:right w:val="single" w:sz="8" w:space="0" w:color="auto"/>
            </w:tcBorders>
            <w:shd w:val="clear" w:color="auto" w:fill="auto"/>
            <w:hideMark/>
          </w:tcPr>
          <w:p w14:paraId="4B53D3A2" w14:textId="77777777" w:rsidR="002E665E" w:rsidRPr="003D56F0" w:rsidRDefault="002E665E" w:rsidP="001C12B3">
            <w:pPr>
              <w:keepNext/>
              <w:rPr>
                <w:rFonts w:eastAsia="Times New Roman"/>
                <w:b/>
                <w:color w:val="000000"/>
                <w:sz w:val="18"/>
                <w:szCs w:val="18"/>
              </w:rPr>
            </w:pPr>
            <w:r w:rsidRPr="003D56F0">
              <w:rPr>
                <w:b/>
                <w:sz w:val="18"/>
                <w:szCs w:val="18"/>
              </w:rPr>
              <w:t>Incremental QALYs</w:t>
            </w:r>
          </w:p>
        </w:tc>
        <w:tc>
          <w:tcPr>
            <w:tcW w:w="820" w:type="pct"/>
            <w:tcBorders>
              <w:top w:val="single" w:sz="4" w:space="0" w:color="000000"/>
              <w:left w:val="nil"/>
              <w:bottom w:val="single" w:sz="8" w:space="0" w:color="auto"/>
              <w:right w:val="single" w:sz="4" w:space="0" w:color="000000"/>
            </w:tcBorders>
            <w:shd w:val="clear" w:color="auto" w:fill="auto"/>
            <w:hideMark/>
          </w:tcPr>
          <w:p w14:paraId="69EAC8E3" w14:textId="77777777" w:rsidR="002E665E" w:rsidRPr="003D56F0" w:rsidRDefault="002E665E" w:rsidP="001C12B3">
            <w:pPr>
              <w:keepNext/>
              <w:rPr>
                <w:rFonts w:eastAsia="Times New Roman"/>
                <w:b/>
                <w:color w:val="000000"/>
                <w:sz w:val="18"/>
                <w:szCs w:val="18"/>
              </w:rPr>
            </w:pPr>
            <w:r w:rsidRPr="003D56F0">
              <w:rPr>
                <w:b/>
                <w:sz w:val="18"/>
                <w:szCs w:val="18"/>
              </w:rPr>
              <w:t>ICER (£) (QALYs)</w:t>
            </w:r>
          </w:p>
        </w:tc>
      </w:tr>
      <w:tr w:rsidR="00862F32" w:rsidRPr="003D56F0" w14:paraId="60E568BD" w14:textId="77777777" w:rsidTr="003D56F0">
        <w:trPr>
          <w:trHeight w:val="300"/>
        </w:trPr>
        <w:tc>
          <w:tcPr>
            <w:tcW w:w="672" w:type="pct"/>
            <w:tcBorders>
              <w:top w:val="nil"/>
              <w:left w:val="single" w:sz="4" w:space="0" w:color="000000"/>
              <w:bottom w:val="single" w:sz="8" w:space="0" w:color="auto"/>
              <w:right w:val="single" w:sz="8" w:space="0" w:color="auto"/>
            </w:tcBorders>
            <w:shd w:val="clear" w:color="auto" w:fill="auto"/>
            <w:hideMark/>
          </w:tcPr>
          <w:p w14:paraId="2CC66E50" w14:textId="77777777" w:rsidR="002E665E" w:rsidRPr="003D56F0" w:rsidRDefault="002E665E" w:rsidP="001C12B3">
            <w:pPr>
              <w:keepNext/>
              <w:rPr>
                <w:sz w:val="18"/>
                <w:szCs w:val="18"/>
              </w:rPr>
            </w:pPr>
            <w:r w:rsidRPr="003D56F0">
              <w:rPr>
                <w:sz w:val="18"/>
                <w:szCs w:val="18"/>
              </w:rPr>
              <w:t>Intervention</w:t>
            </w:r>
          </w:p>
        </w:tc>
        <w:tc>
          <w:tcPr>
            <w:tcW w:w="880" w:type="pct"/>
            <w:tcBorders>
              <w:top w:val="single" w:sz="4" w:space="0" w:color="auto"/>
              <w:left w:val="single" w:sz="4" w:space="0" w:color="auto"/>
              <w:bottom w:val="single" w:sz="8" w:space="0" w:color="auto"/>
              <w:right w:val="single" w:sz="4" w:space="0" w:color="auto"/>
            </w:tcBorders>
            <w:shd w:val="clear" w:color="auto" w:fill="auto"/>
            <w:noWrap/>
            <w:hideMark/>
          </w:tcPr>
          <w:p w14:paraId="5382B692" w14:textId="77777777" w:rsidR="002E665E" w:rsidRPr="003D56F0" w:rsidRDefault="002E665E" w:rsidP="001C12B3">
            <w:pPr>
              <w:keepNext/>
              <w:rPr>
                <w:rFonts w:eastAsia="Times New Roman"/>
                <w:color w:val="000000"/>
                <w:sz w:val="18"/>
                <w:szCs w:val="18"/>
              </w:rPr>
            </w:pPr>
            <w:r w:rsidRPr="003D56F0">
              <w:rPr>
                <w:sz w:val="18"/>
                <w:szCs w:val="18"/>
              </w:rPr>
              <w:t>£4,568,935</w:t>
            </w:r>
          </w:p>
        </w:tc>
        <w:tc>
          <w:tcPr>
            <w:tcW w:w="691" w:type="pct"/>
            <w:tcBorders>
              <w:top w:val="single" w:sz="4" w:space="0" w:color="auto"/>
              <w:left w:val="nil"/>
              <w:bottom w:val="single" w:sz="8" w:space="0" w:color="auto"/>
              <w:right w:val="single" w:sz="4" w:space="0" w:color="auto"/>
            </w:tcBorders>
            <w:shd w:val="clear" w:color="auto" w:fill="auto"/>
            <w:noWrap/>
            <w:hideMark/>
          </w:tcPr>
          <w:p w14:paraId="58A2F221" w14:textId="77777777" w:rsidR="002E665E" w:rsidRPr="003D56F0" w:rsidRDefault="002E665E" w:rsidP="001C12B3">
            <w:pPr>
              <w:keepNext/>
              <w:rPr>
                <w:rFonts w:eastAsia="Times New Roman"/>
                <w:color w:val="000000"/>
                <w:sz w:val="18"/>
                <w:szCs w:val="18"/>
              </w:rPr>
            </w:pPr>
            <w:r w:rsidRPr="003D56F0">
              <w:rPr>
                <w:sz w:val="18"/>
                <w:szCs w:val="18"/>
              </w:rPr>
              <w:t>102</w:t>
            </w:r>
          </w:p>
        </w:tc>
        <w:tc>
          <w:tcPr>
            <w:tcW w:w="968" w:type="pct"/>
            <w:vMerge w:val="restart"/>
            <w:tcBorders>
              <w:top w:val="nil"/>
              <w:left w:val="single" w:sz="8" w:space="0" w:color="auto"/>
              <w:bottom w:val="single" w:sz="4" w:space="0" w:color="000000"/>
              <w:right w:val="single" w:sz="8" w:space="0" w:color="auto"/>
            </w:tcBorders>
            <w:shd w:val="clear" w:color="auto" w:fill="auto"/>
            <w:hideMark/>
          </w:tcPr>
          <w:p w14:paraId="7E2FB5D3" w14:textId="77777777" w:rsidR="002E665E" w:rsidRPr="003D56F0" w:rsidRDefault="002E665E" w:rsidP="001C12B3">
            <w:pPr>
              <w:keepNext/>
              <w:rPr>
                <w:rFonts w:eastAsia="Times New Roman"/>
                <w:color w:val="000000"/>
                <w:sz w:val="18"/>
                <w:szCs w:val="18"/>
              </w:rPr>
            </w:pPr>
            <w:r w:rsidRPr="003D56F0">
              <w:rPr>
                <w:sz w:val="18"/>
                <w:szCs w:val="18"/>
              </w:rPr>
              <w:t>£2,378,909</w:t>
            </w:r>
          </w:p>
        </w:tc>
        <w:tc>
          <w:tcPr>
            <w:tcW w:w="968" w:type="pct"/>
            <w:vMerge w:val="restart"/>
            <w:tcBorders>
              <w:top w:val="nil"/>
              <w:left w:val="single" w:sz="8" w:space="0" w:color="auto"/>
              <w:bottom w:val="single" w:sz="4" w:space="0" w:color="000000"/>
              <w:right w:val="single" w:sz="8" w:space="0" w:color="auto"/>
            </w:tcBorders>
            <w:shd w:val="clear" w:color="auto" w:fill="auto"/>
            <w:hideMark/>
          </w:tcPr>
          <w:p w14:paraId="075F57B1" w14:textId="77777777" w:rsidR="002E665E" w:rsidRPr="003D56F0" w:rsidRDefault="002E665E" w:rsidP="001C12B3">
            <w:pPr>
              <w:keepNext/>
              <w:rPr>
                <w:rFonts w:eastAsia="Times New Roman"/>
                <w:color w:val="000000"/>
                <w:sz w:val="18"/>
                <w:szCs w:val="18"/>
              </w:rPr>
            </w:pPr>
            <w:r w:rsidRPr="003D56F0">
              <w:rPr>
                <w:sz w:val="18"/>
                <w:szCs w:val="18"/>
              </w:rPr>
              <w:t>71.58</w:t>
            </w:r>
          </w:p>
        </w:tc>
        <w:tc>
          <w:tcPr>
            <w:tcW w:w="820" w:type="pct"/>
            <w:vMerge w:val="restart"/>
            <w:tcBorders>
              <w:top w:val="nil"/>
              <w:left w:val="single" w:sz="8" w:space="0" w:color="auto"/>
              <w:bottom w:val="single" w:sz="4" w:space="0" w:color="000000"/>
              <w:right w:val="single" w:sz="4" w:space="0" w:color="000000"/>
            </w:tcBorders>
            <w:shd w:val="clear" w:color="auto" w:fill="auto"/>
            <w:hideMark/>
          </w:tcPr>
          <w:p w14:paraId="6FB3D453" w14:textId="77777777" w:rsidR="002E665E" w:rsidRPr="003D56F0" w:rsidRDefault="002E665E" w:rsidP="001C12B3">
            <w:pPr>
              <w:keepNext/>
              <w:rPr>
                <w:rFonts w:eastAsia="Times New Roman"/>
                <w:color w:val="000000"/>
                <w:sz w:val="18"/>
                <w:szCs w:val="18"/>
              </w:rPr>
            </w:pPr>
            <w:r w:rsidRPr="003D56F0">
              <w:rPr>
                <w:sz w:val="18"/>
                <w:szCs w:val="18"/>
              </w:rPr>
              <w:t>£33,236</w:t>
            </w:r>
          </w:p>
        </w:tc>
      </w:tr>
      <w:tr w:rsidR="00862F32" w:rsidRPr="002E665E" w14:paraId="69AD1ACA" w14:textId="77777777" w:rsidTr="003D56F0">
        <w:trPr>
          <w:trHeight w:val="300"/>
        </w:trPr>
        <w:tc>
          <w:tcPr>
            <w:tcW w:w="672" w:type="pct"/>
            <w:tcBorders>
              <w:top w:val="nil"/>
              <w:left w:val="single" w:sz="4" w:space="0" w:color="000000"/>
              <w:bottom w:val="single" w:sz="4" w:space="0" w:color="000000"/>
              <w:right w:val="single" w:sz="8" w:space="0" w:color="auto"/>
            </w:tcBorders>
            <w:shd w:val="clear" w:color="auto" w:fill="auto"/>
            <w:hideMark/>
          </w:tcPr>
          <w:p w14:paraId="5BF00CC6" w14:textId="77777777" w:rsidR="002E665E" w:rsidRPr="003D56F0" w:rsidRDefault="002E665E" w:rsidP="001C12B3">
            <w:pPr>
              <w:keepNext/>
              <w:rPr>
                <w:sz w:val="18"/>
                <w:szCs w:val="18"/>
              </w:rPr>
            </w:pPr>
            <w:r w:rsidRPr="003D56F0">
              <w:rPr>
                <w:sz w:val="18"/>
                <w:szCs w:val="18"/>
              </w:rPr>
              <w:t>Comparator</w:t>
            </w:r>
          </w:p>
        </w:tc>
        <w:tc>
          <w:tcPr>
            <w:tcW w:w="880" w:type="pct"/>
            <w:tcBorders>
              <w:top w:val="single" w:sz="4" w:space="0" w:color="auto"/>
              <w:left w:val="single" w:sz="4" w:space="0" w:color="auto"/>
              <w:bottom w:val="single" w:sz="8" w:space="0" w:color="auto"/>
              <w:right w:val="single" w:sz="4" w:space="0" w:color="auto"/>
            </w:tcBorders>
            <w:shd w:val="clear" w:color="auto" w:fill="auto"/>
            <w:noWrap/>
            <w:hideMark/>
          </w:tcPr>
          <w:p w14:paraId="2326FA46" w14:textId="77777777" w:rsidR="002E665E" w:rsidRPr="003D56F0" w:rsidRDefault="002E665E" w:rsidP="001C12B3">
            <w:pPr>
              <w:keepNext/>
              <w:rPr>
                <w:rFonts w:eastAsia="Times New Roman"/>
                <w:color w:val="000000"/>
                <w:sz w:val="18"/>
                <w:szCs w:val="18"/>
              </w:rPr>
            </w:pPr>
            <w:r w:rsidRPr="003D56F0">
              <w:rPr>
                <w:sz w:val="18"/>
                <w:szCs w:val="18"/>
              </w:rPr>
              <w:t>£2,190,026</w:t>
            </w:r>
          </w:p>
        </w:tc>
        <w:tc>
          <w:tcPr>
            <w:tcW w:w="691" w:type="pct"/>
            <w:tcBorders>
              <w:top w:val="single" w:sz="4" w:space="0" w:color="auto"/>
              <w:left w:val="nil"/>
              <w:bottom w:val="single" w:sz="8" w:space="0" w:color="auto"/>
              <w:right w:val="single" w:sz="4" w:space="0" w:color="auto"/>
            </w:tcBorders>
            <w:shd w:val="clear" w:color="auto" w:fill="auto"/>
            <w:noWrap/>
            <w:hideMark/>
          </w:tcPr>
          <w:p w14:paraId="295C09F3" w14:textId="77777777" w:rsidR="002E665E" w:rsidRPr="003D56F0" w:rsidRDefault="002E665E" w:rsidP="001C12B3">
            <w:pPr>
              <w:keepNext/>
              <w:rPr>
                <w:rFonts w:eastAsia="Times New Roman"/>
                <w:color w:val="000000"/>
                <w:sz w:val="18"/>
                <w:szCs w:val="18"/>
              </w:rPr>
            </w:pPr>
            <w:r w:rsidRPr="003D56F0">
              <w:rPr>
                <w:sz w:val="18"/>
                <w:szCs w:val="18"/>
              </w:rPr>
              <w:t>173</w:t>
            </w:r>
          </w:p>
        </w:tc>
        <w:tc>
          <w:tcPr>
            <w:tcW w:w="968" w:type="pct"/>
            <w:vMerge/>
            <w:tcBorders>
              <w:top w:val="nil"/>
              <w:left w:val="single" w:sz="8" w:space="0" w:color="auto"/>
              <w:bottom w:val="single" w:sz="4" w:space="0" w:color="000000"/>
              <w:right w:val="single" w:sz="8" w:space="0" w:color="auto"/>
            </w:tcBorders>
            <w:hideMark/>
          </w:tcPr>
          <w:p w14:paraId="4AF683CC" w14:textId="77777777" w:rsidR="002E665E" w:rsidRPr="0017442A" w:rsidRDefault="002E665E" w:rsidP="001C12B3">
            <w:pPr>
              <w:keepNext/>
            </w:pPr>
          </w:p>
        </w:tc>
        <w:tc>
          <w:tcPr>
            <w:tcW w:w="968" w:type="pct"/>
            <w:vMerge/>
            <w:tcBorders>
              <w:top w:val="nil"/>
              <w:left w:val="single" w:sz="8" w:space="0" w:color="auto"/>
              <w:bottom w:val="single" w:sz="4" w:space="0" w:color="000000"/>
              <w:right w:val="single" w:sz="8" w:space="0" w:color="auto"/>
            </w:tcBorders>
            <w:hideMark/>
          </w:tcPr>
          <w:p w14:paraId="6E2AFEC0" w14:textId="77777777" w:rsidR="002E665E" w:rsidRPr="002E665E" w:rsidRDefault="002E665E" w:rsidP="001C12B3">
            <w:pPr>
              <w:keepNext/>
            </w:pPr>
          </w:p>
        </w:tc>
        <w:tc>
          <w:tcPr>
            <w:tcW w:w="820" w:type="pct"/>
            <w:vMerge/>
            <w:tcBorders>
              <w:top w:val="nil"/>
              <w:left w:val="single" w:sz="8" w:space="0" w:color="auto"/>
              <w:bottom w:val="single" w:sz="4" w:space="0" w:color="000000"/>
              <w:right w:val="single" w:sz="4" w:space="0" w:color="000000"/>
            </w:tcBorders>
            <w:hideMark/>
          </w:tcPr>
          <w:p w14:paraId="027BFD32" w14:textId="77777777" w:rsidR="002E665E" w:rsidRPr="002E665E" w:rsidRDefault="002E665E" w:rsidP="001C12B3">
            <w:pPr>
              <w:keepNext/>
            </w:pPr>
          </w:p>
        </w:tc>
      </w:tr>
    </w:tbl>
    <w:p w14:paraId="719270A2" w14:textId="77777777" w:rsidR="00862F32" w:rsidRDefault="00862F32" w:rsidP="001C12B3">
      <w:pPr>
        <w:keepNext/>
      </w:pPr>
    </w:p>
    <w:p w14:paraId="19F7F003" w14:textId="77777777" w:rsidR="00862F32" w:rsidRPr="00862F32" w:rsidRDefault="00862F32" w:rsidP="003D56F0"/>
    <w:p w14:paraId="2186FBC7" w14:textId="30869459" w:rsidR="00CD0B76" w:rsidRPr="00AC2C72" w:rsidRDefault="00A65C43" w:rsidP="00AD2788">
      <w:pPr>
        <w:pStyle w:val="Heading6"/>
      </w:pPr>
      <w:r>
        <w:t>O</w:t>
      </w:r>
      <w:r w:rsidR="00CD0B76" w:rsidRPr="00AC2C72">
        <w:t>ne-way sensitivity analysis (Tornado diagram)</w:t>
      </w:r>
    </w:p>
    <w:p w14:paraId="65BC6039" w14:textId="77777777" w:rsidR="00075E1D" w:rsidRDefault="00075E1D"/>
    <w:p w14:paraId="7AAB7EE3" w14:textId="40229F61" w:rsidR="00075E1D" w:rsidRPr="00D21C25" w:rsidRDefault="00075E1D">
      <w:r w:rsidRPr="00D21C25">
        <w:t xml:space="preserve">The model </w:t>
      </w:r>
      <w:r>
        <w:t>results were sensitive to changes in assumptions around drug use in the intervention and comparator groups</w:t>
      </w:r>
      <w:r w:rsidR="00723606">
        <w:t xml:space="preserve"> (see </w:t>
      </w:r>
      <w:r w:rsidR="00723606">
        <w:fldChar w:fldCharType="begin"/>
      </w:r>
      <w:r w:rsidR="00723606">
        <w:instrText xml:space="preserve"> REF _Ref448419102 \h </w:instrText>
      </w:r>
      <w:r w:rsidR="00940B3D">
        <w:instrText xml:space="preserve"> \* MERGEFORMAT </w:instrText>
      </w:r>
      <w:r w:rsidR="00723606">
        <w:fldChar w:fldCharType="separate"/>
      </w:r>
      <w:r w:rsidR="0087365D">
        <w:t xml:space="preserve">Figure </w:t>
      </w:r>
      <w:r w:rsidR="0087365D">
        <w:rPr>
          <w:noProof/>
        </w:rPr>
        <w:t>18</w:t>
      </w:r>
      <w:r w:rsidR="00723606">
        <w:fldChar w:fldCharType="end"/>
      </w:r>
      <w:r w:rsidR="00723606">
        <w:t>)</w:t>
      </w:r>
      <w:r w:rsidR="00FB410B">
        <w:t xml:space="preserve"> and</w:t>
      </w:r>
      <w:r>
        <w:t xml:space="preserve"> to intervention costs</w:t>
      </w:r>
      <w:r w:rsidR="00FB410B">
        <w:t>, but no single change made the intervention cost effective at £20,000 per QALY.</w:t>
      </w:r>
      <w:r w:rsidR="00EE4E11">
        <w:t xml:space="preserve"> T</w:t>
      </w:r>
      <w:r>
        <w:t xml:space="preserve">his intervention could be </w:t>
      </w:r>
      <w:r w:rsidR="00EE4E11">
        <w:t xml:space="preserve">potentially </w:t>
      </w:r>
      <w:r>
        <w:t>cost effective if it was provided at a</w:t>
      </w:r>
      <w:r w:rsidR="00A515DC">
        <w:t xml:space="preserve"> much</w:t>
      </w:r>
      <w:r>
        <w:t xml:space="preserve"> lower cost, </w:t>
      </w:r>
      <w:r w:rsidR="00A515DC">
        <w:t xml:space="preserve">or was provided at a lower cost with a sustained effect, </w:t>
      </w:r>
      <w:r>
        <w:t>or if it was provided for younger people who have more potential years of life to lose from early death, and have a higher risk of becoming dependent on cocaine</w:t>
      </w:r>
      <w:r w:rsidR="00940B3D">
        <w:t xml:space="preserve">. </w:t>
      </w:r>
    </w:p>
    <w:p w14:paraId="4044E774" w14:textId="39805BA2" w:rsidR="00075E1D" w:rsidRDefault="00075E1D">
      <w:pPr>
        <w:pStyle w:val="Caption"/>
      </w:pPr>
      <w:bookmarkStart w:id="65" w:name="_Ref448419102"/>
      <w:r>
        <w:t xml:space="preserve">Figure </w:t>
      </w:r>
      <w:fldSimple w:instr=" SEQ Figure \* ARABIC ">
        <w:r w:rsidR="0087365D">
          <w:rPr>
            <w:noProof/>
          </w:rPr>
          <w:t>18</w:t>
        </w:r>
      </w:fldSimple>
      <w:bookmarkEnd w:id="65"/>
      <w:r>
        <w:t xml:space="preserve">. Tornado diagram showing differences in </w:t>
      </w:r>
      <w:r w:rsidR="002E665E">
        <w:t>net monetary benefit (NMB)</w:t>
      </w:r>
      <w:r>
        <w:t xml:space="preserve"> for motivational interviewing intervention to reduce </w:t>
      </w:r>
      <w:r w:rsidRPr="00075E1D">
        <w:t xml:space="preserve">club drug use and </w:t>
      </w:r>
      <w:r>
        <w:t>HIV</w:t>
      </w:r>
      <w:r w:rsidRPr="00075E1D">
        <w:t xml:space="preserve"> risk behaviours </w:t>
      </w:r>
      <w:r>
        <w:t>among men who have sex with men with changes in model parameters.</w:t>
      </w:r>
      <w:r w:rsidR="002E665E">
        <w:t xml:space="preserve"> NMB values each QALY at £20,000. </w:t>
      </w:r>
    </w:p>
    <w:p w14:paraId="01FD8467" w14:textId="0B492DB9" w:rsidR="00075E1D" w:rsidRDefault="00343081">
      <w:r>
        <w:rPr>
          <w:noProof/>
        </w:rPr>
        <w:drawing>
          <wp:inline distT="0" distB="0" distL="0" distR="0" wp14:anchorId="5385A784" wp14:editId="76E8D12F">
            <wp:extent cx="5731510" cy="3594100"/>
            <wp:effectExtent l="0" t="0" r="254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2037" b="1901"/>
                    <a:stretch/>
                  </pic:blipFill>
                  <pic:spPr bwMode="auto">
                    <a:xfrm>
                      <a:off x="0" y="0"/>
                      <a:ext cx="5731510" cy="3594100"/>
                    </a:xfrm>
                    <a:prstGeom prst="rect">
                      <a:avLst/>
                    </a:prstGeom>
                    <a:ln>
                      <a:noFill/>
                    </a:ln>
                    <a:extLst>
                      <a:ext uri="{53640926-AAD7-44D8-BBD7-CCE9431645EC}">
                        <a14:shadowObscured xmlns:a14="http://schemas.microsoft.com/office/drawing/2010/main"/>
                      </a:ext>
                    </a:extLst>
                  </pic:spPr>
                </pic:pic>
              </a:graphicData>
            </a:graphic>
          </wp:inline>
        </w:drawing>
      </w:r>
    </w:p>
    <w:p w14:paraId="3152A476" w14:textId="07EC4D72" w:rsidR="00EE4E11" w:rsidRDefault="00EE4E11" w:rsidP="003D56F0">
      <w:pPr>
        <w:pStyle w:val="Heading6"/>
      </w:pPr>
      <w:r>
        <w:t>Discussion</w:t>
      </w:r>
      <w:r w:rsidR="00475018">
        <w:t xml:space="preserve"> and </w:t>
      </w:r>
      <w:r w:rsidR="00475018" w:rsidRPr="003C7FE4">
        <w:t>Limitations</w:t>
      </w:r>
    </w:p>
    <w:p w14:paraId="4576FA9A" w14:textId="77777777" w:rsidR="008527AA" w:rsidRDefault="008527AA"/>
    <w:p w14:paraId="63982B05" w14:textId="705A676C" w:rsidR="00EE4E11" w:rsidRDefault="00EE4E11">
      <w:r>
        <w:t xml:space="preserve">This intervention was potentially more effective than some other interventions such as in the Parsons study. However because the population in the Morgenstern study were older on average they lost fewer QALYs from early deaths associated with cocaine use which meant that the intervention was less cost effective. The estimated </w:t>
      </w:r>
      <w:r>
        <w:lastRenderedPageBreak/>
        <w:t>risk of cocaine dependence is lower in older age groups as well at 0.344% of users per year becoming dependent. If the results were maintained over two years, and the intervention cost less than £190, then the cost per QALY would be less than £20,000.</w:t>
      </w:r>
    </w:p>
    <w:p w14:paraId="302695DD" w14:textId="77777777" w:rsidR="00EE4E11" w:rsidRPr="00EE4E11" w:rsidRDefault="00EE4E11"/>
    <w:p w14:paraId="771AE046" w14:textId="15F440AB" w:rsidR="007A18BC" w:rsidRDefault="002206DA">
      <w:pPr>
        <w:pStyle w:val="Heading3"/>
      </w:pPr>
      <w:bookmarkStart w:id="66" w:name="_Toc452035648"/>
      <w:r>
        <w:t>5.</w:t>
      </w:r>
      <w:r w:rsidR="00D65CD3">
        <w:t xml:space="preserve">3.3 </w:t>
      </w:r>
      <w:r w:rsidR="007A18BC" w:rsidRPr="00192A4C">
        <w:t xml:space="preserve">Model </w:t>
      </w:r>
      <w:r w:rsidR="007352AE">
        <w:t xml:space="preserve">of </w:t>
      </w:r>
      <w:r w:rsidR="00110AFC">
        <w:t>a f</w:t>
      </w:r>
      <w:r w:rsidR="007A18BC" w:rsidRPr="00192A4C">
        <w:t xml:space="preserve">amily intervention to reduce sexual risk </w:t>
      </w:r>
      <w:r w:rsidR="007352AE" w:rsidRPr="00192A4C">
        <w:t>behaviour</w:t>
      </w:r>
      <w:r w:rsidR="007A18BC" w:rsidRPr="00192A4C">
        <w:t>, substance use, and delinquency among newly homeless youth</w:t>
      </w:r>
      <w:r w:rsidR="007A18BC">
        <w:t>, based on Milburn et al. (2012).</w:t>
      </w:r>
      <w:bookmarkEnd w:id="66"/>
    </w:p>
    <w:p w14:paraId="1D73DFAE" w14:textId="77777777" w:rsidR="00475018" w:rsidRDefault="00475018" w:rsidP="003D56F0"/>
    <w:p w14:paraId="23DD0809" w14:textId="0926DD1A" w:rsidR="00475018" w:rsidRPr="00475018" w:rsidRDefault="00475018" w:rsidP="003D56F0">
      <w:pPr>
        <w:pStyle w:val="Heading6"/>
      </w:pPr>
      <w:r>
        <w:t>Study</w:t>
      </w:r>
    </w:p>
    <w:p w14:paraId="5D1AE2CD" w14:textId="77777777" w:rsidR="007A18BC" w:rsidRDefault="007A18BC"/>
    <w:p w14:paraId="6B7BB899" w14:textId="77777777" w:rsidR="007A18BC" w:rsidRDefault="007A18BC">
      <w:r>
        <w:t>This model looked at a family intervention called STRIVE (Support to Reunite,</w:t>
      </w:r>
    </w:p>
    <w:p w14:paraId="0465B587" w14:textId="2B5DA32E" w:rsidR="007A18BC" w:rsidRDefault="007A18BC">
      <w:r>
        <w:t>Involve and Value Each Other) which was compared with standard care</w:t>
      </w:r>
      <w:r w:rsidR="00723606">
        <w:t xml:space="preserve"> (see </w:t>
      </w:r>
      <w:r w:rsidR="00723606">
        <w:fldChar w:fldCharType="begin"/>
      </w:r>
      <w:r w:rsidR="00723606">
        <w:instrText xml:space="preserve"> REF _Ref448419155 \h </w:instrText>
      </w:r>
      <w:r w:rsidR="00940B3D">
        <w:instrText xml:space="preserve"> \* MERGEFORMAT </w:instrText>
      </w:r>
      <w:r w:rsidR="00723606">
        <w:fldChar w:fldCharType="separate"/>
      </w:r>
      <w:r w:rsidR="0087365D">
        <w:t xml:space="preserve">Figure </w:t>
      </w:r>
      <w:r w:rsidR="0087365D">
        <w:rPr>
          <w:noProof/>
        </w:rPr>
        <w:t>19</w:t>
      </w:r>
      <w:r w:rsidR="00723606">
        <w:fldChar w:fldCharType="end"/>
      </w:r>
      <w:r w:rsidR="00723606">
        <w:t>)</w:t>
      </w:r>
      <w:r>
        <w:t>. This intervention was carried out with young people aged 12-17 who had ran away from home for at least two nights in the last six months and returned to their families. The intervention reduced alcohol use, and led to an increase in cannabis use but a decrease in ‘hard drug’ use. The main ‘hard drug’ used by the cohort was cocaine (17.2% lifetime use) so this was the drug that outcomes were modelled for. The only other ‘hard drug’ specifically measured was methamphetamine (12.6% lifetime use), which is relatively rarely used in the UK so may be difficult to model</w:t>
      </w:r>
      <w:r w:rsidR="00321F84">
        <w:t xml:space="preserve"> with UK data</w:t>
      </w:r>
      <w:r>
        <w:t>. The study only reported average number of occasions of drug use over time, not prevalence of drug use, except at baseline (24% using hard drugs in the last three months). To translate the occasions of drug use into other outcomes we assumed a linear relationship between occasions of drug use and prevalence</w:t>
      </w:r>
      <w:r w:rsidR="00321F84">
        <w:t>. This</w:t>
      </w:r>
      <w:r>
        <w:t xml:space="preserve"> is an oversimplification but other ways of estimating prevalence were not available. </w:t>
      </w:r>
    </w:p>
    <w:p w14:paraId="0A6B2AC6" w14:textId="77777777" w:rsidR="00FF4DBC" w:rsidRDefault="00FF4DBC"/>
    <w:p w14:paraId="050E36FB" w14:textId="0875454F" w:rsidR="00FF4DBC" w:rsidRDefault="00FF4DBC">
      <w:pPr>
        <w:pStyle w:val="Heading6"/>
      </w:pPr>
      <w:r>
        <w:t xml:space="preserve">Population </w:t>
      </w:r>
    </w:p>
    <w:p w14:paraId="13AA2487" w14:textId="77777777" w:rsidR="007A18BC" w:rsidRDefault="007A18BC"/>
    <w:p w14:paraId="014817CD" w14:textId="56618DFA" w:rsidR="007A18BC" w:rsidRDefault="007A18BC">
      <w:r>
        <w:t xml:space="preserve">The number of young people homeless was based on </w:t>
      </w:r>
      <w:r w:rsidRPr="00D016FD">
        <w:t>DCLG data for England, statutory homeless cases aged 16-24</w:t>
      </w:r>
      <w:r>
        <w:t>,</w:t>
      </w:r>
      <w:r w:rsidRPr="00D016FD">
        <w:t xml:space="preserve"> 2014/15</w:t>
      </w:r>
      <w:r>
        <w:t xml:space="preserve">. This may be an underestimate or a poor fit for 12-17 year olds who have run away from home. This brought a number of people eligible for the intervention of 3,507. Homeless drug use was based on </w:t>
      </w:r>
      <w:r w:rsidRPr="00D016FD">
        <w:t xml:space="preserve">26% of young homeless people </w:t>
      </w:r>
      <w:r>
        <w:t>from</w:t>
      </w:r>
      <w:r w:rsidR="00763679">
        <w:t xml:space="preserve"> </w:t>
      </w:r>
      <w:r w:rsidR="00763679">
        <w:fldChar w:fldCharType="begin" w:fldLock="1"/>
      </w:r>
      <w:r w:rsidR="00763679">
        <w:instrText>ADDIN CSL_CITATION { "citationItems" : [ { "id" : "ITEM-1", "itemData" : { "URL" : "http://www.homeless.org.uk/facts/our-research/young-and-homeless-research", "author" : [ { "dropping-particle" : "", "family" : "Homeless link", "given" : "", "non-dropping-particle" : "", "parse-names" : false, "suffix" : "" } ], "id" : "ITEM-1", "issued" : { "date-parts" : [ [ "2015" ] ] }, "title" : "Young and Homeless", "type" : "webpage" }, "uris" : [ "http://www.mendeley.com/documents/?uuid=3b513a78-1bf7-4165-a530-45c8412aaabe" ] } ], "mendeley" : { "formattedCitation" : "(Homeless link 2015)", "manualFormatting" : "Homeless link (2015)", "plainTextFormattedCitation" : "(Homeless link 2015)", "previouslyFormattedCitation" : "(Homeless link 2015)" }, "properties" : { "noteIndex" : 0 }, "schema" : "https://github.com/citation-style-language/schema/raw/master/csl-citation.json" }</w:instrText>
      </w:r>
      <w:r w:rsidR="00763679">
        <w:fldChar w:fldCharType="separate"/>
      </w:r>
      <w:r w:rsidR="00763679" w:rsidRPr="00763679">
        <w:rPr>
          <w:noProof/>
        </w:rPr>
        <w:t xml:space="preserve">Homeless link </w:t>
      </w:r>
      <w:r w:rsidR="00763679">
        <w:rPr>
          <w:noProof/>
        </w:rPr>
        <w:t>(</w:t>
      </w:r>
      <w:r w:rsidR="00763679" w:rsidRPr="00763679">
        <w:rPr>
          <w:noProof/>
        </w:rPr>
        <w:t>2015)</w:t>
      </w:r>
      <w:r w:rsidR="00763679">
        <w:fldChar w:fldCharType="end"/>
      </w:r>
      <w:r w:rsidR="00940B3D">
        <w:t xml:space="preserve">. </w:t>
      </w:r>
    </w:p>
    <w:p w14:paraId="63623DCA" w14:textId="77777777" w:rsidR="00475018" w:rsidRDefault="00475018">
      <w:r>
        <w:t xml:space="preserve">In general, outcomes associated with drug use in 12-17 year olds are difficult to find so the model was populated as the Parsons model but with data for young people where available. </w:t>
      </w:r>
    </w:p>
    <w:p w14:paraId="421D8431" w14:textId="77777777" w:rsidR="00321F84" w:rsidRDefault="00321F84"/>
    <w:p w14:paraId="72503C65" w14:textId="77BF6067" w:rsidR="00475018" w:rsidRDefault="00475018" w:rsidP="003D56F0">
      <w:pPr>
        <w:pStyle w:val="Heading7"/>
      </w:pPr>
      <w:r>
        <w:t>Population-specific data</w:t>
      </w:r>
    </w:p>
    <w:p w14:paraId="45FEF59A" w14:textId="77777777" w:rsidR="00475018" w:rsidRDefault="00475018"/>
    <w:p w14:paraId="6120F9DF" w14:textId="77777777" w:rsidR="00475018" w:rsidRDefault="00475018">
      <w:r>
        <w:t xml:space="preserve">Cocaine use from the CSEW for 16-19 years olds was combined with NDTMS data for young people in drug treatment used to estimate the risk of being in drug treatment for 16-19 year olds who use cocaine. Annual risk of dependence for 16-19 </w:t>
      </w:r>
      <w:r>
        <w:lastRenderedPageBreak/>
        <w:t xml:space="preserve">year old cocaine users was used (1.29% from </w:t>
      </w:r>
      <w:r>
        <w:fldChar w:fldCharType="begin" w:fldLock="1"/>
      </w:r>
      <w:r>
        <w:instrText>ADDIN CSL_CITATION { "citationItems" : [ { "id" : "ITEM-1", "itemData" : { "DOI" : "10.1016/S0893-133X(01)00367-0", "ISBN" : "0893-133X (Print)\\r0006-3223 (Linking)", "ISSN" : "0893133X", "PMID" : "11927172", "abstract" : "The focal point of this paper is the transition from drug use to drug dependence. We present new evidence on risk for starting to use marijuana, cocaine, and alcohol, as well as risks for progression from first drug use to the onset of drug dependence, separately for each of these drugs. Data from the National Comorbidity Survey (NCS) were analyzed. The NCS had a representative sample of the United States population ages 15-54 years (n = 8,098). Survival analysis techniques were used to provide age- and time-specific risk estimates of initiating use of marijuana, cocaine, and alcohol, as well as of becoming dependent on each drug. With respect to risk of initiating use, estimated peak values for alcohol and marijuana were found at age 18, about two years earlier than the later peak in risk of initiating cocaine use. With respect to risk of meeting criteria for the clinical dependence syndrome, estimated peak values for alcohol and marijuana were found at age 17-18. Peak values for cocaine dependence were found at age 23-25. Once use began, cocaine dependence emerged early and more explosively, with an estimated 5-6% of cocaine users becoming cocaine dependent in the first year of use. Most of the observed cases of cocaine dependence met criteria for dependence within three years after initial cocaine use. Whereas some 15-16% of cocaine users had developed cocaine dependence within 10 years of first cocaine use, the corresponding values were about 8% for marijuana users, and 12-13% for alcohol users. The most novel findings of this study document a noteworthy risk for quickly developing cocaine dependence after initial cocaine use, with about one in 16 to 20 cocaine users becoming dependent within the first year of cocaine use. For marijuana and alcohol, there is a more insidious onset of the drug dependence syndrome. ?? 2002 American College of Neuropsychopharmacology. Published by Elsevier Science Inc.", "author" : [ { "dropping-particle" : "", "family" : "Wagner", "given" : "Fernando A.", "non-dropping-particle" : "", "parse-names" : false, "suffix" : "" }, { "dropping-particle" : "", "family" : "Anthony", "given" : "James C.", "non-dropping-particle" : "", "parse-names" : false, "suffix" : "" } ], "container-title" : "Neuropsychopharmacology", "id" : "ITEM-1", "issue" : "4", "issued" : { "date-parts" : [ [ "2002" ] ] }, "page" : "479-488", "title" : "From first drug use to drug dependence: Developmental periods of risk for dependence upon marijuana, cocaine, and alcohol", "type" : "article-journal", "volume" : "26" }, "uris" : [ "http://www.mendeley.com/documents/?uuid=f5ae5c31-6d6f-4080-8d09-ca345482dd40" ] } ], "mendeley" : { "formattedCitation" : "(Wagner &amp; Anthony 2002)", "manualFormatting" : "Wagner &amp; Anthony (2002)", "plainTextFormattedCitation" : "(Wagner &amp; Anthony 2002)", "previouslyFormattedCitation" : "(Wagner &amp; Anthony 2002)" }, "properties" : { "noteIndex" : 0 }, "schema" : "https://github.com/citation-style-language/schema/raw/master/csl-citation.json" }</w:instrText>
      </w:r>
      <w:r>
        <w:fldChar w:fldCharType="separate"/>
      </w:r>
      <w:r w:rsidRPr="00763679">
        <w:rPr>
          <w:noProof/>
        </w:rPr>
        <w:t xml:space="preserve">Wagner &amp; Anthony </w:t>
      </w:r>
      <w:r>
        <w:rPr>
          <w:noProof/>
        </w:rPr>
        <w:t>(</w:t>
      </w:r>
      <w:r w:rsidRPr="00763679">
        <w:rPr>
          <w:noProof/>
        </w:rPr>
        <w:t>2002)</w:t>
      </w:r>
      <w:r>
        <w:fldChar w:fldCharType="end"/>
      </w:r>
      <w:r>
        <w:t>). Crime costs were varied in the sensitivity analysis to take account of the fact that youth justice costs are higher than adult criminal justice costs, so the average cost per offence was varied from £1,925 up to £5,700.</w:t>
      </w:r>
    </w:p>
    <w:p w14:paraId="491ED38D" w14:textId="77777777" w:rsidR="00475018" w:rsidRDefault="00475018"/>
    <w:p w14:paraId="3EA6A582" w14:textId="77777777" w:rsidR="00475018" w:rsidRDefault="00475018">
      <w:r>
        <w:t xml:space="preserve">Apart from this, the costs and outcomes from the Parsons model were used. These were around healthcare costs associated with cocaine use, early death from CVD or cocaine use, and QALY loss from dependence. </w:t>
      </w:r>
    </w:p>
    <w:p w14:paraId="1A284B8A" w14:textId="77777777" w:rsidR="00475018" w:rsidRDefault="00475018"/>
    <w:p w14:paraId="16E6A269" w14:textId="77777777" w:rsidR="00475018" w:rsidRDefault="00475018">
      <w:r>
        <w:t xml:space="preserve">It may be that if young people aged 12-17 are using cocaine they are less likely to have the same type of problems as young adults for example in terms of risk of arrest, or cardiovascular disease. But their drug use may still lead to these problems in the future so it is reasonable to include these outcomes in the modelling. The fact that the </w:t>
      </w:r>
      <w:r>
        <w:fldChar w:fldCharType="begin" w:fldLock="1"/>
      </w:r>
      <w:r>
        <w:instrText>ADDIN CSL_CITATION { "citationItems" : [ { "id" : "ITEM-1", "itemData" : { "DOI" : "10.1016/S0893-133X(01)00367-0", "ISBN" : "0893-133X (Print)\\r0006-3223 (Linking)", "ISSN" : "0893133X", "PMID" : "11927172", "abstract" : "The focal point of this paper is the transition from drug use to drug dependence. We present new evidence on risk for starting to use marijuana, cocaine, and alcohol, as well as risks for progression from first drug use to the onset of drug dependence, separately for each of these drugs. Data from the National Comorbidity Survey (NCS) were analyzed. The NCS had a representative sample of the United States population ages 15-54 years (n = 8,098). Survival analysis techniques were used to provide age- and time-specific risk estimates of initiating use of marijuana, cocaine, and alcohol, as well as of becoming dependent on each drug. With respect to risk of initiating use, estimated peak values for alcohol and marijuana were found at age 18, about two years earlier than the later peak in risk of initiating cocaine use. With respect to risk of meeting criteria for the clinical dependence syndrome, estimated peak values for alcohol and marijuana were found at age 17-18. Peak values for cocaine dependence were found at age 23-25. Once use began, cocaine dependence emerged early and more explosively, with an estimated 5-6% of cocaine users becoming cocaine dependent in the first year of use. Most of the observed cases of cocaine dependence met criteria for dependence within three years after initial cocaine use. Whereas some 15-16% of cocaine users had developed cocaine dependence within 10 years of first cocaine use, the corresponding values were about 8% for marijuana users, and 12-13% for alcohol users. The most novel findings of this study document a noteworthy risk for quickly developing cocaine dependence after initial cocaine use, with about one in 16 to 20 cocaine users becoming dependent within the first year of cocaine use. For marijuana and alcohol, there is a more insidious onset of the drug dependence syndrome. ?? 2002 American College of Neuropsychopharmacology. Published by Elsevier Science Inc.", "author" : [ { "dropping-particle" : "", "family" : "Wagner", "given" : "Fernando A.", "non-dropping-particle" : "", "parse-names" : false, "suffix" : "" }, { "dropping-particle" : "", "family" : "Anthony", "given" : "James C.", "non-dropping-particle" : "", "parse-names" : false, "suffix" : "" } ], "container-title" : "Neuropsychopharmacology", "id" : "ITEM-1", "issue" : "4", "issued" : { "date-parts" : [ [ "2002" ] ] }, "page" : "479-488", "title" : "From first drug use to drug dependence: Developmental periods of risk for dependence upon marijuana, cocaine, and alcohol", "type" : "article-journal", "volume" : "26" }, "uris" : [ "http://www.mendeley.com/documents/?uuid=f5ae5c31-6d6f-4080-8d09-ca345482dd40" ] } ], "mendeley" : { "formattedCitation" : "(Wagner &amp; Anthony 2002)", "manualFormatting" : "Wagner &amp; Anthony (2002)", "plainTextFormattedCitation" : "(Wagner &amp; Anthony 2002)", "previouslyFormattedCitation" : "(Wagner &amp; Anthony 2002)" }, "properties" : { "noteIndex" : 0 }, "schema" : "https://github.com/citation-style-language/schema/raw/master/csl-citation.json" }</w:instrText>
      </w:r>
      <w:r>
        <w:fldChar w:fldCharType="separate"/>
      </w:r>
      <w:r w:rsidRPr="00BA67E4">
        <w:rPr>
          <w:noProof/>
        </w:rPr>
        <w:t xml:space="preserve">Wagner &amp; Anthony </w:t>
      </w:r>
      <w:r>
        <w:rPr>
          <w:noProof/>
        </w:rPr>
        <w:t>(</w:t>
      </w:r>
      <w:r w:rsidRPr="00BA67E4">
        <w:rPr>
          <w:noProof/>
        </w:rPr>
        <w:t>2002)</w:t>
      </w:r>
      <w:r>
        <w:fldChar w:fldCharType="end"/>
      </w:r>
      <w:r>
        <w:t xml:space="preserve"> suggests that risk of dependence is higher for younger cocaine users suggests that young people who use cocaine and possibly other hard drugs may be more at risk of severe consequences of their drug use. </w:t>
      </w:r>
    </w:p>
    <w:p w14:paraId="25F65FA1" w14:textId="77777777" w:rsidR="00475018" w:rsidRPr="00475018" w:rsidRDefault="00475018"/>
    <w:p w14:paraId="4E7A740F" w14:textId="7DD8B300" w:rsidR="00321F84" w:rsidRDefault="00321F84">
      <w:pPr>
        <w:pStyle w:val="Heading6"/>
      </w:pPr>
      <w:r>
        <w:t>Decision Tree</w:t>
      </w:r>
    </w:p>
    <w:p w14:paraId="7643FA9B" w14:textId="77777777" w:rsidR="00475018" w:rsidRDefault="00475018" w:rsidP="003D56F0"/>
    <w:p w14:paraId="63D3F661" w14:textId="0EE14503" w:rsidR="00580018" w:rsidRDefault="00475018">
      <w:r>
        <w:t xml:space="preserve">The decision tree structure is shown in </w:t>
      </w:r>
      <w:r>
        <w:fldChar w:fldCharType="begin"/>
      </w:r>
      <w:r>
        <w:instrText xml:space="preserve"> REF _Ref448419155 \h </w:instrText>
      </w:r>
      <w:r>
        <w:fldChar w:fldCharType="separate"/>
      </w:r>
      <w:r w:rsidR="0087365D">
        <w:t xml:space="preserve">Figure </w:t>
      </w:r>
      <w:r w:rsidR="0087365D">
        <w:rPr>
          <w:noProof/>
        </w:rPr>
        <w:t>19</w:t>
      </w:r>
      <w:r>
        <w:fldChar w:fldCharType="end"/>
      </w:r>
      <w:r>
        <w:t>.</w:t>
      </w:r>
      <w:r w:rsidR="00D00623">
        <w:t xml:space="preserve"> </w:t>
      </w:r>
      <w:r w:rsidR="00580018" w:rsidRPr="003D56F0">
        <w:t>The intervention effects were modelled for two years only.</w:t>
      </w:r>
      <w:r w:rsidR="004D24F1" w:rsidRPr="00627432">
        <w:t xml:space="preserve">  In the base case scenario, drug use in the intervention and control groups rebounded back between 12 months and 24 months. In the two year reduction </w:t>
      </w:r>
      <w:r w:rsidR="004D24F1" w:rsidRPr="003D56F0">
        <w:t>scenario, drug use continued to reduce at a linear rate in both groups until 24 months. Because drug use in both groups was on a downward trajectory, this meant that drug use fell to zero in the intervention group at 15 months and in the control group at 24 months.</w:t>
      </w:r>
      <w:r w:rsidR="004D24F1">
        <w:t xml:space="preserve"> The modelled outcomes were based on average drug use over the 24 month period. </w:t>
      </w:r>
    </w:p>
    <w:p w14:paraId="42EF9FF8" w14:textId="77777777" w:rsidR="00321F84" w:rsidRDefault="00321F84"/>
    <w:p w14:paraId="12E0BD0A" w14:textId="7FAA4EA7" w:rsidR="00321F84" w:rsidRDefault="00321F84">
      <w:pPr>
        <w:pStyle w:val="Caption"/>
      </w:pPr>
      <w:bookmarkStart w:id="67" w:name="_Ref448419155"/>
      <w:r>
        <w:lastRenderedPageBreak/>
        <w:t xml:space="preserve">Figure </w:t>
      </w:r>
      <w:fldSimple w:instr=" SEQ Figure \* ARABIC ">
        <w:r w:rsidR="0087365D">
          <w:rPr>
            <w:noProof/>
          </w:rPr>
          <w:t>19</w:t>
        </w:r>
      </w:fldSimple>
      <w:bookmarkEnd w:id="67"/>
      <w:r>
        <w:t>. Decision tree for family intervention for newly homeless youth.</w:t>
      </w:r>
    </w:p>
    <w:p w14:paraId="21583275" w14:textId="7C034F7E" w:rsidR="00321F84" w:rsidRPr="00321F84" w:rsidRDefault="00321F84">
      <w:r w:rsidRPr="00321F84">
        <w:rPr>
          <w:noProof/>
        </w:rPr>
        <w:drawing>
          <wp:inline distT="0" distB="0" distL="0" distR="0" wp14:anchorId="0B22CE78" wp14:editId="23C25E36">
            <wp:extent cx="4327297" cy="398705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7223" cy="3986988"/>
                    </a:xfrm>
                    <a:prstGeom prst="rect">
                      <a:avLst/>
                    </a:prstGeom>
                    <a:noFill/>
                    <a:ln>
                      <a:noFill/>
                    </a:ln>
                  </pic:spPr>
                </pic:pic>
              </a:graphicData>
            </a:graphic>
          </wp:inline>
        </w:drawing>
      </w:r>
    </w:p>
    <w:p w14:paraId="08542B80" w14:textId="77777777" w:rsidR="007F2A06" w:rsidRPr="003D56F0" w:rsidRDefault="007F2A06" w:rsidP="003D56F0"/>
    <w:p w14:paraId="45DE7D56" w14:textId="77777777" w:rsidR="007A18BC" w:rsidRDefault="007A18BC">
      <w:pPr>
        <w:pStyle w:val="Heading6"/>
      </w:pPr>
      <w:r w:rsidRPr="00052420">
        <w:t>Results</w:t>
      </w:r>
    </w:p>
    <w:p w14:paraId="037B3645" w14:textId="77777777" w:rsidR="007A18BC" w:rsidRDefault="007A18BC"/>
    <w:p w14:paraId="28DDA95E" w14:textId="09A0EE77" w:rsidR="00D00623" w:rsidRDefault="007A18BC">
      <w:r w:rsidRPr="00530985">
        <w:t xml:space="preserve">The </w:t>
      </w:r>
      <w:r>
        <w:t>model suggested that in the base case, the intervention would not be considered cost effective using a willingness to pay threshold of £20,000 per QALY. However, if the intervention continued to have an effect and the reduction in drug use continued over two years, the intervention would be approaching cost effectiveness. The intervention cost was varied to 25% lower (£619). If the intervention cost was less than £500, and the intervention had a longer term effect over the two years, then the intervention would have a cost per QALY of less than £20,000.</w:t>
      </w:r>
    </w:p>
    <w:p w14:paraId="7DE907EB" w14:textId="20158446" w:rsidR="00D00623" w:rsidRDefault="00D00623">
      <w:pPr>
        <w:spacing w:after="200"/>
      </w:pPr>
    </w:p>
    <w:p w14:paraId="452A9277" w14:textId="73213B89" w:rsidR="0017442A" w:rsidRDefault="0017442A" w:rsidP="001C12B3">
      <w:pPr>
        <w:pStyle w:val="Caption"/>
      </w:pPr>
      <w:r>
        <w:lastRenderedPageBreak/>
        <w:t xml:space="preserve">Table </w:t>
      </w:r>
      <w:fldSimple w:instr=" SEQ Table \* ARABIC ">
        <w:r w:rsidR="00D00623">
          <w:rPr>
            <w:noProof/>
          </w:rPr>
          <w:t>13</w:t>
        </w:r>
      </w:fldSimple>
      <w:r>
        <w:t xml:space="preserve">. Results </w:t>
      </w:r>
      <w:r w:rsidRPr="00DB1B0D">
        <w:t xml:space="preserve">from economic model based on </w:t>
      </w:r>
      <w:r>
        <w:t>Milburn et al., (2012)</w:t>
      </w:r>
    </w:p>
    <w:tbl>
      <w:tblPr>
        <w:tblW w:w="8731" w:type="dxa"/>
        <w:tblInd w:w="93" w:type="dxa"/>
        <w:tblLook w:val="04A0" w:firstRow="1" w:lastRow="0" w:firstColumn="1" w:lastColumn="0" w:noHBand="0" w:noVBand="1"/>
      </w:tblPr>
      <w:tblGrid>
        <w:gridCol w:w="1420"/>
        <w:gridCol w:w="1500"/>
        <w:gridCol w:w="1320"/>
        <w:gridCol w:w="1720"/>
        <w:gridCol w:w="1720"/>
        <w:gridCol w:w="1051"/>
      </w:tblGrid>
      <w:tr w:rsidR="00FE3E72" w:rsidRPr="0043407D" w14:paraId="1D2A38F9" w14:textId="77777777" w:rsidTr="00F649E4">
        <w:trPr>
          <w:trHeight w:val="285"/>
        </w:trPr>
        <w:tc>
          <w:tcPr>
            <w:tcW w:w="2920" w:type="dxa"/>
            <w:gridSpan w:val="2"/>
            <w:tcBorders>
              <w:top w:val="nil"/>
              <w:left w:val="nil"/>
              <w:bottom w:val="nil"/>
              <w:right w:val="nil"/>
            </w:tcBorders>
            <w:shd w:val="clear" w:color="auto" w:fill="auto"/>
            <w:noWrap/>
            <w:vAlign w:val="center"/>
            <w:hideMark/>
          </w:tcPr>
          <w:p w14:paraId="3BAC23E0" w14:textId="77777777" w:rsidR="00FE3E72" w:rsidRPr="0043407D" w:rsidRDefault="00FE3E72" w:rsidP="001C12B3">
            <w:pPr>
              <w:keepNext/>
              <w:rPr>
                <w:sz w:val="18"/>
                <w:szCs w:val="18"/>
              </w:rPr>
            </w:pPr>
            <w:r w:rsidRPr="0043407D">
              <w:rPr>
                <w:sz w:val="18"/>
                <w:szCs w:val="18"/>
              </w:rPr>
              <w:t>Base case scenario</w:t>
            </w:r>
          </w:p>
        </w:tc>
        <w:tc>
          <w:tcPr>
            <w:tcW w:w="1320" w:type="dxa"/>
            <w:tcBorders>
              <w:top w:val="nil"/>
              <w:left w:val="nil"/>
              <w:bottom w:val="nil"/>
              <w:right w:val="nil"/>
            </w:tcBorders>
            <w:shd w:val="clear" w:color="auto" w:fill="auto"/>
            <w:noWrap/>
            <w:vAlign w:val="bottom"/>
            <w:hideMark/>
          </w:tcPr>
          <w:p w14:paraId="55E90DFB" w14:textId="77777777" w:rsidR="00FE3E72" w:rsidRPr="0043407D" w:rsidRDefault="00FE3E72" w:rsidP="001C12B3">
            <w:pPr>
              <w:keepNext/>
              <w:rPr>
                <w:sz w:val="18"/>
                <w:szCs w:val="18"/>
              </w:rPr>
            </w:pPr>
          </w:p>
        </w:tc>
        <w:tc>
          <w:tcPr>
            <w:tcW w:w="1720" w:type="dxa"/>
            <w:tcBorders>
              <w:top w:val="nil"/>
              <w:left w:val="nil"/>
              <w:bottom w:val="nil"/>
              <w:right w:val="nil"/>
            </w:tcBorders>
            <w:shd w:val="clear" w:color="auto" w:fill="auto"/>
            <w:noWrap/>
            <w:vAlign w:val="bottom"/>
            <w:hideMark/>
          </w:tcPr>
          <w:p w14:paraId="68CA4C91" w14:textId="77777777" w:rsidR="00FE3E72" w:rsidRPr="0043407D" w:rsidRDefault="00FE3E72" w:rsidP="001C12B3">
            <w:pPr>
              <w:keepNext/>
              <w:rPr>
                <w:sz w:val="18"/>
                <w:szCs w:val="18"/>
              </w:rPr>
            </w:pPr>
          </w:p>
        </w:tc>
        <w:tc>
          <w:tcPr>
            <w:tcW w:w="1720" w:type="dxa"/>
            <w:tcBorders>
              <w:top w:val="nil"/>
              <w:left w:val="nil"/>
              <w:bottom w:val="nil"/>
              <w:right w:val="nil"/>
            </w:tcBorders>
            <w:shd w:val="clear" w:color="auto" w:fill="auto"/>
            <w:noWrap/>
            <w:vAlign w:val="bottom"/>
            <w:hideMark/>
          </w:tcPr>
          <w:p w14:paraId="33E85694" w14:textId="77777777" w:rsidR="00FE3E72" w:rsidRPr="0043407D" w:rsidRDefault="00FE3E72" w:rsidP="001C12B3">
            <w:pPr>
              <w:keepNext/>
              <w:rPr>
                <w:sz w:val="18"/>
                <w:szCs w:val="18"/>
              </w:rPr>
            </w:pPr>
          </w:p>
        </w:tc>
        <w:tc>
          <w:tcPr>
            <w:tcW w:w="1051" w:type="dxa"/>
            <w:tcBorders>
              <w:top w:val="nil"/>
              <w:left w:val="nil"/>
              <w:bottom w:val="nil"/>
              <w:right w:val="nil"/>
            </w:tcBorders>
            <w:shd w:val="clear" w:color="auto" w:fill="auto"/>
            <w:noWrap/>
            <w:vAlign w:val="bottom"/>
            <w:hideMark/>
          </w:tcPr>
          <w:p w14:paraId="734E47ED" w14:textId="77777777" w:rsidR="00FE3E72" w:rsidRPr="0043407D" w:rsidRDefault="00FE3E72" w:rsidP="001C12B3">
            <w:pPr>
              <w:keepNext/>
              <w:rPr>
                <w:sz w:val="18"/>
                <w:szCs w:val="18"/>
              </w:rPr>
            </w:pPr>
          </w:p>
        </w:tc>
      </w:tr>
      <w:tr w:rsidR="00FE3E72" w:rsidRPr="0043407D" w14:paraId="6336E6CA" w14:textId="77777777" w:rsidTr="00F649E4">
        <w:trPr>
          <w:trHeight w:val="525"/>
        </w:trPr>
        <w:tc>
          <w:tcPr>
            <w:tcW w:w="1420" w:type="dxa"/>
            <w:tcBorders>
              <w:top w:val="single" w:sz="4" w:space="0" w:color="000000"/>
              <w:left w:val="single" w:sz="4" w:space="0" w:color="000000"/>
              <w:bottom w:val="single" w:sz="8" w:space="0" w:color="auto"/>
              <w:right w:val="single" w:sz="8" w:space="0" w:color="auto"/>
            </w:tcBorders>
            <w:shd w:val="clear" w:color="auto" w:fill="auto"/>
            <w:vAlign w:val="center"/>
            <w:hideMark/>
          </w:tcPr>
          <w:p w14:paraId="77D87541" w14:textId="77777777" w:rsidR="00FE3E72" w:rsidRPr="0043407D" w:rsidRDefault="00FE3E72" w:rsidP="001C12B3">
            <w:pPr>
              <w:keepNext/>
              <w:rPr>
                <w:sz w:val="18"/>
                <w:szCs w:val="18"/>
              </w:rPr>
            </w:pPr>
            <w:r w:rsidRPr="0043407D">
              <w:rPr>
                <w:sz w:val="18"/>
                <w:szCs w:val="18"/>
              </w:rPr>
              <w:t> </w:t>
            </w:r>
          </w:p>
        </w:tc>
        <w:tc>
          <w:tcPr>
            <w:tcW w:w="1500" w:type="dxa"/>
            <w:tcBorders>
              <w:top w:val="single" w:sz="4" w:space="0" w:color="000000"/>
              <w:left w:val="nil"/>
              <w:bottom w:val="single" w:sz="8" w:space="0" w:color="auto"/>
              <w:right w:val="single" w:sz="8" w:space="0" w:color="auto"/>
            </w:tcBorders>
            <w:shd w:val="clear" w:color="auto" w:fill="auto"/>
            <w:vAlign w:val="center"/>
            <w:hideMark/>
          </w:tcPr>
          <w:p w14:paraId="461745C9" w14:textId="77777777" w:rsidR="00FE3E72" w:rsidRPr="0043407D" w:rsidRDefault="00FE3E72" w:rsidP="001C12B3">
            <w:pPr>
              <w:keepNext/>
              <w:rPr>
                <w:rFonts w:eastAsia="Times New Roman"/>
                <w:b/>
                <w:color w:val="000000"/>
                <w:sz w:val="18"/>
                <w:szCs w:val="18"/>
              </w:rPr>
            </w:pPr>
            <w:r w:rsidRPr="0043407D">
              <w:rPr>
                <w:b/>
                <w:sz w:val="18"/>
                <w:szCs w:val="18"/>
              </w:rPr>
              <w:t>Total costs (£)</w:t>
            </w:r>
          </w:p>
        </w:tc>
        <w:tc>
          <w:tcPr>
            <w:tcW w:w="1320" w:type="dxa"/>
            <w:tcBorders>
              <w:top w:val="single" w:sz="4" w:space="0" w:color="000000"/>
              <w:left w:val="nil"/>
              <w:bottom w:val="single" w:sz="8" w:space="0" w:color="auto"/>
              <w:right w:val="single" w:sz="8" w:space="0" w:color="auto"/>
            </w:tcBorders>
            <w:shd w:val="clear" w:color="auto" w:fill="auto"/>
            <w:vAlign w:val="center"/>
            <w:hideMark/>
          </w:tcPr>
          <w:p w14:paraId="05DCFD93" w14:textId="77777777" w:rsidR="00FE3E72" w:rsidRPr="0043407D" w:rsidRDefault="00FE3E72" w:rsidP="001C12B3">
            <w:pPr>
              <w:keepNext/>
              <w:rPr>
                <w:rFonts w:eastAsia="Times New Roman"/>
                <w:b/>
                <w:color w:val="000000"/>
                <w:sz w:val="18"/>
                <w:szCs w:val="18"/>
              </w:rPr>
            </w:pPr>
            <w:r w:rsidRPr="0043407D">
              <w:rPr>
                <w:b/>
                <w:sz w:val="18"/>
                <w:szCs w:val="18"/>
              </w:rPr>
              <w:t>Total QALYs lost</w:t>
            </w:r>
          </w:p>
        </w:tc>
        <w:tc>
          <w:tcPr>
            <w:tcW w:w="1720" w:type="dxa"/>
            <w:tcBorders>
              <w:top w:val="single" w:sz="4" w:space="0" w:color="000000"/>
              <w:left w:val="nil"/>
              <w:bottom w:val="single" w:sz="8" w:space="0" w:color="auto"/>
              <w:right w:val="single" w:sz="8" w:space="0" w:color="auto"/>
            </w:tcBorders>
            <w:shd w:val="clear" w:color="auto" w:fill="auto"/>
            <w:vAlign w:val="center"/>
            <w:hideMark/>
          </w:tcPr>
          <w:p w14:paraId="09F8A3CF" w14:textId="77777777" w:rsidR="00FE3E72" w:rsidRPr="0043407D" w:rsidRDefault="00FE3E72" w:rsidP="001C12B3">
            <w:pPr>
              <w:keepNext/>
              <w:rPr>
                <w:rFonts w:eastAsia="Times New Roman"/>
                <w:b/>
                <w:color w:val="000000"/>
                <w:sz w:val="18"/>
                <w:szCs w:val="18"/>
              </w:rPr>
            </w:pPr>
            <w:r w:rsidRPr="0043407D">
              <w:rPr>
                <w:b/>
                <w:sz w:val="18"/>
                <w:szCs w:val="18"/>
              </w:rPr>
              <w:t>Incremental costs (£)</w:t>
            </w:r>
          </w:p>
        </w:tc>
        <w:tc>
          <w:tcPr>
            <w:tcW w:w="1720" w:type="dxa"/>
            <w:tcBorders>
              <w:top w:val="single" w:sz="4" w:space="0" w:color="000000"/>
              <w:left w:val="nil"/>
              <w:bottom w:val="single" w:sz="8" w:space="0" w:color="auto"/>
              <w:right w:val="single" w:sz="8" w:space="0" w:color="auto"/>
            </w:tcBorders>
            <w:shd w:val="clear" w:color="auto" w:fill="auto"/>
            <w:vAlign w:val="center"/>
            <w:hideMark/>
          </w:tcPr>
          <w:p w14:paraId="22B0E08B" w14:textId="77777777" w:rsidR="00FE3E72" w:rsidRPr="0043407D" w:rsidRDefault="00FE3E72" w:rsidP="001C12B3">
            <w:pPr>
              <w:keepNext/>
              <w:rPr>
                <w:rFonts w:eastAsia="Times New Roman"/>
                <w:b/>
                <w:color w:val="000000"/>
                <w:sz w:val="18"/>
                <w:szCs w:val="18"/>
              </w:rPr>
            </w:pPr>
            <w:r w:rsidRPr="0043407D">
              <w:rPr>
                <w:b/>
                <w:sz w:val="18"/>
                <w:szCs w:val="18"/>
              </w:rPr>
              <w:t>Incremental QALYs</w:t>
            </w:r>
          </w:p>
        </w:tc>
        <w:tc>
          <w:tcPr>
            <w:tcW w:w="1051" w:type="dxa"/>
            <w:tcBorders>
              <w:top w:val="single" w:sz="4" w:space="0" w:color="000000"/>
              <w:left w:val="nil"/>
              <w:bottom w:val="single" w:sz="8" w:space="0" w:color="auto"/>
              <w:right w:val="single" w:sz="4" w:space="0" w:color="000000"/>
            </w:tcBorders>
            <w:shd w:val="clear" w:color="auto" w:fill="auto"/>
            <w:vAlign w:val="center"/>
            <w:hideMark/>
          </w:tcPr>
          <w:p w14:paraId="76A2EBA4" w14:textId="77777777" w:rsidR="00FE3E72" w:rsidRPr="0043407D" w:rsidRDefault="00FE3E72" w:rsidP="001C12B3">
            <w:pPr>
              <w:keepNext/>
              <w:rPr>
                <w:rFonts w:eastAsia="Times New Roman"/>
                <w:b/>
                <w:color w:val="000000"/>
                <w:sz w:val="18"/>
                <w:szCs w:val="18"/>
              </w:rPr>
            </w:pPr>
            <w:r w:rsidRPr="0043407D">
              <w:rPr>
                <w:b/>
                <w:sz w:val="18"/>
                <w:szCs w:val="18"/>
              </w:rPr>
              <w:t>ICER (£) (QALYs)</w:t>
            </w:r>
          </w:p>
        </w:tc>
      </w:tr>
      <w:tr w:rsidR="00F649E4" w:rsidRPr="0043407D" w14:paraId="72F2CC78" w14:textId="77777777" w:rsidTr="00E57B6E">
        <w:trPr>
          <w:trHeight w:val="315"/>
        </w:trPr>
        <w:tc>
          <w:tcPr>
            <w:tcW w:w="1420" w:type="dxa"/>
            <w:tcBorders>
              <w:top w:val="nil"/>
              <w:left w:val="single" w:sz="4" w:space="0" w:color="000000"/>
              <w:bottom w:val="single" w:sz="8" w:space="0" w:color="auto"/>
              <w:right w:val="single" w:sz="8" w:space="0" w:color="auto"/>
            </w:tcBorders>
            <w:shd w:val="clear" w:color="auto" w:fill="auto"/>
            <w:vAlign w:val="center"/>
            <w:hideMark/>
          </w:tcPr>
          <w:p w14:paraId="4C40C918" w14:textId="77777777" w:rsidR="00F649E4" w:rsidRPr="0043407D" w:rsidRDefault="00F649E4" w:rsidP="001C12B3">
            <w:pPr>
              <w:keepNext/>
              <w:rPr>
                <w:sz w:val="18"/>
                <w:szCs w:val="18"/>
              </w:rPr>
            </w:pPr>
            <w:r w:rsidRPr="0043407D">
              <w:rPr>
                <w:sz w:val="18"/>
                <w:szCs w:val="18"/>
              </w:rPr>
              <w:t>Intervention</w:t>
            </w:r>
          </w:p>
        </w:tc>
        <w:tc>
          <w:tcPr>
            <w:tcW w:w="1500" w:type="dxa"/>
            <w:tcBorders>
              <w:top w:val="single" w:sz="4" w:space="0" w:color="auto"/>
              <w:left w:val="single" w:sz="4" w:space="0" w:color="auto"/>
              <w:bottom w:val="single" w:sz="8" w:space="0" w:color="auto"/>
              <w:right w:val="single" w:sz="4" w:space="0" w:color="auto"/>
            </w:tcBorders>
            <w:shd w:val="clear" w:color="auto" w:fill="auto"/>
            <w:noWrap/>
            <w:vAlign w:val="bottom"/>
          </w:tcPr>
          <w:p w14:paraId="6C6F8544" w14:textId="31EFFA61" w:rsidR="00F649E4" w:rsidRPr="0043407D" w:rsidRDefault="00F649E4" w:rsidP="00E57B6E">
            <w:pPr>
              <w:keepNext/>
              <w:jc w:val="right"/>
              <w:rPr>
                <w:rFonts w:eastAsia="Times New Roman"/>
                <w:color w:val="000000"/>
                <w:sz w:val="18"/>
                <w:szCs w:val="18"/>
              </w:rPr>
            </w:pPr>
            <w:r w:rsidRPr="0043407D">
              <w:rPr>
                <w:color w:val="000000"/>
                <w:sz w:val="18"/>
                <w:szCs w:val="18"/>
              </w:rPr>
              <w:t>£390,528</w:t>
            </w:r>
          </w:p>
        </w:tc>
        <w:tc>
          <w:tcPr>
            <w:tcW w:w="1320" w:type="dxa"/>
            <w:tcBorders>
              <w:top w:val="single" w:sz="4" w:space="0" w:color="auto"/>
              <w:left w:val="nil"/>
              <w:bottom w:val="single" w:sz="8" w:space="0" w:color="auto"/>
              <w:right w:val="single" w:sz="4" w:space="0" w:color="auto"/>
            </w:tcBorders>
            <w:shd w:val="clear" w:color="auto" w:fill="auto"/>
            <w:noWrap/>
            <w:vAlign w:val="bottom"/>
          </w:tcPr>
          <w:p w14:paraId="0D5882F5" w14:textId="5E6538AC" w:rsidR="00F649E4" w:rsidRPr="0043407D" w:rsidRDefault="00F649E4" w:rsidP="00E57B6E">
            <w:pPr>
              <w:keepNext/>
              <w:jc w:val="right"/>
              <w:rPr>
                <w:rFonts w:eastAsia="Times New Roman"/>
                <w:color w:val="000000"/>
                <w:sz w:val="18"/>
                <w:szCs w:val="18"/>
              </w:rPr>
            </w:pPr>
            <w:r w:rsidRPr="0043407D">
              <w:rPr>
                <w:color w:val="000000"/>
                <w:sz w:val="18"/>
                <w:szCs w:val="18"/>
              </w:rPr>
              <w:t>9</w:t>
            </w:r>
          </w:p>
        </w:tc>
        <w:tc>
          <w:tcPr>
            <w:tcW w:w="1720" w:type="dxa"/>
            <w:vMerge w:val="restart"/>
            <w:tcBorders>
              <w:top w:val="nil"/>
              <w:left w:val="single" w:sz="8" w:space="0" w:color="auto"/>
              <w:bottom w:val="single" w:sz="4" w:space="0" w:color="000000"/>
              <w:right w:val="single" w:sz="8" w:space="0" w:color="auto"/>
            </w:tcBorders>
            <w:shd w:val="clear" w:color="auto" w:fill="auto"/>
            <w:vAlign w:val="bottom"/>
          </w:tcPr>
          <w:p w14:paraId="17A4B138" w14:textId="6C3C0BBA" w:rsidR="00F649E4" w:rsidRPr="0043407D" w:rsidRDefault="00F649E4" w:rsidP="00E57B6E">
            <w:pPr>
              <w:keepNext/>
              <w:jc w:val="right"/>
              <w:rPr>
                <w:rFonts w:eastAsia="Times New Roman"/>
                <w:color w:val="000000"/>
                <w:sz w:val="18"/>
                <w:szCs w:val="18"/>
              </w:rPr>
            </w:pPr>
            <w:r w:rsidRPr="0043407D">
              <w:rPr>
                <w:color w:val="000000"/>
                <w:sz w:val="18"/>
                <w:szCs w:val="18"/>
              </w:rPr>
              <w:t xml:space="preserve">               348,981 </w:t>
            </w:r>
          </w:p>
        </w:tc>
        <w:tc>
          <w:tcPr>
            <w:tcW w:w="1720" w:type="dxa"/>
            <w:vMerge w:val="restart"/>
            <w:tcBorders>
              <w:top w:val="nil"/>
              <w:left w:val="single" w:sz="8" w:space="0" w:color="auto"/>
              <w:bottom w:val="single" w:sz="4" w:space="0" w:color="000000"/>
              <w:right w:val="single" w:sz="8" w:space="0" w:color="auto"/>
            </w:tcBorders>
            <w:shd w:val="clear" w:color="auto" w:fill="auto"/>
            <w:vAlign w:val="bottom"/>
          </w:tcPr>
          <w:p w14:paraId="242F7E5F" w14:textId="569AD854" w:rsidR="00F649E4" w:rsidRPr="0043407D" w:rsidRDefault="00F649E4" w:rsidP="00E57B6E">
            <w:pPr>
              <w:keepNext/>
              <w:jc w:val="right"/>
              <w:rPr>
                <w:rFonts w:eastAsia="Times New Roman"/>
                <w:color w:val="000000"/>
                <w:sz w:val="18"/>
                <w:szCs w:val="18"/>
              </w:rPr>
            </w:pPr>
            <w:r w:rsidRPr="0043407D">
              <w:rPr>
                <w:color w:val="000000"/>
                <w:sz w:val="18"/>
                <w:szCs w:val="18"/>
              </w:rPr>
              <w:t xml:space="preserve">                    2.98 </w:t>
            </w:r>
          </w:p>
        </w:tc>
        <w:tc>
          <w:tcPr>
            <w:tcW w:w="1051" w:type="dxa"/>
            <w:vMerge w:val="restart"/>
            <w:tcBorders>
              <w:top w:val="nil"/>
              <w:left w:val="single" w:sz="8" w:space="0" w:color="auto"/>
              <w:bottom w:val="single" w:sz="4" w:space="0" w:color="000000"/>
              <w:right w:val="single" w:sz="4" w:space="0" w:color="000000"/>
            </w:tcBorders>
            <w:shd w:val="clear" w:color="auto" w:fill="auto"/>
            <w:vAlign w:val="bottom"/>
          </w:tcPr>
          <w:p w14:paraId="4D0FD1DC" w14:textId="0D69EECD" w:rsidR="00F649E4" w:rsidRPr="0043407D" w:rsidRDefault="00F649E4" w:rsidP="00E57B6E">
            <w:pPr>
              <w:keepNext/>
              <w:jc w:val="right"/>
              <w:rPr>
                <w:rFonts w:eastAsia="Times New Roman"/>
                <w:color w:val="000000"/>
                <w:sz w:val="18"/>
                <w:szCs w:val="18"/>
              </w:rPr>
            </w:pPr>
            <w:r w:rsidRPr="0043407D">
              <w:rPr>
                <w:color w:val="000000"/>
                <w:sz w:val="18"/>
                <w:szCs w:val="18"/>
              </w:rPr>
              <w:t>£117,125</w:t>
            </w:r>
          </w:p>
        </w:tc>
      </w:tr>
      <w:tr w:rsidR="00F649E4" w:rsidRPr="0043407D" w14:paraId="2C194A21" w14:textId="77777777" w:rsidTr="00E57B6E">
        <w:trPr>
          <w:trHeight w:val="315"/>
        </w:trPr>
        <w:tc>
          <w:tcPr>
            <w:tcW w:w="1420" w:type="dxa"/>
            <w:tcBorders>
              <w:top w:val="nil"/>
              <w:left w:val="single" w:sz="4" w:space="0" w:color="000000"/>
              <w:bottom w:val="single" w:sz="4" w:space="0" w:color="000000"/>
              <w:right w:val="single" w:sz="8" w:space="0" w:color="auto"/>
            </w:tcBorders>
            <w:shd w:val="clear" w:color="auto" w:fill="auto"/>
            <w:vAlign w:val="center"/>
            <w:hideMark/>
          </w:tcPr>
          <w:p w14:paraId="679B18D8" w14:textId="77777777" w:rsidR="00F649E4" w:rsidRPr="0043407D" w:rsidRDefault="00F649E4" w:rsidP="001C12B3">
            <w:pPr>
              <w:keepNext/>
              <w:rPr>
                <w:rFonts w:eastAsia="Times New Roman"/>
                <w:color w:val="000000"/>
                <w:sz w:val="18"/>
                <w:szCs w:val="18"/>
              </w:rPr>
            </w:pPr>
            <w:r w:rsidRPr="0043407D">
              <w:rPr>
                <w:sz w:val="18"/>
                <w:szCs w:val="18"/>
              </w:rPr>
              <w:t>Comparator</w:t>
            </w:r>
          </w:p>
        </w:tc>
        <w:tc>
          <w:tcPr>
            <w:tcW w:w="1500" w:type="dxa"/>
            <w:tcBorders>
              <w:top w:val="single" w:sz="4" w:space="0" w:color="auto"/>
              <w:left w:val="single" w:sz="4" w:space="0" w:color="auto"/>
              <w:bottom w:val="single" w:sz="8" w:space="0" w:color="auto"/>
              <w:right w:val="single" w:sz="4" w:space="0" w:color="auto"/>
            </w:tcBorders>
            <w:shd w:val="clear" w:color="auto" w:fill="auto"/>
            <w:noWrap/>
            <w:vAlign w:val="bottom"/>
          </w:tcPr>
          <w:p w14:paraId="4414FD0C" w14:textId="0AFA89AD" w:rsidR="00F649E4" w:rsidRPr="0043407D" w:rsidRDefault="00F649E4" w:rsidP="00E57B6E">
            <w:pPr>
              <w:keepNext/>
              <w:jc w:val="right"/>
              <w:rPr>
                <w:rFonts w:eastAsia="Times New Roman"/>
                <w:color w:val="000000"/>
                <w:sz w:val="18"/>
                <w:szCs w:val="18"/>
              </w:rPr>
            </w:pPr>
            <w:r w:rsidRPr="0043407D">
              <w:rPr>
                <w:color w:val="000000"/>
                <w:sz w:val="18"/>
                <w:szCs w:val="18"/>
              </w:rPr>
              <w:t>£41,547</w:t>
            </w:r>
          </w:p>
        </w:tc>
        <w:tc>
          <w:tcPr>
            <w:tcW w:w="1320" w:type="dxa"/>
            <w:tcBorders>
              <w:top w:val="single" w:sz="4" w:space="0" w:color="auto"/>
              <w:left w:val="nil"/>
              <w:bottom w:val="single" w:sz="8" w:space="0" w:color="auto"/>
              <w:right w:val="single" w:sz="4" w:space="0" w:color="auto"/>
            </w:tcBorders>
            <w:shd w:val="clear" w:color="auto" w:fill="auto"/>
            <w:noWrap/>
            <w:vAlign w:val="bottom"/>
          </w:tcPr>
          <w:p w14:paraId="743C8262" w14:textId="48807967" w:rsidR="00F649E4" w:rsidRPr="0043407D" w:rsidRDefault="00F649E4" w:rsidP="00E57B6E">
            <w:pPr>
              <w:keepNext/>
              <w:jc w:val="right"/>
              <w:rPr>
                <w:rFonts w:eastAsia="Times New Roman"/>
                <w:color w:val="000000"/>
                <w:sz w:val="18"/>
                <w:szCs w:val="18"/>
              </w:rPr>
            </w:pPr>
            <w:r w:rsidRPr="0043407D">
              <w:rPr>
                <w:color w:val="000000"/>
                <w:sz w:val="18"/>
                <w:szCs w:val="18"/>
              </w:rPr>
              <w:t>12</w:t>
            </w:r>
          </w:p>
        </w:tc>
        <w:tc>
          <w:tcPr>
            <w:tcW w:w="1720" w:type="dxa"/>
            <w:vMerge/>
            <w:tcBorders>
              <w:top w:val="nil"/>
              <w:left w:val="single" w:sz="8" w:space="0" w:color="auto"/>
              <w:bottom w:val="single" w:sz="4" w:space="0" w:color="000000"/>
              <w:right w:val="single" w:sz="8" w:space="0" w:color="auto"/>
            </w:tcBorders>
            <w:vAlign w:val="bottom"/>
          </w:tcPr>
          <w:p w14:paraId="5062DF50" w14:textId="77777777" w:rsidR="00F649E4" w:rsidRPr="0043407D" w:rsidRDefault="00F649E4" w:rsidP="00E57B6E">
            <w:pPr>
              <w:keepNext/>
              <w:jc w:val="right"/>
              <w:rPr>
                <w:sz w:val="18"/>
                <w:szCs w:val="18"/>
              </w:rPr>
            </w:pPr>
          </w:p>
        </w:tc>
        <w:tc>
          <w:tcPr>
            <w:tcW w:w="1720" w:type="dxa"/>
            <w:vMerge/>
            <w:tcBorders>
              <w:top w:val="nil"/>
              <w:left w:val="single" w:sz="8" w:space="0" w:color="auto"/>
              <w:bottom w:val="single" w:sz="4" w:space="0" w:color="000000"/>
              <w:right w:val="single" w:sz="8" w:space="0" w:color="auto"/>
            </w:tcBorders>
            <w:vAlign w:val="bottom"/>
          </w:tcPr>
          <w:p w14:paraId="7C1DE7AF" w14:textId="77777777" w:rsidR="00F649E4" w:rsidRPr="0043407D" w:rsidRDefault="00F649E4" w:rsidP="00E57B6E">
            <w:pPr>
              <w:keepNext/>
              <w:jc w:val="right"/>
              <w:rPr>
                <w:sz w:val="18"/>
                <w:szCs w:val="18"/>
              </w:rPr>
            </w:pPr>
          </w:p>
        </w:tc>
        <w:tc>
          <w:tcPr>
            <w:tcW w:w="1051" w:type="dxa"/>
            <w:vMerge/>
            <w:tcBorders>
              <w:top w:val="nil"/>
              <w:left w:val="single" w:sz="8" w:space="0" w:color="auto"/>
              <w:bottom w:val="single" w:sz="4" w:space="0" w:color="000000"/>
              <w:right w:val="single" w:sz="4" w:space="0" w:color="000000"/>
            </w:tcBorders>
            <w:vAlign w:val="bottom"/>
          </w:tcPr>
          <w:p w14:paraId="224E2CCC" w14:textId="77777777" w:rsidR="00F649E4" w:rsidRPr="0043407D" w:rsidRDefault="00F649E4" w:rsidP="00E57B6E">
            <w:pPr>
              <w:keepNext/>
              <w:jc w:val="right"/>
              <w:rPr>
                <w:sz w:val="18"/>
                <w:szCs w:val="18"/>
              </w:rPr>
            </w:pPr>
          </w:p>
        </w:tc>
      </w:tr>
      <w:tr w:rsidR="00FE3E72" w:rsidRPr="0043407D" w14:paraId="6F8143D5" w14:textId="77777777" w:rsidTr="00F649E4">
        <w:trPr>
          <w:trHeight w:val="285"/>
        </w:trPr>
        <w:tc>
          <w:tcPr>
            <w:tcW w:w="1420" w:type="dxa"/>
            <w:tcBorders>
              <w:top w:val="nil"/>
              <w:left w:val="nil"/>
              <w:bottom w:val="nil"/>
              <w:right w:val="nil"/>
            </w:tcBorders>
            <w:shd w:val="clear" w:color="auto" w:fill="auto"/>
            <w:noWrap/>
            <w:vAlign w:val="center"/>
            <w:hideMark/>
          </w:tcPr>
          <w:p w14:paraId="613D9A6B" w14:textId="77777777" w:rsidR="00FE3E72" w:rsidRPr="0043407D" w:rsidRDefault="00FE3E72" w:rsidP="001C12B3">
            <w:pPr>
              <w:keepNext/>
              <w:rPr>
                <w:sz w:val="18"/>
                <w:szCs w:val="18"/>
              </w:rPr>
            </w:pPr>
          </w:p>
        </w:tc>
        <w:tc>
          <w:tcPr>
            <w:tcW w:w="1500" w:type="dxa"/>
            <w:tcBorders>
              <w:top w:val="nil"/>
              <w:left w:val="nil"/>
              <w:bottom w:val="nil"/>
              <w:right w:val="nil"/>
            </w:tcBorders>
            <w:shd w:val="clear" w:color="auto" w:fill="auto"/>
            <w:noWrap/>
            <w:vAlign w:val="bottom"/>
            <w:hideMark/>
          </w:tcPr>
          <w:p w14:paraId="1359F130" w14:textId="77777777" w:rsidR="00FE3E72" w:rsidRPr="0043407D" w:rsidRDefault="00FE3E72" w:rsidP="001C12B3">
            <w:pPr>
              <w:keepNext/>
              <w:rPr>
                <w:sz w:val="18"/>
                <w:szCs w:val="18"/>
              </w:rPr>
            </w:pPr>
          </w:p>
        </w:tc>
        <w:tc>
          <w:tcPr>
            <w:tcW w:w="1320" w:type="dxa"/>
            <w:tcBorders>
              <w:top w:val="nil"/>
              <w:left w:val="nil"/>
              <w:bottom w:val="nil"/>
              <w:right w:val="nil"/>
            </w:tcBorders>
            <w:shd w:val="clear" w:color="auto" w:fill="auto"/>
            <w:noWrap/>
            <w:vAlign w:val="bottom"/>
            <w:hideMark/>
          </w:tcPr>
          <w:p w14:paraId="7C866AA4" w14:textId="77777777" w:rsidR="00FE3E72" w:rsidRPr="0043407D" w:rsidRDefault="00FE3E72" w:rsidP="001C12B3">
            <w:pPr>
              <w:keepNext/>
              <w:rPr>
                <w:sz w:val="18"/>
                <w:szCs w:val="18"/>
              </w:rPr>
            </w:pPr>
          </w:p>
        </w:tc>
        <w:tc>
          <w:tcPr>
            <w:tcW w:w="1720" w:type="dxa"/>
            <w:tcBorders>
              <w:top w:val="nil"/>
              <w:left w:val="nil"/>
              <w:bottom w:val="nil"/>
              <w:right w:val="nil"/>
            </w:tcBorders>
            <w:shd w:val="clear" w:color="auto" w:fill="auto"/>
            <w:noWrap/>
            <w:vAlign w:val="bottom"/>
            <w:hideMark/>
          </w:tcPr>
          <w:p w14:paraId="4BB61C39" w14:textId="77777777" w:rsidR="00FE3E72" w:rsidRPr="0043407D" w:rsidRDefault="00FE3E72" w:rsidP="001C12B3">
            <w:pPr>
              <w:keepNext/>
              <w:rPr>
                <w:sz w:val="18"/>
                <w:szCs w:val="18"/>
              </w:rPr>
            </w:pPr>
          </w:p>
        </w:tc>
        <w:tc>
          <w:tcPr>
            <w:tcW w:w="1720" w:type="dxa"/>
            <w:tcBorders>
              <w:top w:val="nil"/>
              <w:left w:val="nil"/>
              <w:bottom w:val="nil"/>
              <w:right w:val="nil"/>
            </w:tcBorders>
            <w:shd w:val="clear" w:color="auto" w:fill="auto"/>
            <w:noWrap/>
            <w:vAlign w:val="bottom"/>
            <w:hideMark/>
          </w:tcPr>
          <w:p w14:paraId="2465A048" w14:textId="77777777" w:rsidR="00FE3E72" w:rsidRPr="0043407D" w:rsidRDefault="00FE3E72" w:rsidP="001C12B3">
            <w:pPr>
              <w:keepNext/>
              <w:rPr>
                <w:sz w:val="18"/>
                <w:szCs w:val="18"/>
              </w:rPr>
            </w:pPr>
          </w:p>
        </w:tc>
        <w:tc>
          <w:tcPr>
            <w:tcW w:w="1051" w:type="dxa"/>
            <w:tcBorders>
              <w:top w:val="nil"/>
              <w:left w:val="nil"/>
              <w:bottom w:val="nil"/>
              <w:right w:val="nil"/>
            </w:tcBorders>
            <w:shd w:val="clear" w:color="auto" w:fill="auto"/>
            <w:noWrap/>
            <w:vAlign w:val="bottom"/>
            <w:hideMark/>
          </w:tcPr>
          <w:p w14:paraId="69C2C15F" w14:textId="77777777" w:rsidR="00FE3E72" w:rsidRPr="0043407D" w:rsidRDefault="00FE3E72" w:rsidP="001C12B3">
            <w:pPr>
              <w:keepNext/>
              <w:rPr>
                <w:sz w:val="18"/>
                <w:szCs w:val="18"/>
              </w:rPr>
            </w:pPr>
          </w:p>
        </w:tc>
      </w:tr>
      <w:tr w:rsidR="00FE3E72" w:rsidRPr="0043407D" w14:paraId="34C14E04" w14:textId="77777777" w:rsidTr="00F649E4">
        <w:trPr>
          <w:trHeight w:val="285"/>
        </w:trPr>
        <w:tc>
          <w:tcPr>
            <w:tcW w:w="2920" w:type="dxa"/>
            <w:gridSpan w:val="2"/>
            <w:tcBorders>
              <w:top w:val="nil"/>
              <w:left w:val="nil"/>
              <w:bottom w:val="nil"/>
              <w:right w:val="nil"/>
            </w:tcBorders>
            <w:shd w:val="clear" w:color="auto" w:fill="auto"/>
            <w:noWrap/>
            <w:vAlign w:val="center"/>
            <w:hideMark/>
          </w:tcPr>
          <w:p w14:paraId="4D1438EA" w14:textId="77777777" w:rsidR="00FE3E72" w:rsidRPr="0043407D" w:rsidRDefault="00FE3E72" w:rsidP="001C12B3">
            <w:pPr>
              <w:keepNext/>
              <w:rPr>
                <w:rFonts w:eastAsia="Times New Roman"/>
                <w:color w:val="000000"/>
                <w:sz w:val="18"/>
                <w:szCs w:val="18"/>
              </w:rPr>
            </w:pPr>
            <w:r w:rsidRPr="0043407D">
              <w:rPr>
                <w:sz w:val="18"/>
                <w:szCs w:val="18"/>
              </w:rPr>
              <w:t>2 year reduction scenario</w:t>
            </w:r>
          </w:p>
        </w:tc>
        <w:tc>
          <w:tcPr>
            <w:tcW w:w="1320" w:type="dxa"/>
            <w:tcBorders>
              <w:top w:val="nil"/>
              <w:left w:val="nil"/>
              <w:bottom w:val="nil"/>
              <w:right w:val="nil"/>
            </w:tcBorders>
            <w:shd w:val="clear" w:color="auto" w:fill="auto"/>
            <w:noWrap/>
            <w:vAlign w:val="bottom"/>
            <w:hideMark/>
          </w:tcPr>
          <w:p w14:paraId="1BD8507C" w14:textId="77777777" w:rsidR="00FE3E72" w:rsidRPr="0043407D" w:rsidRDefault="00FE3E72" w:rsidP="001C12B3">
            <w:pPr>
              <w:keepNext/>
              <w:rPr>
                <w:sz w:val="18"/>
                <w:szCs w:val="18"/>
              </w:rPr>
            </w:pPr>
          </w:p>
        </w:tc>
        <w:tc>
          <w:tcPr>
            <w:tcW w:w="1720" w:type="dxa"/>
            <w:tcBorders>
              <w:top w:val="nil"/>
              <w:left w:val="nil"/>
              <w:bottom w:val="nil"/>
              <w:right w:val="nil"/>
            </w:tcBorders>
            <w:shd w:val="clear" w:color="auto" w:fill="auto"/>
            <w:noWrap/>
            <w:vAlign w:val="bottom"/>
            <w:hideMark/>
          </w:tcPr>
          <w:p w14:paraId="549478F7" w14:textId="77777777" w:rsidR="00FE3E72" w:rsidRPr="0043407D" w:rsidRDefault="00FE3E72" w:rsidP="001C12B3">
            <w:pPr>
              <w:keepNext/>
              <w:rPr>
                <w:sz w:val="18"/>
                <w:szCs w:val="18"/>
              </w:rPr>
            </w:pPr>
          </w:p>
        </w:tc>
        <w:tc>
          <w:tcPr>
            <w:tcW w:w="1720" w:type="dxa"/>
            <w:tcBorders>
              <w:top w:val="nil"/>
              <w:left w:val="nil"/>
              <w:bottom w:val="nil"/>
              <w:right w:val="nil"/>
            </w:tcBorders>
            <w:shd w:val="clear" w:color="auto" w:fill="auto"/>
            <w:noWrap/>
            <w:vAlign w:val="bottom"/>
            <w:hideMark/>
          </w:tcPr>
          <w:p w14:paraId="5EF1865A" w14:textId="77777777" w:rsidR="00FE3E72" w:rsidRPr="0043407D" w:rsidRDefault="00FE3E72" w:rsidP="001C12B3">
            <w:pPr>
              <w:keepNext/>
              <w:rPr>
                <w:sz w:val="18"/>
                <w:szCs w:val="18"/>
              </w:rPr>
            </w:pPr>
          </w:p>
        </w:tc>
        <w:tc>
          <w:tcPr>
            <w:tcW w:w="1051" w:type="dxa"/>
            <w:tcBorders>
              <w:top w:val="nil"/>
              <w:left w:val="nil"/>
              <w:bottom w:val="nil"/>
              <w:right w:val="nil"/>
            </w:tcBorders>
            <w:shd w:val="clear" w:color="auto" w:fill="auto"/>
            <w:noWrap/>
            <w:vAlign w:val="bottom"/>
            <w:hideMark/>
          </w:tcPr>
          <w:p w14:paraId="72BC16BD" w14:textId="77777777" w:rsidR="00FE3E72" w:rsidRPr="0043407D" w:rsidRDefault="00FE3E72" w:rsidP="001C12B3">
            <w:pPr>
              <w:keepNext/>
              <w:rPr>
                <w:sz w:val="18"/>
                <w:szCs w:val="18"/>
              </w:rPr>
            </w:pPr>
          </w:p>
        </w:tc>
      </w:tr>
      <w:tr w:rsidR="00FE3E72" w:rsidRPr="0043407D" w14:paraId="0001179E" w14:textId="77777777" w:rsidTr="00F649E4">
        <w:trPr>
          <w:trHeight w:val="525"/>
        </w:trPr>
        <w:tc>
          <w:tcPr>
            <w:tcW w:w="1420" w:type="dxa"/>
            <w:tcBorders>
              <w:top w:val="single" w:sz="4" w:space="0" w:color="000000"/>
              <w:left w:val="single" w:sz="4" w:space="0" w:color="000000"/>
              <w:bottom w:val="single" w:sz="8" w:space="0" w:color="auto"/>
              <w:right w:val="single" w:sz="8" w:space="0" w:color="auto"/>
            </w:tcBorders>
            <w:shd w:val="clear" w:color="auto" w:fill="auto"/>
            <w:vAlign w:val="center"/>
            <w:hideMark/>
          </w:tcPr>
          <w:p w14:paraId="76DAC4F1" w14:textId="77777777" w:rsidR="00FE3E72" w:rsidRPr="0043407D" w:rsidRDefault="00FE3E72" w:rsidP="001C12B3">
            <w:pPr>
              <w:keepNext/>
              <w:rPr>
                <w:rFonts w:eastAsia="Times New Roman"/>
                <w:color w:val="000000"/>
                <w:sz w:val="18"/>
                <w:szCs w:val="18"/>
              </w:rPr>
            </w:pPr>
            <w:r w:rsidRPr="0043407D">
              <w:rPr>
                <w:sz w:val="18"/>
                <w:szCs w:val="18"/>
              </w:rPr>
              <w:t> </w:t>
            </w:r>
          </w:p>
        </w:tc>
        <w:tc>
          <w:tcPr>
            <w:tcW w:w="1500" w:type="dxa"/>
            <w:tcBorders>
              <w:top w:val="single" w:sz="4" w:space="0" w:color="000000"/>
              <w:left w:val="nil"/>
              <w:bottom w:val="single" w:sz="8" w:space="0" w:color="auto"/>
              <w:right w:val="single" w:sz="8" w:space="0" w:color="auto"/>
            </w:tcBorders>
            <w:shd w:val="clear" w:color="auto" w:fill="auto"/>
            <w:vAlign w:val="center"/>
            <w:hideMark/>
          </w:tcPr>
          <w:p w14:paraId="41C25B6B" w14:textId="77777777" w:rsidR="00FE3E72" w:rsidRPr="0043407D" w:rsidRDefault="00FE3E72" w:rsidP="001C12B3">
            <w:pPr>
              <w:keepNext/>
              <w:rPr>
                <w:rFonts w:eastAsia="Times New Roman"/>
                <w:b/>
                <w:color w:val="000000"/>
                <w:sz w:val="18"/>
                <w:szCs w:val="18"/>
              </w:rPr>
            </w:pPr>
            <w:r w:rsidRPr="0043407D">
              <w:rPr>
                <w:b/>
                <w:sz w:val="18"/>
                <w:szCs w:val="18"/>
              </w:rPr>
              <w:t>Total costs (£)</w:t>
            </w:r>
          </w:p>
        </w:tc>
        <w:tc>
          <w:tcPr>
            <w:tcW w:w="1320" w:type="dxa"/>
            <w:tcBorders>
              <w:top w:val="single" w:sz="4" w:space="0" w:color="000000"/>
              <w:left w:val="nil"/>
              <w:bottom w:val="single" w:sz="8" w:space="0" w:color="auto"/>
              <w:right w:val="single" w:sz="8" w:space="0" w:color="auto"/>
            </w:tcBorders>
            <w:shd w:val="clear" w:color="auto" w:fill="auto"/>
            <w:vAlign w:val="center"/>
            <w:hideMark/>
          </w:tcPr>
          <w:p w14:paraId="5839FA1A" w14:textId="77777777" w:rsidR="00FE3E72" w:rsidRPr="0043407D" w:rsidRDefault="00FE3E72" w:rsidP="001C12B3">
            <w:pPr>
              <w:keepNext/>
              <w:rPr>
                <w:rFonts w:eastAsia="Times New Roman"/>
                <w:b/>
                <w:color w:val="000000"/>
                <w:sz w:val="18"/>
                <w:szCs w:val="18"/>
              </w:rPr>
            </w:pPr>
            <w:r w:rsidRPr="0043407D">
              <w:rPr>
                <w:b/>
                <w:sz w:val="18"/>
                <w:szCs w:val="18"/>
              </w:rPr>
              <w:t>Total QALYs lost</w:t>
            </w:r>
          </w:p>
        </w:tc>
        <w:tc>
          <w:tcPr>
            <w:tcW w:w="1720" w:type="dxa"/>
            <w:tcBorders>
              <w:top w:val="single" w:sz="4" w:space="0" w:color="000000"/>
              <w:left w:val="nil"/>
              <w:bottom w:val="single" w:sz="8" w:space="0" w:color="auto"/>
              <w:right w:val="single" w:sz="8" w:space="0" w:color="auto"/>
            </w:tcBorders>
            <w:shd w:val="clear" w:color="auto" w:fill="auto"/>
            <w:vAlign w:val="center"/>
            <w:hideMark/>
          </w:tcPr>
          <w:p w14:paraId="433C964E" w14:textId="77777777" w:rsidR="00FE3E72" w:rsidRPr="0043407D" w:rsidRDefault="00FE3E72" w:rsidP="001C12B3">
            <w:pPr>
              <w:keepNext/>
              <w:rPr>
                <w:rFonts w:eastAsia="Times New Roman"/>
                <w:b/>
                <w:color w:val="000000"/>
                <w:sz w:val="18"/>
                <w:szCs w:val="18"/>
              </w:rPr>
            </w:pPr>
            <w:r w:rsidRPr="0043407D">
              <w:rPr>
                <w:b/>
                <w:sz w:val="18"/>
                <w:szCs w:val="18"/>
              </w:rPr>
              <w:t>Incremental costs (£)</w:t>
            </w:r>
          </w:p>
        </w:tc>
        <w:tc>
          <w:tcPr>
            <w:tcW w:w="1720" w:type="dxa"/>
            <w:tcBorders>
              <w:top w:val="single" w:sz="4" w:space="0" w:color="000000"/>
              <w:left w:val="nil"/>
              <w:bottom w:val="single" w:sz="8" w:space="0" w:color="auto"/>
              <w:right w:val="single" w:sz="8" w:space="0" w:color="auto"/>
            </w:tcBorders>
            <w:shd w:val="clear" w:color="auto" w:fill="auto"/>
            <w:vAlign w:val="center"/>
            <w:hideMark/>
          </w:tcPr>
          <w:p w14:paraId="065F0688" w14:textId="77777777" w:rsidR="00FE3E72" w:rsidRPr="0043407D" w:rsidRDefault="00FE3E72" w:rsidP="001C12B3">
            <w:pPr>
              <w:keepNext/>
              <w:rPr>
                <w:rFonts w:eastAsia="Times New Roman"/>
                <w:b/>
                <w:color w:val="000000"/>
                <w:sz w:val="18"/>
                <w:szCs w:val="18"/>
              </w:rPr>
            </w:pPr>
            <w:r w:rsidRPr="0043407D">
              <w:rPr>
                <w:b/>
                <w:sz w:val="18"/>
                <w:szCs w:val="18"/>
              </w:rPr>
              <w:t>Incremental QALYs</w:t>
            </w:r>
          </w:p>
        </w:tc>
        <w:tc>
          <w:tcPr>
            <w:tcW w:w="1051" w:type="dxa"/>
            <w:tcBorders>
              <w:top w:val="single" w:sz="4" w:space="0" w:color="000000"/>
              <w:left w:val="nil"/>
              <w:bottom w:val="single" w:sz="8" w:space="0" w:color="auto"/>
              <w:right w:val="single" w:sz="4" w:space="0" w:color="000000"/>
            </w:tcBorders>
            <w:shd w:val="clear" w:color="auto" w:fill="auto"/>
            <w:vAlign w:val="center"/>
            <w:hideMark/>
          </w:tcPr>
          <w:p w14:paraId="068A3ADE" w14:textId="77777777" w:rsidR="00FE3E72" w:rsidRPr="0043407D" w:rsidRDefault="00FE3E72" w:rsidP="001C12B3">
            <w:pPr>
              <w:keepNext/>
              <w:rPr>
                <w:rFonts w:eastAsia="Times New Roman"/>
                <w:b/>
                <w:color w:val="000000"/>
                <w:sz w:val="18"/>
                <w:szCs w:val="18"/>
              </w:rPr>
            </w:pPr>
            <w:r w:rsidRPr="0043407D">
              <w:rPr>
                <w:b/>
                <w:sz w:val="18"/>
                <w:szCs w:val="18"/>
              </w:rPr>
              <w:t>ICER (£) (QALYs)</w:t>
            </w:r>
          </w:p>
        </w:tc>
      </w:tr>
      <w:tr w:rsidR="00F649E4" w:rsidRPr="0043407D" w14:paraId="6D671B74" w14:textId="77777777" w:rsidTr="00E57B6E">
        <w:trPr>
          <w:trHeight w:val="315"/>
        </w:trPr>
        <w:tc>
          <w:tcPr>
            <w:tcW w:w="1420" w:type="dxa"/>
            <w:tcBorders>
              <w:top w:val="nil"/>
              <w:left w:val="single" w:sz="4" w:space="0" w:color="000000"/>
              <w:bottom w:val="single" w:sz="8" w:space="0" w:color="auto"/>
              <w:right w:val="single" w:sz="8" w:space="0" w:color="auto"/>
            </w:tcBorders>
            <w:shd w:val="clear" w:color="auto" w:fill="auto"/>
            <w:vAlign w:val="center"/>
            <w:hideMark/>
          </w:tcPr>
          <w:p w14:paraId="44F3A805" w14:textId="77777777" w:rsidR="00F649E4" w:rsidRPr="0043407D" w:rsidRDefault="00F649E4" w:rsidP="001C12B3">
            <w:pPr>
              <w:keepNext/>
              <w:rPr>
                <w:rFonts w:eastAsia="Times New Roman"/>
                <w:color w:val="000000"/>
                <w:sz w:val="18"/>
                <w:szCs w:val="18"/>
              </w:rPr>
            </w:pPr>
            <w:r w:rsidRPr="0043407D">
              <w:rPr>
                <w:sz w:val="18"/>
                <w:szCs w:val="18"/>
              </w:rPr>
              <w:t>Intervention</w:t>
            </w:r>
          </w:p>
        </w:tc>
        <w:tc>
          <w:tcPr>
            <w:tcW w:w="1500" w:type="dxa"/>
            <w:tcBorders>
              <w:top w:val="single" w:sz="4" w:space="0" w:color="auto"/>
              <w:left w:val="single" w:sz="4" w:space="0" w:color="auto"/>
              <w:bottom w:val="single" w:sz="8" w:space="0" w:color="auto"/>
              <w:right w:val="single" w:sz="4" w:space="0" w:color="auto"/>
            </w:tcBorders>
            <w:shd w:val="clear" w:color="auto" w:fill="auto"/>
            <w:noWrap/>
            <w:vAlign w:val="bottom"/>
          </w:tcPr>
          <w:p w14:paraId="52819452" w14:textId="7B2AC1D7" w:rsidR="00F649E4" w:rsidRPr="0043407D" w:rsidRDefault="00F649E4" w:rsidP="00E57B6E">
            <w:pPr>
              <w:keepNext/>
              <w:jc w:val="right"/>
              <w:rPr>
                <w:rFonts w:eastAsia="Times New Roman"/>
                <w:color w:val="000000"/>
                <w:sz w:val="18"/>
                <w:szCs w:val="18"/>
              </w:rPr>
            </w:pPr>
            <w:r w:rsidRPr="0043407D">
              <w:rPr>
                <w:color w:val="000000"/>
                <w:sz w:val="18"/>
                <w:szCs w:val="18"/>
              </w:rPr>
              <w:t>£167,583</w:t>
            </w:r>
          </w:p>
        </w:tc>
        <w:tc>
          <w:tcPr>
            <w:tcW w:w="1320" w:type="dxa"/>
            <w:tcBorders>
              <w:top w:val="single" w:sz="4" w:space="0" w:color="auto"/>
              <w:left w:val="nil"/>
              <w:bottom w:val="single" w:sz="8" w:space="0" w:color="auto"/>
              <w:right w:val="single" w:sz="4" w:space="0" w:color="auto"/>
            </w:tcBorders>
            <w:shd w:val="clear" w:color="auto" w:fill="auto"/>
            <w:noWrap/>
            <w:vAlign w:val="bottom"/>
          </w:tcPr>
          <w:p w14:paraId="5023E096" w14:textId="325B449A" w:rsidR="00F649E4" w:rsidRPr="0043407D" w:rsidRDefault="00F649E4" w:rsidP="00E57B6E">
            <w:pPr>
              <w:keepNext/>
              <w:jc w:val="right"/>
              <w:rPr>
                <w:rFonts w:eastAsia="Times New Roman"/>
                <w:color w:val="000000"/>
                <w:sz w:val="18"/>
                <w:szCs w:val="18"/>
              </w:rPr>
            </w:pPr>
            <w:r w:rsidRPr="0043407D">
              <w:rPr>
                <w:color w:val="000000"/>
                <w:sz w:val="18"/>
                <w:szCs w:val="18"/>
              </w:rPr>
              <w:t>4</w:t>
            </w:r>
          </w:p>
        </w:tc>
        <w:tc>
          <w:tcPr>
            <w:tcW w:w="1720" w:type="dxa"/>
            <w:vMerge w:val="restart"/>
            <w:tcBorders>
              <w:top w:val="nil"/>
              <w:left w:val="single" w:sz="8" w:space="0" w:color="auto"/>
              <w:bottom w:val="single" w:sz="4" w:space="0" w:color="000000"/>
              <w:right w:val="single" w:sz="8" w:space="0" w:color="auto"/>
            </w:tcBorders>
            <w:shd w:val="clear" w:color="auto" w:fill="auto"/>
            <w:vAlign w:val="bottom"/>
          </w:tcPr>
          <w:p w14:paraId="0B6BA952" w14:textId="72638635" w:rsidR="00F649E4" w:rsidRPr="0043407D" w:rsidRDefault="00F649E4" w:rsidP="00E57B6E">
            <w:pPr>
              <w:keepNext/>
              <w:jc w:val="right"/>
              <w:rPr>
                <w:rFonts w:eastAsia="Times New Roman"/>
                <w:color w:val="000000"/>
                <w:sz w:val="18"/>
                <w:szCs w:val="18"/>
              </w:rPr>
            </w:pPr>
            <w:r w:rsidRPr="0043407D">
              <w:rPr>
                <w:color w:val="000000"/>
                <w:sz w:val="18"/>
                <w:szCs w:val="18"/>
              </w:rPr>
              <w:t xml:space="preserve">               139,056 </w:t>
            </w:r>
          </w:p>
        </w:tc>
        <w:tc>
          <w:tcPr>
            <w:tcW w:w="1720" w:type="dxa"/>
            <w:vMerge w:val="restart"/>
            <w:tcBorders>
              <w:top w:val="nil"/>
              <w:left w:val="single" w:sz="8" w:space="0" w:color="auto"/>
              <w:bottom w:val="single" w:sz="4" w:space="0" w:color="000000"/>
              <w:right w:val="single" w:sz="8" w:space="0" w:color="auto"/>
            </w:tcBorders>
            <w:shd w:val="clear" w:color="auto" w:fill="auto"/>
            <w:vAlign w:val="bottom"/>
          </w:tcPr>
          <w:p w14:paraId="3C4B6590" w14:textId="6F209D48" w:rsidR="00F649E4" w:rsidRPr="0043407D" w:rsidRDefault="00F649E4" w:rsidP="00E57B6E">
            <w:pPr>
              <w:keepNext/>
              <w:jc w:val="right"/>
              <w:rPr>
                <w:rFonts w:eastAsia="Times New Roman"/>
                <w:color w:val="000000"/>
                <w:sz w:val="18"/>
                <w:szCs w:val="18"/>
              </w:rPr>
            </w:pPr>
            <w:r w:rsidRPr="0043407D">
              <w:rPr>
                <w:color w:val="000000"/>
                <w:sz w:val="18"/>
                <w:szCs w:val="18"/>
              </w:rPr>
              <w:t xml:space="preserve">                    4.27 </w:t>
            </w:r>
          </w:p>
        </w:tc>
        <w:tc>
          <w:tcPr>
            <w:tcW w:w="1051" w:type="dxa"/>
            <w:vMerge w:val="restart"/>
            <w:tcBorders>
              <w:top w:val="nil"/>
              <w:left w:val="single" w:sz="8" w:space="0" w:color="auto"/>
              <w:bottom w:val="single" w:sz="4" w:space="0" w:color="000000"/>
              <w:right w:val="single" w:sz="4" w:space="0" w:color="000000"/>
            </w:tcBorders>
            <w:shd w:val="clear" w:color="auto" w:fill="auto"/>
            <w:vAlign w:val="bottom"/>
          </w:tcPr>
          <w:p w14:paraId="338416B0" w14:textId="513EC0ED" w:rsidR="00F649E4" w:rsidRPr="0043407D" w:rsidRDefault="00F649E4" w:rsidP="00E57B6E">
            <w:pPr>
              <w:keepNext/>
              <w:jc w:val="right"/>
              <w:rPr>
                <w:rFonts w:eastAsia="Times New Roman"/>
                <w:color w:val="000000"/>
                <w:sz w:val="18"/>
                <w:szCs w:val="18"/>
              </w:rPr>
            </w:pPr>
            <w:r w:rsidRPr="0043407D">
              <w:rPr>
                <w:color w:val="000000"/>
                <w:sz w:val="18"/>
                <w:szCs w:val="18"/>
              </w:rPr>
              <w:t>£32,560</w:t>
            </w:r>
          </w:p>
        </w:tc>
      </w:tr>
      <w:tr w:rsidR="00F649E4" w:rsidRPr="0043407D" w14:paraId="1AF8D4E0" w14:textId="77777777" w:rsidTr="00E57B6E">
        <w:trPr>
          <w:trHeight w:val="315"/>
        </w:trPr>
        <w:tc>
          <w:tcPr>
            <w:tcW w:w="1420" w:type="dxa"/>
            <w:tcBorders>
              <w:top w:val="nil"/>
              <w:left w:val="single" w:sz="4" w:space="0" w:color="000000"/>
              <w:bottom w:val="single" w:sz="4" w:space="0" w:color="000000"/>
              <w:right w:val="single" w:sz="8" w:space="0" w:color="auto"/>
            </w:tcBorders>
            <w:shd w:val="clear" w:color="auto" w:fill="auto"/>
            <w:vAlign w:val="center"/>
            <w:hideMark/>
          </w:tcPr>
          <w:p w14:paraId="27950FDA" w14:textId="77777777" w:rsidR="00F649E4" w:rsidRPr="0043407D" w:rsidRDefault="00F649E4" w:rsidP="001C12B3">
            <w:pPr>
              <w:keepNext/>
              <w:rPr>
                <w:rFonts w:eastAsia="Times New Roman"/>
                <w:color w:val="000000"/>
                <w:sz w:val="18"/>
                <w:szCs w:val="18"/>
              </w:rPr>
            </w:pPr>
            <w:r w:rsidRPr="0043407D">
              <w:rPr>
                <w:sz w:val="18"/>
                <w:szCs w:val="18"/>
              </w:rPr>
              <w:t>Comparator</w:t>
            </w:r>
          </w:p>
        </w:tc>
        <w:tc>
          <w:tcPr>
            <w:tcW w:w="1500" w:type="dxa"/>
            <w:tcBorders>
              <w:top w:val="single" w:sz="4" w:space="0" w:color="auto"/>
              <w:left w:val="single" w:sz="4" w:space="0" w:color="auto"/>
              <w:bottom w:val="single" w:sz="8" w:space="0" w:color="auto"/>
              <w:right w:val="single" w:sz="4" w:space="0" w:color="auto"/>
            </w:tcBorders>
            <w:shd w:val="clear" w:color="auto" w:fill="auto"/>
            <w:noWrap/>
            <w:vAlign w:val="bottom"/>
          </w:tcPr>
          <w:p w14:paraId="1C8DE874" w14:textId="73FDCBFC" w:rsidR="00F649E4" w:rsidRPr="0043407D" w:rsidRDefault="00F649E4" w:rsidP="00E57B6E">
            <w:pPr>
              <w:keepNext/>
              <w:jc w:val="right"/>
              <w:rPr>
                <w:rFonts w:eastAsia="Times New Roman"/>
                <w:color w:val="000000"/>
                <w:sz w:val="18"/>
                <w:szCs w:val="18"/>
              </w:rPr>
            </w:pPr>
            <w:r w:rsidRPr="0043407D">
              <w:rPr>
                <w:color w:val="000000"/>
                <w:sz w:val="18"/>
                <w:szCs w:val="18"/>
              </w:rPr>
              <w:t>£28,527</w:t>
            </w:r>
          </w:p>
        </w:tc>
        <w:tc>
          <w:tcPr>
            <w:tcW w:w="1320" w:type="dxa"/>
            <w:tcBorders>
              <w:top w:val="single" w:sz="4" w:space="0" w:color="auto"/>
              <w:left w:val="nil"/>
              <w:bottom w:val="single" w:sz="8" w:space="0" w:color="auto"/>
              <w:right w:val="single" w:sz="4" w:space="0" w:color="auto"/>
            </w:tcBorders>
            <w:shd w:val="clear" w:color="auto" w:fill="auto"/>
            <w:noWrap/>
            <w:vAlign w:val="bottom"/>
          </w:tcPr>
          <w:p w14:paraId="0B1B5DD8" w14:textId="6A8776C2" w:rsidR="00F649E4" w:rsidRPr="0043407D" w:rsidRDefault="00F649E4" w:rsidP="00E57B6E">
            <w:pPr>
              <w:keepNext/>
              <w:jc w:val="right"/>
              <w:rPr>
                <w:rFonts w:eastAsia="Times New Roman"/>
                <w:color w:val="000000"/>
                <w:sz w:val="18"/>
                <w:szCs w:val="18"/>
              </w:rPr>
            </w:pPr>
            <w:r w:rsidRPr="0043407D">
              <w:rPr>
                <w:color w:val="000000"/>
                <w:sz w:val="18"/>
                <w:szCs w:val="18"/>
              </w:rPr>
              <w:t>8</w:t>
            </w:r>
          </w:p>
        </w:tc>
        <w:tc>
          <w:tcPr>
            <w:tcW w:w="1720" w:type="dxa"/>
            <w:vMerge/>
            <w:tcBorders>
              <w:top w:val="nil"/>
              <w:left w:val="single" w:sz="8" w:space="0" w:color="auto"/>
              <w:bottom w:val="single" w:sz="4" w:space="0" w:color="000000"/>
              <w:right w:val="single" w:sz="8" w:space="0" w:color="auto"/>
            </w:tcBorders>
            <w:vAlign w:val="bottom"/>
          </w:tcPr>
          <w:p w14:paraId="33EBE7AF" w14:textId="77777777" w:rsidR="00F649E4" w:rsidRPr="0043407D" w:rsidRDefault="00F649E4" w:rsidP="00E57B6E">
            <w:pPr>
              <w:keepNext/>
              <w:jc w:val="right"/>
              <w:rPr>
                <w:sz w:val="18"/>
                <w:szCs w:val="18"/>
              </w:rPr>
            </w:pPr>
          </w:p>
        </w:tc>
        <w:tc>
          <w:tcPr>
            <w:tcW w:w="1720" w:type="dxa"/>
            <w:vMerge/>
            <w:tcBorders>
              <w:top w:val="nil"/>
              <w:left w:val="single" w:sz="8" w:space="0" w:color="auto"/>
              <w:bottom w:val="single" w:sz="4" w:space="0" w:color="000000"/>
              <w:right w:val="single" w:sz="8" w:space="0" w:color="auto"/>
            </w:tcBorders>
            <w:vAlign w:val="bottom"/>
          </w:tcPr>
          <w:p w14:paraId="7C23F199" w14:textId="77777777" w:rsidR="00F649E4" w:rsidRPr="0043407D" w:rsidRDefault="00F649E4" w:rsidP="00E57B6E">
            <w:pPr>
              <w:keepNext/>
              <w:jc w:val="right"/>
              <w:rPr>
                <w:sz w:val="18"/>
                <w:szCs w:val="18"/>
              </w:rPr>
            </w:pPr>
          </w:p>
        </w:tc>
        <w:tc>
          <w:tcPr>
            <w:tcW w:w="1051" w:type="dxa"/>
            <w:vMerge/>
            <w:tcBorders>
              <w:top w:val="nil"/>
              <w:left w:val="single" w:sz="8" w:space="0" w:color="auto"/>
              <w:bottom w:val="single" w:sz="4" w:space="0" w:color="000000"/>
              <w:right w:val="single" w:sz="4" w:space="0" w:color="000000"/>
            </w:tcBorders>
            <w:vAlign w:val="bottom"/>
          </w:tcPr>
          <w:p w14:paraId="09F8704C" w14:textId="77777777" w:rsidR="00F649E4" w:rsidRPr="0043407D" w:rsidRDefault="00F649E4" w:rsidP="00E57B6E">
            <w:pPr>
              <w:keepNext/>
              <w:jc w:val="right"/>
              <w:rPr>
                <w:sz w:val="18"/>
                <w:szCs w:val="18"/>
              </w:rPr>
            </w:pPr>
          </w:p>
        </w:tc>
      </w:tr>
    </w:tbl>
    <w:p w14:paraId="70F6BFD7" w14:textId="77777777" w:rsidR="0017442A" w:rsidRDefault="0017442A" w:rsidP="00CC7EC2"/>
    <w:p w14:paraId="277B9985" w14:textId="77777777" w:rsidR="0004554C" w:rsidRDefault="0004554C"/>
    <w:p w14:paraId="0D7E835F" w14:textId="77777777" w:rsidR="00CD0B76" w:rsidRPr="00AC2C72" w:rsidRDefault="00CD0B76">
      <w:pPr>
        <w:pStyle w:val="Heading6"/>
      </w:pPr>
      <w:r w:rsidRPr="00AC2C72">
        <w:t>One-way sensitivity analysis (Tornado diagram)</w:t>
      </w:r>
    </w:p>
    <w:p w14:paraId="3A26BDD4" w14:textId="77777777" w:rsidR="00FF4DBC" w:rsidRDefault="00FF4DBC"/>
    <w:p w14:paraId="3570EC2F" w14:textId="6DF10C7C" w:rsidR="00FF4DBC" w:rsidRPr="00CC7EC2" w:rsidRDefault="00FF4DBC">
      <w:r w:rsidRPr="00CC7EC2">
        <w:t>In the univariate sensitivity analysis, the uncertainty in differences in drug use between the two groups</w:t>
      </w:r>
      <w:r w:rsidRPr="00AD2788">
        <w:t xml:space="preserve"> were the biggest</w:t>
      </w:r>
      <w:r w:rsidR="00321F84" w:rsidRPr="00CC7EC2">
        <w:t xml:space="preserve"> drivers of cost effectiveness</w:t>
      </w:r>
      <w:r w:rsidR="00EE4E11" w:rsidRPr="00CC7EC2">
        <w:t>.</w:t>
      </w:r>
      <w:r w:rsidR="00321F84" w:rsidRPr="00CC7EC2">
        <w:t xml:space="preserve"> Intervention costs and QALY losses from cocaine use were also drivers of uncertainty</w:t>
      </w:r>
      <w:r w:rsidR="00723606" w:rsidRPr="00CC7EC2">
        <w:t xml:space="preserve"> (see </w:t>
      </w:r>
      <w:r w:rsidR="00723606" w:rsidRPr="00CC7EC2">
        <w:fldChar w:fldCharType="begin"/>
      </w:r>
      <w:r w:rsidR="00723606" w:rsidRPr="00CC7EC2">
        <w:instrText xml:space="preserve"> REF _Ref448419203 \h </w:instrText>
      </w:r>
      <w:r w:rsidR="00940B3D" w:rsidRPr="00CC7EC2">
        <w:instrText xml:space="preserve"> \* MERGEFORMAT </w:instrText>
      </w:r>
      <w:r w:rsidR="00723606" w:rsidRPr="00CC7EC2">
        <w:fldChar w:fldCharType="separate"/>
      </w:r>
      <w:r w:rsidR="0087365D" w:rsidRPr="00CC7EC2">
        <w:t xml:space="preserve">Figure </w:t>
      </w:r>
      <w:r w:rsidR="0087365D" w:rsidRPr="003D56F0">
        <w:t>20</w:t>
      </w:r>
      <w:r w:rsidR="00723606" w:rsidRPr="00CC7EC2">
        <w:fldChar w:fldCharType="end"/>
      </w:r>
      <w:r w:rsidR="00723606" w:rsidRPr="00CC7EC2">
        <w:t>)</w:t>
      </w:r>
      <w:r w:rsidR="00321F84" w:rsidRPr="00CC7EC2">
        <w:t xml:space="preserve">. </w:t>
      </w:r>
    </w:p>
    <w:p w14:paraId="30D08673" w14:textId="6569F3E5" w:rsidR="00CC7EC2" w:rsidRPr="00CC7EC2" w:rsidRDefault="00CC7EC2" w:rsidP="003D56F0">
      <w:r w:rsidRPr="003D56F0">
        <w:t xml:space="preserve">As average drug use in the control group becomes  lower, the difference in drug use between comparator and intervention gets smaller and with everything else being equal the intervention becomes less cost effective so the </w:t>
      </w:r>
      <w:r>
        <w:t>net monetary benefit</w:t>
      </w:r>
      <w:r w:rsidRPr="003D56F0">
        <w:t xml:space="preserve"> reduces</w:t>
      </w:r>
      <w:r>
        <w:t>. None of the changes in parameter values produced a positive net monetary benefit.</w:t>
      </w:r>
    </w:p>
    <w:p w14:paraId="4F954D50" w14:textId="77777777" w:rsidR="00FF4DBC" w:rsidRDefault="00FF4DBC"/>
    <w:p w14:paraId="3AB25192" w14:textId="5378E4F6" w:rsidR="00AD2788" w:rsidRDefault="00FF4DBC" w:rsidP="003D56F0">
      <w:pPr>
        <w:pStyle w:val="Caption"/>
      </w:pPr>
      <w:bookmarkStart w:id="68" w:name="_Ref448419203"/>
      <w:r>
        <w:lastRenderedPageBreak/>
        <w:t xml:space="preserve">Figure </w:t>
      </w:r>
      <w:r w:rsidR="00273F49">
        <w:fldChar w:fldCharType="begin"/>
      </w:r>
      <w:r w:rsidR="00273F49">
        <w:rPr>
          <w:b w:val="0"/>
          <w:bCs w:val="0"/>
        </w:rPr>
        <w:instrText xml:space="preserve"> SEQ Figure \* ARABIC </w:instrText>
      </w:r>
      <w:r w:rsidR="00273F49">
        <w:fldChar w:fldCharType="separate"/>
      </w:r>
      <w:r w:rsidR="0087365D">
        <w:rPr>
          <w:noProof/>
        </w:rPr>
        <w:t>20</w:t>
      </w:r>
      <w:r w:rsidR="00273F49">
        <w:rPr>
          <w:noProof/>
        </w:rPr>
        <w:fldChar w:fldCharType="end"/>
      </w:r>
      <w:bookmarkEnd w:id="68"/>
      <w:r>
        <w:t xml:space="preserve">. </w:t>
      </w:r>
      <w:r w:rsidR="00321F84">
        <w:t xml:space="preserve">Tornado diagram showing difference in </w:t>
      </w:r>
      <w:r w:rsidR="00AD2AD1">
        <w:t>net monetary benefit (NMB)</w:t>
      </w:r>
      <w:r w:rsidR="00321F84">
        <w:t xml:space="preserve"> with changes in model parameters for family intervention for newly homeless youth.</w:t>
      </w:r>
      <w:r w:rsidR="00AD2AD1">
        <w:t xml:space="preserve"> NMB values each QALY at £20,000.</w:t>
      </w:r>
      <w:r w:rsidR="009F5DA1">
        <w:t xml:space="preserve"> Scenario 2.</w:t>
      </w:r>
    </w:p>
    <w:p w14:paraId="4ABB51B8" w14:textId="438D41ED" w:rsidR="00FF4DBC" w:rsidRDefault="00AD2788" w:rsidP="003D56F0">
      <w:pPr>
        <w:pStyle w:val="Caption"/>
      </w:pPr>
      <w:r w:rsidRPr="00273F49">
        <w:rPr>
          <w:noProof/>
        </w:rPr>
        <w:drawing>
          <wp:inline distT="0" distB="0" distL="0" distR="0" wp14:anchorId="39C49963" wp14:editId="4C5D262D">
            <wp:extent cx="6005015" cy="344984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t="8363" b="3973"/>
                    <a:stretch/>
                  </pic:blipFill>
                  <pic:spPr bwMode="auto">
                    <a:xfrm>
                      <a:off x="0" y="0"/>
                      <a:ext cx="6011596" cy="3453622"/>
                    </a:xfrm>
                    <a:prstGeom prst="rect">
                      <a:avLst/>
                    </a:prstGeom>
                    <a:ln>
                      <a:noFill/>
                    </a:ln>
                    <a:extLst>
                      <a:ext uri="{53640926-AAD7-44D8-BBD7-CCE9431645EC}">
                        <a14:shadowObscured xmlns:a14="http://schemas.microsoft.com/office/drawing/2010/main"/>
                      </a:ext>
                    </a:extLst>
                  </pic:spPr>
                </pic:pic>
              </a:graphicData>
            </a:graphic>
          </wp:inline>
        </w:drawing>
      </w:r>
    </w:p>
    <w:p w14:paraId="15A20595" w14:textId="5364EEE0" w:rsidR="00FF4DBC" w:rsidRDefault="00FF4DBC">
      <w:pPr>
        <w:pStyle w:val="Heading6"/>
      </w:pPr>
      <w:r w:rsidRPr="00530985">
        <w:t>Discussion</w:t>
      </w:r>
      <w:r w:rsidR="00475018">
        <w:t xml:space="preserve"> and limitations</w:t>
      </w:r>
    </w:p>
    <w:p w14:paraId="03BCE040" w14:textId="77777777" w:rsidR="00FF4DBC" w:rsidRPr="00530985" w:rsidRDefault="00FF4DBC"/>
    <w:p w14:paraId="7FF3B6C9" w14:textId="00E5D363" w:rsidR="00AD74FA" w:rsidRDefault="00FF4DBC">
      <w:r w:rsidRPr="00530985">
        <w:t>This</w:t>
      </w:r>
      <w:r>
        <w:t xml:space="preserve"> intervention was aimed at young people aged 12-17. In general ‘hard drug’ use is rare in this age group and those young people who do use drugs may already have multiple types of disadvantage that are exacerbated by drug use. A lot of the outcomes used in the model were for adults (for example, crime and CVD deaths) which may make the model less applicable for young people. </w:t>
      </w:r>
    </w:p>
    <w:p w14:paraId="0BEB3F21" w14:textId="77777777" w:rsidR="00AD74FA" w:rsidRDefault="00AD74FA">
      <w:r>
        <w:br w:type="page"/>
      </w:r>
    </w:p>
    <w:p w14:paraId="3260F7EB" w14:textId="7EAC3DE5" w:rsidR="00BE6B23" w:rsidRPr="00D21C25" w:rsidRDefault="00884E8C">
      <w:pPr>
        <w:pStyle w:val="Heading2"/>
      </w:pPr>
      <w:bookmarkStart w:id="69" w:name="_Toc452035649"/>
      <w:r>
        <w:lastRenderedPageBreak/>
        <w:t xml:space="preserve">6. </w:t>
      </w:r>
      <w:r w:rsidR="00BE6B23" w:rsidRPr="00D21C25">
        <w:t>Discussion and Conclusions</w:t>
      </w:r>
      <w:bookmarkEnd w:id="69"/>
    </w:p>
    <w:p w14:paraId="4B92D692" w14:textId="77777777" w:rsidR="006D622C" w:rsidRPr="00D21C25" w:rsidRDefault="006D622C"/>
    <w:p w14:paraId="6265017F" w14:textId="7E318611" w:rsidR="009802B7" w:rsidRDefault="00A65C43">
      <w:pPr>
        <w:pStyle w:val="Heading3"/>
      </w:pPr>
      <w:bookmarkStart w:id="70" w:name="_Toc452035650"/>
      <w:r>
        <w:t>6.1 Cost-effectiveness analyse</w:t>
      </w:r>
      <w:r w:rsidR="009802B7" w:rsidRPr="00D21C25">
        <w:t>s</w:t>
      </w:r>
      <w:bookmarkEnd w:id="70"/>
    </w:p>
    <w:p w14:paraId="64F801DA" w14:textId="3CEB7E50" w:rsidR="00A549FA" w:rsidRDefault="00A549FA"/>
    <w:p w14:paraId="6278DB1B" w14:textId="541C47F7" w:rsidR="00303C8E" w:rsidRPr="003D56F0" w:rsidRDefault="0004554C">
      <w:r>
        <w:t>An o</w:t>
      </w:r>
      <w:r w:rsidR="00F56C53" w:rsidRPr="00D21C25">
        <w:t xml:space="preserve">verall summary of </w:t>
      </w:r>
      <w:r>
        <w:t xml:space="preserve">the </w:t>
      </w:r>
      <w:r w:rsidR="00F56C53" w:rsidRPr="00D21C25">
        <w:t>cost effectiveness</w:t>
      </w:r>
      <w:r>
        <w:t xml:space="preserve"> of the modelled interventions</w:t>
      </w:r>
      <w:r w:rsidR="00A35AE1">
        <w:t xml:space="preserve"> is described in </w:t>
      </w:r>
      <w:r w:rsidR="00A35AE1">
        <w:fldChar w:fldCharType="begin"/>
      </w:r>
      <w:r w:rsidR="00A35AE1">
        <w:instrText xml:space="preserve"> REF _Ref448419758 \h </w:instrText>
      </w:r>
      <w:r w:rsidR="00940B3D">
        <w:instrText xml:space="preserve"> \* MERGEFORMAT </w:instrText>
      </w:r>
      <w:r w:rsidR="00A35AE1">
        <w:fldChar w:fldCharType="separate"/>
      </w:r>
      <w:r w:rsidR="000B4925">
        <w:t xml:space="preserve">Table </w:t>
      </w:r>
      <w:r w:rsidR="000B4925">
        <w:rPr>
          <w:noProof/>
        </w:rPr>
        <w:t>14</w:t>
      </w:r>
      <w:r w:rsidR="00A35AE1">
        <w:fldChar w:fldCharType="end"/>
      </w:r>
      <w:r w:rsidR="00A35AE1">
        <w:t>.</w:t>
      </w:r>
      <w:r w:rsidR="00FE6ECE">
        <w:t xml:space="preserve"> This shows</w:t>
      </w:r>
      <w:r w:rsidR="006A655A">
        <w:t xml:space="preserve"> base case scenarios and</w:t>
      </w:r>
      <w:r w:rsidR="00FE6ECE">
        <w:t xml:space="preserve"> the ‘</w:t>
      </w:r>
      <w:r w:rsidR="003509C0">
        <w:t xml:space="preserve">sustained reduction’ </w:t>
      </w:r>
      <w:r w:rsidR="003509C0" w:rsidRPr="00627432">
        <w:t xml:space="preserve">scenarios </w:t>
      </w:r>
      <w:r w:rsidR="003B451D" w:rsidRPr="00627432">
        <w:t>(</w:t>
      </w:r>
      <w:r w:rsidR="003509C0" w:rsidRPr="003D56F0">
        <w:t>drug use reduction is sustained over time</w:t>
      </w:r>
      <w:r w:rsidR="003B451D" w:rsidRPr="003D56F0">
        <w:t>)</w:t>
      </w:r>
      <w:r w:rsidR="003509C0" w:rsidRPr="003D56F0">
        <w:t xml:space="preserve">. </w:t>
      </w:r>
    </w:p>
    <w:p w14:paraId="1D56370E" w14:textId="77777777" w:rsidR="00303C8E" w:rsidRPr="003D56F0" w:rsidRDefault="00303C8E"/>
    <w:p w14:paraId="1AF07450" w14:textId="77777777" w:rsidR="00303C8E" w:rsidRPr="003D56F0" w:rsidRDefault="00303C8E">
      <w:r w:rsidRPr="003D56F0">
        <w:t>Using</w:t>
      </w:r>
      <w:r w:rsidRPr="00627432">
        <w:t xml:space="preserve"> the base case analyses</w:t>
      </w:r>
      <w:r w:rsidRPr="003D56F0">
        <w:t>:</w:t>
      </w:r>
    </w:p>
    <w:p w14:paraId="001951B1" w14:textId="20FDFD22" w:rsidR="00303C8E" w:rsidRPr="003D56F0" w:rsidRDefault="00303C8E" w:rsidP="003D56F0">
      <w:pPr>
        <w:pStyle w:val="ListParagraph"/>
        <w:numPr>
          <w:ilvl w:val="0"/>
          <w:numId w:val="48"/>
        </w:numPr>
      </w:pPr>
      <w:r w:rsidRPr="003D56F0">
        <w:t>T</w:t>
      </w:r>
      <w:r w:rsidRPr="00627432">
        <w:t>he web-based personalised feedback (Lee et al</w:t>
      </w:r>
      <w:r w:rsidRPr="003D56F0">
        <w:t>.</w:t>
      </w:r>
      <w:r w:rsidRPr="00627432">
        <w:t xml:space="preserve"> (2010)) would be cost-effective if it could be delivered at a low cost</w:t>
      </w:r>
      <w:r w:rsidRPr="003D56F0">
        <w:t>.</w:t>
      </w:r>
    </w:p>
    <w:p w14:paraId="361001A4" w14:textId="5C01C125" w:rsidR="00303C8E" w:rsidRDefault="00303C8E" w:rsidP="003D56F0">
      <w:pPr>
        <w:pStyle w:val="ListParagraph"/>
        <w:numPr>
          <w:ilvl w:val="0"/>
          <w:numId w:val="48"/>
        </w:numPr>
      </w:pPr>
      <w:r w:rsidRPr="003D56F0">
        <w:rPr>
          <w:lang w:val="fr-FR"/>
        </w:rPr>
        <w:t xml:space="preserve">Familias Unidas (Prado et al. </w:t>
      </w:r>
      <w:r w:rsidRPr="00627432">
        <w:t>(2012)) would be</w:t>
      </w:r>
      <w:r>
        <w:t xml:space="preserve"> cost-saving, and improve QALY, if </w:t>
      </w:r>
      <w:r w:rsidR="00CC7EC2">
        <w:t>it</w:t>
      </w:r>
      <w:r>
        <w:t xml:space="preserve"> could be delivered at a low cost</w:t>
      </w:r>
      <w:r w:rsidR="007A033E">
        <w:t>.</w:t>
      </w:r>
    </w:p>
    <w:p w14:paraId="49C5B3AB" w14:textId="77777777" w:rsidR="00303C8E" w:rsidRDefault="00303C8E" w:rsidP="00CC7EC2"/>
    <w:p w14:paraId="78E6EE8F" w14:textId="05D38E32" w:rsidR="00303C8E" w:rsidRDefault="00303C8E" w:rsidP="00AD2788">
      <w:r>
        <w:t>Additionally, using the best case scenarios, with sustained reduction:</w:t>
      </w:r>
    </w:p>
    <w:p w14:paraId="53C7AE98" w14:textId="34CD48BC" w:rsidR="00303C8E" w:rsidRDefault="00303C8E" w:rsidP="003D56F0">
      <w:pPr>
        <w:pStyle w:val="ListParagraph"/>
        <w:numPr>
          <w:ilvl w:val="0"/>
          <w:numId w:val="49"/>
        </w:numPr>
      </w:pPr>
      <w:r>
        <w:t xml:space="preserve">Motivational interviewing for club drug use </w:t>
      </w:r>
      <w:r>
        <w:fldChar w:fldCharType="begin" w:fldLock="1"/>
      </w:r>
      <w:r>
        <w:instrText>ADDIN CSL_CITATION { "citationItems" : [ { "id" : "ITEM-1", "itemData" : { "DOI" : "10.1037/a0015588", "ISSN" : "1939-2117", "PMID" : "19634958", "abstract" : "The authors examined the effectiveness of motivational interviewing (MI) on club drug use and risky sex in non-treatment-seeking men who have sex with men (MSM). MSM (N = 150) were assessed and randomly assigned to 4 sessions of MI or an educational control intervention. Follow-up occurred at quarterly intervals for 1 year. Primary outcomes were days of any club drug use and number of unsafe sex acts. On average, club drug use declined during follow-up. A significant interaction effect showed that MI was associated with less club drug use during follow-up compared with education but only among participants with lower severity of drug dependence (p &lt; .02; small to medium effect size). MI did not result in a significant reduction in risky sex relative to education. The results support the use of MI targeting club drug use in at-risk or mildly dependent users not seeking treatment but not in more severely dependent users. MI does not appear effective in reducing risky sexual behavior in this population.", "author" : [ { "dropping-particle" : "", "family" : "Morgenstern", "given" : "Jon", "non-dropping-particle" : "", "parse-names" : false, "suffix" : "" }, { "dropping-particle" : "", "family" : "Bux", "given" : "Donald A", "non-dropping-particle" : "", "parse-names" : false, "suffix" : "" }, { "dropping-particle" : "", "family" : "Parsons", "given" : "Jeffrey", "non-dropping-particle" : "", "parse-names" : false, "suffix" : "" }, { "dropping-particle" : "", "family" : "Hagman", "given" : "Brett T", "non-dropping-particle" : "", "parse-names" : false, "suffix" : "" }, { "dropping-particle" : "", "family" : "Wainberg", "given" : "Milton", "non-dropping-particle" : "", "parse-names" : false, "suffix" : "" }, { "dropping-particle" : "", "family" : "Irwin", "given" : "Thomas", "non-dropping-particle" : "", "parse-names" : false, "suffix" : "" } ], "container-title" : "Journal of consulting and clinical psychology", "id" : "ITEM-1", "issue" : "4", "issued" : { "date-parts" : [ [ "2009" ] ] }, "page" : "645-56", "title" : "Randomized trial to reduce club drug use and HIV risk behaviors among men who have sex with men.", "type" : "article-journal", "volume" : "77" }, "uris" : [ "http://www.mendeley.com/documents/?uuid=b62caac1-d14a-4303-a7d7-5acc4c1cdea4" ] } ], "mendeley" : { "formattedCitation" : "(Morgenstern et al. 2009)", "plainTextFormattedCitation" : "(Morgenstern et al. 2009)", "previouslyFormattedCitation" : "(Morgenstern et al. 2009)" }, "properties" : { "noteIndex" : 0 }, "schema" : "https://github.com/citation-style-language/schema/raw/master/csl-citation.json" }</w:instrText>
      </w:r>
      <w:r>
        <w:fldChar w:fldCharType="separate"/>
      </w:r>
      <w:r w:rsidRPr="00C93A9D">
        <w:rPr>
          <w:noProof/>
        </w:rPr>
        <w:t>(Morgenstern et al. 2009)</w:t>
      </w:r>
      <w:r>
        <w:fldChar w:fldCharType="end"/>
      </w:r>
      <w:r>
        <w:t xml:space="preserve"> would be considered cost effective at a threshold of £20,000 per QALY if it could be delivered at a lower cost of £128</w:t>
      </w:r>
      <w:r w:rsidR="007A033E">
        <w:t>.</w:t>
      </w:r>
    </w:p>
    <w:p w14:paraId="15CC6F45" w14:textId="77777777" w:rsidR="00303C8E" w:rsidRDefault="00303C8E" w:rsidP="00CC7EC2"/>
    <w:p w14:paraId="51BC3D5C" w14:textId="14A197DC" w:rsidR="000B4925" w:rsidRDefault="00303C8E" w:rsidP="00CC7EC2">
      <w:r w:rsidRPr="003D56F0">
        <w:rPr>
          <w:lang w:val="fr-FR"/>
        </w:rPr>
        <w:t xml:space="preserve">The other interventions (Catalano, et al. (1999), Martin et al. </w:t>
      </w:r>
      <w:r w:rsidRPr="003D56F0">
        <w:t xml:space="preserve">(2010), </w:t>
      </w:r>
      <w:r w:rsidR="00A97C4C" w:rsidRPr="003D56F0">
        <w:t xml:space="preserve">Parsons et al (2014), Milburn et al (2012)) would not be </w:t>
      </w:r>
      <w:r w:rsidR="00A97C4C">
        <w:t>cost effective at a threshold of £20,000 per QALY, even if they could be delivered at a lower cost.</w:t>
      </w:r>
    </w:p>
    <w:p w14:paraId="434A6708" w14:textId="63621C4D" w:rsidR="005B3045" w:rsidRDefault="000B4925" w:rsidP="003D56F0">
      <w:pPr>
        <w:pStyle w:val="Caption"/>
      </w:pPr>
      <w:r>
        <w:br w:type="page"/>
      </w:r>
      <w:bookmarkStart w:id="71" w:name="_Ref448419758"/>
      <w:r w:rsidR="005B3045">
        <w:lastRenderedPageBreak/>
        <w:t xml:space="preserve">Table </w:t>
      </w:r>
      <w:fldSimple w:instr=" SEQ Table \* ARABIC ">
        <w:r w:rsidR="00D00623">
          <w:rPr>
            <w:noProof/>
          </w:rPr>
          <w:t>14</w:t>
        </w:r>
      </w:fldSimple>
      <w:bookmarkEnd w:id="71"/>
      <w:r w:rsidR="005B3045">
        <w:t>. Intervention comparison with scenario analyses for lower intervention costs, with effects maintained over a longer period of time.</w:t>
      </w:r>
    </w:p>
    <w:tbl>
      <w:tblPr>
        <w:tblW w:w="5598" w:type="pct"/>
        <w:tblInd w:w="-459" w:type="dxa"/>
        <w:tblLayout w:type="fixed"/>
        <w:tblLook w:val="04A0" w:firstRow="1" w:lastRow="0" w:firstColumn="1" w:lastColumn="0" w:noHBand="0" w:noVBand="1"/>
      </w:tblPr>
      <w:tblGrid>
        <w:gridCol w:w="1282"/>
        <w:gridCol w:w="1042"/>
        <w:gridCol w:w="793"/>
        <w:gridCol w:w="416"/>
        <w:gridCol w:w="437"/>
        <w:gridCol w:w="766"/>
        <w:gridCol w:w="85"/>
        <w:gridCol w:w="1159"/>
        <w:gridCol w:w="259"/>
        <w:gridCol w:w="989"/>
        <w:gridCol w:w="288"/>
        <w:gridCol w:w="958"/>
        <w:gridCol w:w="325"/>
        <w:gridCol w:w="1548"/>
      </w:tblGrid>
      <w:tr w:rsidR="0087550E" w:rsidRPr="003D56F0" w14:paraId="7D6C7B96" w14:textId="77777777" w:rsidTr="003D56F0">
        <w:trPr>
          <w:trHeight w:val="377"/>
        </w:trPr>
        <w:tc>
          <w:tcPr>
            <w:tcW w:w="3493" w:type="pct"/>
            <w:gridSpan w:val="10"/>
            <w:tcBorders>
              <w:top w:val="nil"/>
              <w:left w:val="nil"/>
              <w:bottom w:val="nil"/>
              <w:right w:val="nil"/>
            </w:tcBorders>
            <w:shd w:val="clear" w:color="auto" w:fill="auto"/>
            <w:hideMark/>
          </w:tcPr>
          <w:p w14:paraId="3DDD21D3" w14:textId="716BE45B" w:rsidR="00F530D8" w:rsidRPr="003D56F0" w:rsidRDefault="00F530D8" w:rsidP="003D56F0">
            <w:pPr>
              <w:rPr>
                <w:b/>
                <w:sz w:val="18"/>
                <w:szCs w:val="18"/>
              </w:rPr>
            </w:pPr>
            <w:r w:rsidRPr="003D56F0">
              <w:rPr>
                <w:b/>
                <w:sz w:val="18"/>
                <w:szCs w:val="18"/>
              </w:rPr>
              <w:t>Cost effectiveness - drug use reduction effects diminish over 2 years</w:t>
            </w:r>
            <w:r w:rsidR="003B451D" w:rsidRPr="003D56F0">
              <w:rPr>
                <w:b/>
                <w:sz w:val="18"/>
                <w:szCs w:val="18"/>
              </w:rPr>
              <w:t xml:space="preserve"> (base case scenario)</w:t>
            </w:r>
          </w:p>
        </w:tc>
        <w:tc>
          <w:tcPr>
            <w:tcW w:w="602" w:type="pct"/>
            <w:gridSpan w:val="2"/>
            <w:tcBorders>
              <w:top w:val="nil"/>
              <w:left w:val="nil"/>
              <w:bottom w:val="nil"/>
              <w:right w:val="nil"/>
            </w:tcBorders>
            <w:shd w:val="clear" w:color="auto" w:fill="auto"/>
            <w:hideMark/>
          </w:tcPr>
          <w:p w14:paraId="67676322" w14:textId="77777777" w:rsidR="00F530D8" w:rsidRPr="003D56F0" w:rsidRDefault="00F530D8" w:rsidP="003D56F0">
            <w:pPr>
              <w:rPr>
                <w:sz w:val="18"/>
                <w:szCs w:val="18"/>
              </w:rPr>
            </w:pPr>
          </w:p>
        </w:tc>
        <w:tc>
          <w:tcPr>
            <w:tcW w:w="905" w:type="pct"/>
            <w:gridSpan w:val="2"/>
            <w:tcBorders>
              <w:top w:val="nil"/>
              <w:left w:val="nil"/>
              <w:bottom w:val="nil"/>
              <w:right w:val="nil"/>
            </w:tcBorders>
            <w:shd w:val="clear" w:color="auto" w:fill="auto"/>
            <w:hideMark/>
          </w:tcPr>
          <w:p w14:paraId="0452F422" w14:textId="77777777" w:rsidR="00F530D8" w:rsidRPr="003D56F0" w:rsidRDefault="00F530D8" w:rsidP="003D56F0">
            <w:pPr>
              <w:rPr>
                <w:sz w:val="18"/>
                <w:szCs w:val="18"/>
              </w:rPr>
            </w:pPr>
          </w:p>
        </w:tc>
      </w:tr>
      <w:tr w:rsidR="0087550E" w:rsidRPr="003D56F0" w14:paraId="11C4E392" w14:textId="77777777" w:rsidTr="003D56F0">
        <w:trPr>
          <w:trHeight w:val="571"/>
        </w:trPr>
        <w:tc>
          <w:tcPr>
            <w:tcW w:w="620" w:type="pct"/>
            <w:tcBorders>
              <w:top w:val="nil"/>
              <w:left w:val="nil"/>
              <w:bottom w:val="nil"/>
              <w:right w:val="nil"/>
            </w:tcBorders>
            <w:shd w:val="clear" w:color="auto" w:fill="auto"/>
            <w:hideMark/>
          </w:tcPr>
          <w:p w14:paraId="45CE3562" w14:textId="77777777" w:rsidR="00F530D8" w:rsidRPr="003D56F0" w:rsidRDefault="00F530D8" w:rsidP="008C755E">
            <w:pPr>
              <w:rPr>
                <w:sz w:val="18"/>
                <w:szCs w:val="18"/>
              </w:rPr>
            </w:pPr>
          </w:p>
        </w:tc>
        <w:tc>
          <w:tcPr>
            <w:tcW w:w="887" w:type="pct"/>
            <w:gridSpan w:val="2"/>
            <w:tcBorders>
              <w:top w:val="nil"/>
              <w:left w:val="nil"/>
              <w:bottom w:val="nil"/>
              <w:right w:val="nil"/>
            </w:tcBorders>
            <w:shd w:val="clear" w:color="auto" w:fill="auto"/>
            <w:hideMark/>
          </w:tcPr>
          <w:p w14:paraId="12E2CF3D" w14:textId="77777777" w:rsidR="00F530D8" w:rsidRPr="003D56F0" w:rsidRDefault="00F530D8" w:rsidP="008C755E">
            <w:pPr>
              <w:rPr>
                <w:sz w:val="18"/>
                <w:szCs w:val="18"/>
              </w:rPr>
            </w:pPr>
          </w:p>
        </w:tc>
        <w:tc>
          <w:tcPr>
            <w:tcW w:w="412" w:type="pct"/>
            <w:gridSpan w:val="2"/>
            <w:tcBorders>
              <w:top w:val="nil"/>
              <w:left w:val="nil"/>
              <w:bottom w:val="nil"/>
              <w:right w:val="nil"/>
            </w:tcBorders>
            <w:shd w:val="clear" w:color="auto" w:fill="auto"/>
            <w:hideMark/>
          </w:tcPr>
          <w:p w14:paraId="22351A73" w14:textId="77777777" w:rsidR="00F530D8" w:rsidRPr="003D56F0" w:rsidRDefault="00F530D8" w:rsidP="008C755E">
            <w:pPr>
              <w:rPr>
                <w:sz w:val="18"/>
                <w:szCs w:val="18"/>
              </w:rPr>
            </w:pPr>
          </w:p>
        </w:tc>
        <w:tc>
          <w:tcPr>
            <w:tcW w:w="411" w:type="pct"/>
            <w:gridSpan w:val="2"/>
            <w:tcBorders>
              <w:top w:val="nil"/>
              <w:left w:val="nil"/>
              <w:bottom w:val="nil"/>
              <w:right w:val="nil"/>
            </w:tcBorders>
            <w:shd w:val="clear" w:color="auto" w:fill="auto"/>
            <w:hideMark/>
          </w:tcPr>
          <w:p w14:paraId="6A446599" w14:textId="77777777" w:rsidR="00F530D8" w:rsidRPr="003D56F0" w:rsidRDefault="00F530D8" w:rsidP="008C755E">
            <w:pPr>
              <w:rPr>
                <w:sz w:val="18"/>
                <w:szCs w:val="18"/>
              </w:rPr>
            </w:pPr>
          </w:p>
        </w:tc>
        <w:tc>
          <w:tcPr>
            <w:tcW w:w="2670" w:type="pct"/>
            <w:gridSpan w:val="7"/>
            <w:tcBorders>
              <w:top w:val="single" w:sz="4" w:space="0" w:color="auto"/>
              <w:left w:val="single" w:sz="4" w:space="0" w:color="auto"/>
              <w:bottom w:val="single" w:sz="4" w:space="0" w:color="auto"/>
              <w:right w:val="single" w:sz="4" w:space="0" w:color="auto"/>
            </w:tcBorders>
            <w:shd w:val="clear" w:color="auto" w:fill="auto"/>
            <w:hideMark/>
          </w:tcPr>
          <w:p w14:paraId="5CFA84C8" w14:textId="77777777" w:rsidR="00F530D8" w:rsidRPr="003D56F0" w:rsidRDefault="00F530D8" w:rsidP="008C755E">
            <w:pPr>
              <w:rPr>
                <w:b/>
                <w:sz w:val="18"/>
                <w:szCs w:val="18"/>
              </w:rPr>
            </w:pPr>
            <w:r w:rsidRPr="003D56F0">
              <w:rPr>
                <w:b/>
                <w:sz w:val="18"/>
                <w:szCs w:val="18"/>
              </w:rPr>
              <w:t>ICER (Incremental cost effectiveness ratio) – net cost per QALY gained</w:t>
            </w:r>
          </w:p>
        </w:tc>
      </w:tr>
      <w:tr w:rsidR="0087550E" w:rsidRPr="003D56F0" w14:paraId="3E866884" w14:textId="77777777" w:rsidTr="003D56F0">
        <w:trPr>
          <w:trHeight w:val="248"/>
        </w:trPr>
        <w:tc>
          <w:tcPr>
            <w:tcW w:w="620" w:type="pct"/>
            <w:tcBorders>
              <w:top w:val="single" w:sz="4" w:space="0" w:color="auto"/>
              <w:left w:val="single" w:sz="4" w:space="0" w:color="auto"/>
              <w:bottom w:val="single" w:sz="4" w:space="0" w:color="auto"/>
              <w:right w:val="single" w:sz="4" w:space="0" w:color="auto"/>
            </w:tcBorders>
            <w:shd w:val="clear" w:color="auto" w:fill="auto"/>
            <w:hideMark/>
          </w:tcPr>
          <w:p w14:paraId="495B15A1" w14:textId="77777777" w:rsidR="00F530D8" w:rsidRPr="003D56F0" w:rsidRDefault="00F530D8" w:rsidP="008C755E">
            <w:pPr>
              <w:rPr>
                <w:sz w:val="18"/>
                <w:szCs w:val="18"/>
              </w:rPr>
            </w:pPr>
            <w:r w:rsidRPr="003D56F0">
              <w:rPr>
                <w:sz w:val="18"/>
                <w:szCs w:val="18"/>
              </w:rPr>
              <w:t>Study</w:t>
            </w:r>
          </w:p>
        </w:tc>
        <w:tc>
          <w:tcPr>
            <w:tcW w:w="887" w:type="pct"/>
            <w:gridSpan w:val="2"/>
            <w:tcBorders>
              <w:top w:val="single" w:sz="4" w:space="0" w:color="auto"/>
              <w:left w:val="nil"/>
              <w:bottom w:val="single" w:sz="4" w:space="0" w:color="auto"/>
              <w:right w:val="single" w:sz="4" w:space="0" w:color="auto"/>
            </w:tcBorders>
            <w:shd w:val="clear" w:color="auto" w:fill="auto"/>
            <w:hideMark/>
          </w:tcPr>
          <w:p w14:paraId="4659A72A" w14:textId="77777777" w:rsidR="00F530D8" w:rsidRPr="003D56F0" w:rsidRDefault="00F530D8" w:rsidP="008C755E">
            <w:pPr>
              <w:rPr>
                <w:rFonts w:eastAsia="Times New Roman"/>
                <w:color w:val="000000"/>
                <w:sz w:val="18"/>
                <w:szCs w:val="18"/>
              </w:rPr>
            </w:pPr>
            <w:r w:rsidRPr="003D56F0">
              <w:rPr>
                <w:sz w:val="18"/>
                <w:szCs w:val="18"/>
              </w:rPr>
              <w:t>Type of intervention</w:t>
            </w:r>
          </w:p>
        </w:tc>
        <w:tc>
          <w:tcPr>
            <w:tcW w:w="412" w:type="pct"/>
            <w:gridSpan w:val="2"/>
            <w:tcBorders>
              <w:top w:val="single" w:sz="4" w:space="0" w:color="auto"/>
              <w:left w:val="nil"/>
              <w:bottom w:val="single" w:sz="4" w:space="0" w:color="auto"/>
              <w:right w:val="single" w:sz="4" w:space="0" w:color="auto"/>
            </w:tcBorders>
            <w:shd w:val="clear" w:color="auto" w:fill="auto"/>
            <w:hideMark/>
          </w:tcPr>
          <w:p w14:paraId="786EE2C0" w14:textId="45E49641" w:rsidR="00F530D8" w:rsidRPr="003D56F0" w:rsidRDefault="007F2A06" w:rsidP="008C755E">
            <w:pPr>
              <w:rPr>
                <w:rFonts w:eastAsia="Times New Roman"/>
                <w:color w:val="000000"/>
                <w:sz w:val="18"/>
                <w:szCs w:val="18"/>
              </w:rPr>
            </w:pPr>
            <w:r>
              <w:rPr>
                <w:sz w:val="18"/>
                <w:szCs w:val="18"/>
              </w:rPr>
              <w:t>IC</w:t>
            </w:r>
            <w:r w:rsidR="00F530D8" w:rsidRPr="003D56F0">
              <w:rPr>
                <w:sz w:val="18"/>
                <w:szCs w:val="18"/>
              </w:rPr>
              <w:t xml:space="preserve"> (base case)</w:t>
            </w:r>
          </w:p>
        </w:tc>
        <w:tc>
          <w:tcPr>
            <w:tcW w:w="411" w:type="pct"/>
            <w:gridSpan w:val="2"/>
            <w:tcBorders>
              <w:top w:val="single" w:sz="4" w:space="0" w:color="auto"/>
              <w:left w:val="nil"/>
              <w:bottom w:val="single" w:sz="4" w:space="0" w:color="auto"/>
              <w:right w:val="single" w:sz="4" w:space="0" w:color="auto"/>
            </w:tcBorders>
            <w:shd w:val="clear" w:color="auto" w:fill="auto"/>
            <w:hideMark/>
          </w:tcPr>
          <w:p w14:paraId="50FDE08D" w14:textId="6D65251C" w:rsidR="00F530D8" w:rsidRPr="003D56F0" w:rsidRDefault="007F2A06" w:rsidP="008C755E">
            <w:pPr>
              <w:rPr>
                <w:rFonts w:eastAsia="Times New Roman"/>
                <w:color w:val="000000"/>
                <w:sz w:val="18"/>
                <w:szCs w:val="18"/>
              </w:rPr>
            </w:pPr>
            <w:r>
              <w:rPr>
                <w:sz w:val="18"/>
                <w:szCs w:val="18"/>
              </w:rPr>
              <w:t>IC</w:t>
            </w:r>
            <w:r w:rsidR="00F530D8" w:rsidRPr="003D56F0">
              <w:rPr>
                <w:sz w:val="18"/>
                <w:szCs w:val="18"/>
              </w:rPr>
              <w:t xml:space="preserve"> (low)</w:t>
            </w:r>
          </w:p>
        </w:tc>
        <w:tc>
          <w:tcPr>
            <w:tcW w:w="685" w:type="pct"/>
            <w:gridSpan w:val="2"/>
            <w:tcBorders>
              <w:top w:val="nil"/>
              <w:left w:val="nil"/>
              <w:bottom w:val="single" w:sz="4" w:space="0" w:color="auto"/>
              <w:right w:val="single" w:sz="4" w:space="0" w:color="auto"/>
            </w:tcBorders>
            <w:shd w:val="clear" w:color="auto" w:fill="auto"/>
            <w:hideMark/>
          </w:tcPr>
          <w:p w14:paraId="369C645B" w14:textId="77777777" w:rsidR="00F530D8" w:rsidRPr="003D56F0" w:rsidRDefault="00F530D8" w:rsidP="008C755E">
            <w:pPr>
              <w:rPr>
                <w:rFonts w:eastAsia="Times New Roman"/>
                <w:color w:val="000000"/>
                <w:sz w:val="18"/>
                <w:szCs w:val="18"/>
              </w:rPr>
            </w:pPr>
            <w:r w:rsidRPr="003D56F0">
              <w:rPr>
                <w:sz w:val="18"/>
                <w:szCs w:val="18"/>
              </w:rPr>
              <w:t>Base case</w:t>
            </w:r>
          </w:p>
        </w:tc>
        <w:tc>
          <w:tcPr>
            <w:tcW w:w="617" w:type="pct"/>
            <w:gridSpan w:val="2"/>
            <w:tcBorders>
              <w:top w:val="nil"/>
              <w:left w:val="nil"/>
              <w:bottom w:val="single" w:sz="4" w:space="0" w:color="auto"/>
              <w:right w:val="single" w:sz="4" w:space="0" w:color="auto"/>
            </w:tcBorders>
            <w:shd w:val="clear" w:color="auto" w:fill="auto"/>
            <w:hideMark/>
          </w:tcPr>
          <w:p w14:paraId="28C2B673" w14:textId="77777777" w:rsidR="00F530D8" w:rsidRPr="003D56F0" w:rsidRDefault="00F530D8" w:rsidP="008C755E">
            <w:pPr>
              <w:rPr>
                <w:rFonts w:eastAsia="Times New Roman"/>
                <w:color w:val="000000"/>
                <w:sz w:val="18"/>
                <w:szCs w:val="18"/>
              </w:rPr>
            </w:pPr>
            <w:r w:rsidRPr="003D56F0">
              <w:rPr>
                <w:sz w:val="18"/>
                <w:szCs w:val="18"/>
              </w:rPr>
              <w:t>low intervention costs</w:t>
            </w:r>
          </w:p>
        </w:tc>
        <w:tc>
          <w:tcPr>
            <w:tcW w:w="620" w:type="pct"/>
            <w:gridSpan w:val="2"/>
            <w:tcBorders>
              <w:top w:val="nil"/>
              <w:left w:val="nil"/>
              <w:bottom w:val="single" w:sz="4" w:space="0" w:color="auto"/>
              <w:right w:val="single" w:sz="4" w:space="0" w:color="auto"/>
            </w:tcBorders>
            <w:shd w:val="clear" w:color="auto" w:fill="auto"/>
            <w:hideMark/>
          </w:tcPr>
          <w:p w14:paraId="50DE26E1" w14:textId="77777777" w:rsidR="00F530D8" w:rsidRPr="003D56F0" w:rsidRDefault="00F530D8" w:rsidP="008C755E">
            <w:pPr>
              <w:rPr>
                <w:sz w:val="18"/>
                <w:szCs w:val="18"/>
              </w:rPr>
            </w:pPr>
            <w:r w:rsidRPr="003D56F0">
              <w:rPr>
                <w:sz w:val="18"/>
                <w:szCs w:val="18"/>
              </w:rPr>
              <w:t>1.5% DR</w:t>
            </w:r>
          </w:p>
        </w:tc>
        <w:tc>
          <w:tcPr>
            <w:tcW w:w="748" w:type="pct"/>
            <w:tcBorders>
              <w:top w:val="nil"/>
              <w:left w:val="nil"/>
              <w:bottom w:val="single" w:sz="4" w:space="0" w:color="auto"/>
              <w:right w:val="single" w:sz="4" w:space="0" w:color="auto"/>
            </w:tcBorders>
            <w:shd w:val="clear" w:color="auto" w:fill="auto"/>
            <w:hideMark/>
          </w:tcPr>
          <w:p w14:paraId="75865C0D" w14:textId="77777777" w:rsidR="00F530D8" w:rsidRPr="003D56F0" w:rsidRDefault="00F530D8" w:rsidP="008C755E">
            <w:pPr>
              <w:rPr>
                <w:sz w:val="18"/>
                <w:szCs w:val="18"/>
              </w:rPr>
            </w:pPr>
            <w:r w:rsidRPr="003D56F0">
              <w:rPr>
                <w:sz w:val="18"/>
                <w:szCs w:val="18"/>
              </w:rPr>
              <w:t>low intervention costs &amp; 1.5% DR</w:t>
            </w:r>
          </w:p>
        </w:tc>
      </w:tr>
      <w:tr w:rsidR="0087550E" w:rsidRPr="003D56F0" w14:paraId="0F4C68EC" w14:textId="77777777" w:rsidTr="003D56F0">
        <w:trPr>
          <w:trHeight w:val="248"/>
        </w:trPr>
        <w:tc>
          <w:tcPr>
            <w:tcW w:w="620" w:type="pct"/>
            <w:tcBorders>
              <w:top w:val="nil"/>
              <w:left w:val="single" w:sz="4" w:space="0" w:color="auto"/>
              <w:bottom w:val="single" w:sz="4" w:space="0" w:color="auto"/>
              <w:right w:val="single" w:sz="4" w:space="0" w:color="auto"/>
            </w:tcBorders>
            <w:shd w:val="clear" w:color="auto" w:fill="auto"/>
            <w:hideMark/>
          </w:tcPr>
          <w:p w14:paraId="45646B4A" w14:textId="77777777" w:rsidR="00BD29B0" w:rsidRPr="003D56F0" w:rsidRDefault="00BD29B0" w:rsidP="003D56F0">
            <w:pPr>
              <w:rPr>
                <w:sz w:val="18"/>
                <w:szCs w:val="18"/>
              </w:rPr>
            </w:pPr>
            <w:r w:rsidRPr="003D56F0">
              <w:rPr>
                <w:sz w:val="18"/>
                <w:szCs w:val="18"/>
              </w:rPr>
              <w:t>Catalano, et al. (1999)</w:t>
            </w:r>
          </w:p>
        </w:tc>
        <w:tc>
          <w:tcPr>
            <w:tcW w:w="887" w:type="pct"/>
            <w:gridSpan w:val="2"/>
            <w:tcBorders>
              <w:top w:val="nil"/>
              <w:left w:val="nil"/>
              <w:bottom w:val="single" w:sz="4" w:space="0" w:color="auto"/>
              <w:right w:val="single" w:sz="4" w:space="0" w:color="auto"/>
            </w:tcBorders>
            <w:shd w:val="clear" w:color="auto" w:fill="auto"/>
            <w:hideMark/>
          </w:tcPr>
          <w:p w14:paraId="3874DFD5" w14:textId="77777777" w:rsidR="00BD29B0" w:rsidRPr="003D56F0" w:rsidRDefault="00BD29B0" w:rsidP="008C755E">
            <w:pPr>
              <w:rPr>
                <w:rFonts w:eastAsia="Times New Roman"/>
                <w:color w:val="000000"/>
                <w:sz w:val="18"/>
                <w:szCs w:val="18"/>
              </w:rPr>
            </w:pPr>
            <w:r w:rsidRPr="003D56F0">
              <w:rPr>
                <w:sz w:val="18"/>
                <w:szCs w:val="18"/>
              </w:rPr>
              <w:t>Focus on families project</w:t>
            </w:r>
          </w:p>
        </w:tc>
        <w:tc>
          <w:tcPr>
            <w:tcW w:w="412" w:type="pct"/>
            <w:gridSpan w:val="2"/>
            <w:tcBorders>
              <w:top w:val="nil"/>
              <w:left w:val="nil"/>
              <w:bottom w:val="single" w:sz="4" w:space="0" w:color="auto"/>
              <w:right w:val="single" w:sz="4" w:space="0" w:color="auto"/>
            </w:tcBorders>
            <w:shd w:val="clear" w:color="000000" w:fill="FFFFFF"/>
            <w:hideMark/>
          </w:tcPr>
          <w:p w14:paraId="76BBC212" w14:textId="77777777" w:rsidR="00BD29B0" w:rsidRPr="003D56F0" w:rsidRDefault="00BD29B0" w:rsidP="008C755E">
            <w:pPr>
              <w:rPr>
                <w:rFonts w:eastAsia="Times New Roman"/>
                <w:color w:val="000000"/>
                <w:sz w:val="18"/>
                <w:szCs w:val="18"/>
              </w:rPr>
            </w:pPr>
            <w:r w:rsidRPr="003D56F0">
              <w:rPr>
                <w:sz w:val="18"/>
                <w:szCs w:val="18"/>
              </w:rPr>
              <w:t>£3,367</w:t>
            </w:r>
          </w:p>
        </w:tc>
        <w:tc>
          <w:tcPr>
            <w:tcW w:w="411" w:type="pct"/>
            <w:gridSpan w:val="2"/>
            <w:tcBorders>
              <w:top w:val="nil"/>
              <w:left w:val="nil"/>
              <w:bottom w:val="single" w:sz="4" w:space="0" w:color="auto"/>
              <w:right w:val="single" w:sz="4" w:space="0" w:color="auto"/>
            </w:tcBorders>
            <w:shd w:val="clear" w:color="000000" w:fill="FFFFFF"/>
            <w:hideMark/>
          </w:tcPr>
          <w:p w14:paraId="1C11289F" w14:textId="77777777" w:rsidR="00BD29B0" w:rsidRPr="003D56F0" w:rsidRDefault="00BD29B0" w:rsidP="008C755E">
            <w:pPr>
              <w:rPr>
                <w:rFonts w:eastAsia="Times New Roman"/>
                <w:color w:val="000000"/>
                <w:sz w:val="18"/>
                <w:szCs w:val="18"/>
              </w:rPr>
            </w:pPr>
            <w:r w:rsidRPr="003D56F0">
              <w:rPr>
                <w:sz w:val="18"/>
                <w:szCs w:val="18"/>
              </w:rPr>
              <w:t>£842</w:t>
            </w:r>
          </w:p>
        </w:tc>
        <w:tc>
          <w:tcPr>
            <w:tcW w:w="685" w:type="pct"/>
            <w:gridSpan w:val="2"/>
            <w:tcBorders>
              <w:top w:val="nil"/>
              <w:left w:val="nil"/>
              <w:bottom w:val="single" w:sz="4" w:space="0" w:color="auto"/>
              <w:right w:val="single" w:sz="4" w:space="0" w:color="auto"/>
            </w:tcBorders>
            <w:shd w:val="clear" w:color="auto" w:fill="FF0000"/>
            <w:hideMark/>
          </w:tcPr>
          <w:p w14:paraId="59502DCF" w14:textId="242BBF96" w:rsidR="00BD29B0" w:rsidRPr="003D56F0" w:rsidRDefault="00BD29B0" w:rsidP="008C755E">
            <w:pPr>
              <w:rPr>
                <w:rFonts w:eastAsia="Times New Roman"/>
                <w:color w:val="000000"/>
                <w:sz w:val="18"/>
                <w:szCs w:val="18"/>
              </w:rPr>
            </w:pPr>
            <w:r w:rsidRPr="003D56F0">
              <w:rPr>
                <w:sz w:val="18"/>
                <w:szCs w:val="18"/>
              </w:rPr>
              <w:t> £99,254,921</w:t>
            </w:r>
          </w:p>
        </w:tc>
        <w:tc>
          <w:tcPr>
            <w:tcW w:w="617" w:type="pct"/>
            <w:gridSpan w:val="2"/>
            <w:tcBorders>
              <w:top w:val="nil"/>
              <w:left w:val="nil"/>
              <w:bottom w:val="single" w:sz="4" w:space="0" w:color="auto"/>
              <w:right w:val="single" w:sz="4" w:space="0" w:color="auto"/>
            </w:tcBorders>
            <w:shd w:val="clear" w:color="auto" w:fill="FF0000"/>
            <w:hideMark/>
          </w:tcPr>
          <w:p w14:paraId="73FA3410" w14:textId="132D625D" w:rsidR="00BD29B0" w:rsidRPr="003D56F0" w:rsidRDefault="00BD29B0" w:rsidP="008C755E">
            <w:pPr>
              <w:rPr>
                <w:rFonts w:eastAsia="Times New Roman"/>
                <w:color w:val="000000"/>
                <w:sz w:val="18"/>
                <w:szCs w:val="18"/>
              </w:rPr>
            </w:pPr>
            <w:r w:rsidRPr="003D56F0">
              <w:rPr>
                <w:sz w:val="18"/>
                <w:szCs w:val="18"/>
              </w:rPr>
              <w:t>£24,761,040</w:t>
            </w:r>
            <w:r w:rsidRPr="003D56F0">
              <w:rPr>
                <w:sz w:val="18"/>
                <w:szCs w:val="18"/>
              </w:rPr>
              <w:tab/>
              <w:t> </w:t>
            </w:r>
          </w:p>
        </w:tc>
        <w:tc>
          <w:tcPr>
            <w:tcW w:w="620" w:type="pct"/>
            <w:gridSpan w:val="2"/>
            <w:tcBorders>
              <w:top w:val="nil"/>
              <w:left w:val="nil"/>
              <w:bottom w:val="single" w:sz="4" w:space="0" w:color="auto"/>
              <w:right w:val="single" w:sz="4" w:space="0" w:color="auto"/>
            </w:tcBorders>
            <w:shd w:val="clear" w:color="auto" w:fill="FF0000"/>
            <w:hideMark/>
          </w:tcPr>
          <w:p w14:paraId="60AC5028" w14:textId="763BAB81" w:rsidR="00BD29B0" w:rsidRPr="003D56F0" w:rsidRDefault="00BD29B0" w:rsidP="008C755E">
            <w:pPr>
              <w:rPr>
                <w:rFonts w:eastAsia="Times New Roman"/>
                <w:color w:val="000000"/>
                <w:sz w:val="18"/>
                <w:szCs w:val="18"/>
              </w:rPr>
            </w:pPr>
            <w:r w:rsidRPr="003D56F0">
              <w:rPr>
                <w:sz w:val="18"/>
                <w:szCs w:val="18"/>
              </w:rPr>
              <w:t> £99,254,921</w:t>
            </w:r>
          </w:p>
        </w:tc>
        <w:tc>
          <w:tcPr>
            <w:tcW w:w="748" w:type="pct"/>
            <w:tcBorders>
              <w:top w:val="nil"/>
              <w:left w:val="nil"/>
              <w:bottom w:val="single" w:sz="4" w:space="0" w:color="auto"/>
              <w:right w:val="single" w:sz="4" w:space="0" w:color="auto"/>
            </w:tcBorders>
            <w:shd w:val="clear" w:color="auto" w:fill="FF0000"/>
            <w:hideMark/>
          </w:tcPr>
          <w:p w14:paraId="4D8C0298" w14:textId="363D27B0" w:rsidR="00BD29B0" w:rsidRPr="003D56F0" w:rsidRDefault="00BD29B0" w:rsidP="008C755E">
            <w:pPr>
              <w:rPr>
                <w:rFonts w:eastAsia="Times New Roman"/>
                <w:color w:val="000000"/>
                <w:sz w:val="18"/>
                <w:szCs w:val="18"/>
              </w:rPr>
            </w:pPr>
            <w:r w:rsidRPr="003D56F0">
              <w:rPr>
                <w:sz w:val="18"/>
                <w:szCs w:val="18"/>
              </w:rPr>
              <w:t>£24,761,040</w:t>
            </w:r>
            <w:r w:rsidRPr="003D56F0">
              <w:rPr>
                <w:sz w:val="18"/>
                <w:szCs w:val="18"/>
              </w:rPr>
              <w:tab/>
              <w:t> </w:t>
            </w:r>
          </w:p>
        </w:tc>
      </w:tr>
      <w:tr w:rsidR="0087550E" w:rsidRPr="003D56F0" w14:paraId="622150FA" w14:textId="77777777" w:rsidTr="003D56F0">
        <w:trPr>
          <w:trHeight w:val="248"/>
        </w:trPr>
        <w:tc>
          <w:tcPr>
            <w:tcW w:w="620" w:type="pct"/>
            <w:tcBorders>
              <w:top w:val="nil"/>
              <w:left w:val="single" w:sz="4" w:space="0" w:color="auto"/>
              <w:bottom w:val="single" w:sz="4" w:space="0" w:color="auto"/>
              <w:right w:val="single" w:sz="4" w:space="0" w:color="auto"/>
            </w:tcBorders>
            <w:shd w:val="clear" w:color="auto" w:fill="auto"/>
            <w:hideMark/>
          </w:tcPr>
          <w:p w14:paraId="0161E833" w14:textId="77777777" w:rsidR="008B6F2A" w:rsidRPr="003D56F0" w:rsidRDefault="008B6F2A" w:rsidP="008C755E">
            <w:pPr>
              <w:rPr>
                <w:sz w:val="18"/>
                <w:szCs w:val="18"/>
              </w:rPr>
            </w:pPr>
            <w:r w:rsidRPr="003D56F0">
              <w:rPr>
                <w:sz w:val="18"/>
                <w:szCs w:val="18"/>
              </w:rPr>
              <w:t>Lee et al. (2010)</w:t>
            </w:r>
          </w:p>
        </w:tc>
        <w:tc>
          <w:tcPr>
            <w:tcW w:w="887" w:type="pct"/>
            <w:gridSpan w:val="2"/>
            <w:tcBorders>
              <w:top w:val="nil"/>
              <w:left w:val="nil"/>
              <w:bottom w:val="single" w:sz="4" w:space="0" w:color="auto"/>
              <w:right w:val="single" w:sz="4" w:space="0" w:color="auto"/>
            </w:tcBorders>
            <w:shd w:val="clear" w:color="auto" w:fill="auto"/>
            <w:hideMark/>
          </w:tcPr>
          <w:p w14:paraId="2415A46D" w14:textId="77777777" w:rsidR="008B6F2A" w:rsidRPr="003D56F0" w:rsidRDefault="008B6F2A" w:rsidP="008C755E">
            <w:pPr>
              <w:rPr>
                <w:rFonts w:eastAsia="Times New Roman"/>
                <w:color w:val="000000"/>
                <w:sz w:val="18"/>
                <w:szCs w:val="18"/>
              </w:rPr>
            </w:pPr>
            <w:r w:rsidRPr="003D56F0">
              <w:rPr>
                <w:sz w:val="18"/>
                <w:szCs w:val="18"/>
              </w:rPr>
              <w:t>Web-Based Personalized Feedback</w:t>
            </w:r>
          </w:p>
        </w:tc>
        <w:tc>
          <w:tcPr>
            <w:tcW w:w="412" w:type="pct"/>
            <w:gridSpan w:val="2"/>
            <w:tcBorders>
              <w:top w:val="nil"/>
              <w:left w:val="nil"/>
              <w:bottom w:val="single" w:sz="4" w:space="0" w:color="auto"/>
              <w:right w:val="single" w:sz="4" w:space="0" w:color="auto"/>
            </w:tcBorders>
            <w:shd w:val="clear" w:color="000000" w:fill="FFFFFF"/>
            <w:hideMark/>
          </w:tcPr>
          <w:p w14:paraId="6D51B067" w14:textId="77777777" w:rsidR="008B6F2A" w:rsidRPr="003D56F0" w:rsidRDefault="008B6F2A" w:rsidP="008C755E">
            <w:pPr>
              <w:rPr>
                <w:rFonts w:eastAsia="Times New Roman"/>
                <w:color w:val="000000"/>
                <w:sz w:val="18"/>
                <w:szCs w:val="18"/>
              </w:rPr>
            </w:pPr>
            <w:r w:rsidRPr="003D56F0">
              <w:rPr>
                <w:sz w:val="18"/>
                <w:szCs w:val="18"/>
              </w:rPr>
              <w:t>£15</w:t>
            </w:r>
          </w:p>
        </w:tc>
        <w:tc>
          <w:tcPr>
            <w:tcW w:w="411" w:type="pct"/>
            <w:gridSpan w:val="2"/>
            <w:tcBorders>
              <w:top w:val="nil"/>
              <w:left w:val="nil"/>
              <w:bottom w:val="single" w:sz="4" w:space="0" w:color="auto"/>
              <w:right w:val="single" w:sz="4" w:space="0" w:color="auto"/>
            </w:tcBorders>
            <w:shd w:val="clear" w:color="000000" w:fill="FFFFFF"/>
            <w:hideMark/>
          </w:tcPr>
          <w:p w14:paraId="71E95DB5" w14:textId="77777777" w:rsidR="008B6F2A" w:rsidRPr="003D56F0" w:rsidRDefault="008B6F2A" w:rsidP="008C755E">
            <w:pPr>
              <w:rPr>
                <w:rFonts w:eastAsia="Times New Roman"/>
                <w:color w:val="000000"/>
                <w:sz w:val="18"/>
                <w:szCs w:val="18"/>
              </w:rPr>
            </w:pPr>
            <w:r w:rsidRPr="003D56F0">
              <w:rPr>
                <w:sz w:val="18"/>
                <w:szCs w:val="18"/>
              </w:rPr>
              <w:t>£1</w:t>
            </w:r>
          </w:p>
        </w:tc>
        <w:tc>
          <w:tcPr>
            <w:tcW w:w="685" w:type="pct"/>
            <w:gridSpan w:val="2"/>
            <w:tcBorders>
              <w:top w:val="nil"/>
              <w:left w:val="nil"/>
              <w:bottom w:val="single" w:sz="4" w:space="0" w:color="auto"/>
              <w:right w:val="single" w:sz="4" w:space="0" w:color="auto"/>
            </w:tcBorders>
            <w:shd w:val="clear" w:color="auto" w:fill="FF0000"/>
          </w:tcPr>
          <w:p w14:paraId="20BCDBC5" w14:textId="5C4D99C8" w:rsidR="008B6F2A" w:rsidRPr="003D56F0" w:rsidRDefault="008B6F2A" w:rsidP="008C755E">
            <w:pPr>
              <w:rPr>
                <w:rFonts w:eastAsia="Times New Roman"/>
                <w:color w:val="000000"/>
                <w:sz w:val="18"/>
                <w:szCs w:val="18"/>
              </w:rPr>
            </w:pPr>
            <w:r w:rsidRPr="003D56F0">
              <w:rPr>
                <w:sz w:val="18"/>
                <w:szCs w:val="18"/>
              </w:rPr>
              <w:t>£</w:t>
            </w:r>
            <w:r w:rsidR="008C755E" w:rsidRPr="003D56F0">
              <w:rPr>
                <w:sz w:val="18"/>
                <w:szCs w:val="18"/>
              </w:rPr>
              <w:t>328,939</w:t>
            </w:r>
          </w:p>
        </w:tc>
        <w:tc>
          <w:tcPr>
            <w:tcW w:w="617" w:type="pct"/>
            <w:gridSpan w:val="2"/>
            <w:tcBorders>
              <w:top w:val="nil"/>
              <w:left w:val="nil"/>
              <w:bottom w:val="single" w:sz="4" w:space="0" w:color="auto"/>
              <w:right w:val="single" w:sz="4" w:space="0" w:color="auto"/>
            </w:tcBorders>
            <w:shd w:val="clear" w:color="auto" w:fill="00B0F0"/>
          </w:tcPr>
          <w:p w14:paraId="0847E784" w14:textId="28117C2D" w:rsidR="008B6F2A" w:rsidRPr="003D56F0" w:rsidRDefault="008B6F2A" w:rsidP="008C755E">
            <w:pPr>
              <w:rPr>
                <w:rFonts w:eastAsia="Times New Roman"/>
                <w:color w:val="000000"/>
                <w:sz w:val="18"/>
                <w:szCs w:val="18"/>
              </w:rPr>
            </w:pPr>
            <w:r w:rsidRPr="003D56F0">
              <w:rPr>
                <w:sz w:val="18"/>
                <w:szCs w:val="18"/>
              </w:rPr>
              <w:t>-£</w:t>
            </w:r>
            <w:r w:rsidR="008C755E" w:rsidRPr="003D56F0">
              <w:rPr>
                <w:sz w:val="18"/>
                <w:szCs w:val="18"/>
              </w:rPr>
              <w:t>114,004</w:t>
            </w:r>
          </w:p>
        </w:tc>
        <w:tc>
          <w:tcPr>
            <w:tcW w:w="620" w:type="pct"/>
            <w:gridSpan w:val="2"/>
            <w:tcBorders>
              <w:top w:val="nil"/>
              <w:left w:val="nil"/>
              <w:bottom w:val="single" w:sz="4" w:space="0" w:color="auto"/>
              <w:right w:val="single" w:sz="4" w:space="0" w:color="auto"/>
            </w:tcBorders>
            <w:shd w:val="clear" w:color="auto" w:fill="FF0000"/>
          </w:tcPr>
          <w:p w14:paraId="4989695A" w14:textId="41D5A11D" w:rsidR="008B6F2A" w:rsidRPr="003D56F0" w:rsidRDefault="008B6F2A" w:rsidP="00902779">
            <w:pPr>
              <w:rPr>
                <w:rFonts w:eastAsia="Times New Roman"/>
                <w:color w:val="000000"/>
                <w:sz w:val="18"/>
                <w:szCs w:val="18"/>
              </w:rPr>
            </w:pPr>
            <w:r w:rsidRPr="003D56F0">
              <w:rPr>
                <w:sz w:val="18"/>
                <w:szCs w:val="18"/>
              </w:rPr>
              <w:t>£</w:t>
            </w:r>
            <w:r w:rsidR="00902779" w:rsidRPr="003D56F0">
              <w:rPr>
                <w:sz w:val="18"/>
                <w:szCs w:val="18"/>
              </w:rPr>
              <w:t>326,949</w:t>
            </w:r>
          </w:p>
        </w:tc>
        <w:tc>
          <w:tcPr>
            <w:tcW w:w="748" w:type="pct"/>
            <w:tcBorders>
              <w:top w:val="nil"/>
              <w:left w:val="nil"/>
              <w:bottom w:val="single" w:sz="4" w:space="0" w:color="auto"/>
              <w:right w:val="single" w:sz="4" w:space="0" w:color="auto"/>
            </w:tcBorders>
            <w:shd w:val="clear" w:color="auto" w:fill="00B0F0"/>
          </w:tcPr>
          <w:p w14:paraId="379B7697" w14:textId="0752F10C" w:rsidR="008B6F2A" w:rsidRPr="003D56F0" w:rsidRDefault="00902779" w:rsidP="008C755E">
            <w:pPr>
              <w:rPr>
                <w:rFonts w:eastAsia="Times New Roman"/>
                <w:color w:val="000000"/>
                <w:sz w:val="18"/>
                <w:szCs w:val="18"/>
              </w:rPr>
            </w:pPr>
            <w:r w:rsidRPr="003D56F0">
              <w:rPr>
                <w:sz w:val="18"/>
                <w:szCs w:val="18"/>
              </w:rPr>
              <w:t>-£115994</w:t>
            </w:r>
          </w:p>
        </w:tc>
      </w:tr>
      <w:tr w:rsidR="0087550E" w:rsidRPr="003D56F0" w14:paraId="6EC70E9F" w14:textId="77777777" w:rsidTr="003D56F0">
        <w:trPr>
          <w:trHeight w:val="248"/>
        </w:trPr>
        <w:tc>
          <w:tcPr>
            <w:tcW w:w="620" w:type="pct"/>
            <w:tcBorders>
              <w:top w:val="nil"/>
              <w:left w:val="single" w:sz="4" w:space="0" w:color="auto"/>
              <w:bottom w:val="single" w:sz="4" w:space="0" w:color="auto"/>
              <w:right w:val="single" w:sz="4" w:space="0" w:color="auto"/>
            </w:tcBorders>
            <w:shd w:val="clear" w:color="auto" w:fill="auto"/>
            <w:hideMark/>
          </w:tcPr>
          <w:p w14:paraId="332C63A8" w14:textId="77777777" w:rsidR="008B6F2A" w:rsidRPr="003D56F0" w:rsidRDefault="008B6F2A" w:rsidP="003D56F0">
            <w:pPr>
              <w:rPr>
                <w:sz w:val="18"/>
                <w:szCs w:val="18"/>
              </w:rPr>
            </w:pPr>
            <w:r w:rsidRPr="003D56F0">
              <w:rPr>
                <w:sz w:val="18"/>
                <w:szCs w:val="18"/>
              </w:rPr>
              <w:t>Prado et al. (2012)</w:t>
            </w:r>
          </w:p>
        </w:tc>
        <w:tc>
          <w:tcPr>
            <w:tcW w:w="887" w:type="pct"/>
            <w:gridSpan w:val="2"/>
            <w:tcBorders>
              <w:top w:val="nil"/>
              <w:left w:val="nil"/>
              <w:bottom w:val="single" w:sz="4" w:space="0" w:color="auto"/>
              <w:right w:val="single" w:sz="4" w:space="0" w:color="auto"/>
            </w:tcBorders>
            <w:shd w:val="clear" w:color="auto" w:fill="auto"/>
            <w:hideMark/>
          </w:tcPr>
          <w:p w14:paraId="48F7FFE5" w14:textId="77777777" w:rsidR="008B6F2A" w:rsidRPr="003D56F0" w:rsidRDefault="008B6F2A" w:rsidP="003D56F0">
            <w:pPr>
              <w:rPr>
                <w:rFonts w:eastAsia="Times New Roman"/>
                <w:color w:val="000000"/>
                <w:sz w:val="18"/>
                <w:szCs w:val="18"/>
              </w:rPr>
            </w:pPr>
            <w:r w:rsidRPr="003D56F0">
              <w:rPr>
                <w:sz w:val="18"/>
                <w:szCs w:val="18"/>
              </w:rPr>
              <w:t>Familias Unidas</w:t>
            </w:r>
          </w:p>
        </w:tc>
        <w:tc>
          <w:tcPr>
            <w:tcW w:w="412" w:type="pct"/>
            <w:gridSpan w:val="2"/>
            <w:tcBorders>
              <w:top w:val="nil"/>
              <w:left w:val="nil"/>
              <w:bottom w:val="single" w:sz="4" w:space="0" w:color="auto"/>
              <w:right w:val="single" w:sz="4" w:space="0" w:color="auto"/>
            </w:tcBorders>
            <w:shd w:val="clear" w:color="000000" w:fill="FFFFFF"/>
            <w:hideMark/>
          </w:tcPr>
          <w:p w14:paraId="6D20C230" w14:textId="77777777" w:rsidR="008B6F2A" w:rsidRPr="003D56F0" w:rsidRDefault="008B6F2A" w:rsidP="003D56F0">
            <w:pPr>
              <w:rPr>
                <w:rFonts w:eastAsia="Times New Roman"/>
                <w:color w:val="000000"/>
                <w:sz w:val="18"/>
                <w:szCs w:val="18"/>
              </w:rPr>
            </w:pPr>
            <w:r w:rsidRPr="003D56F0">
              <w:rPr>
                <w:sz w:val="18"/>
                <w:szCs w:val="18"/>
              </w:rPr>
              <w:t>£154</w:t>
            </w:r>
          </w:p>
        </w:tc>
        <w:tc>
          <w:tcPr>
            <w:tcW w:w="411" w:type="pct"/>
            <w:gridSpan w:val="2"/>
            <w:tcBorders>
              <w:top w:val="nil"/>
              <w:left w:val="nil"/>
              <w:bottom w:val="single" w:sz="4" w:space="0" w:color="auto"/>
              <w:right w:val="single" w:sz="4" w:space="0" w:color="auto"/>
            </w:tcBorders>
            <w:shd w:val="clear" w:color="000000" w:fill="FFFFFF"/>
            <w:hideMark/>
          </w:tcPr>
          <w:p w14:paraId="1CC6AF04" w14:textId="77777777" w:rsidR="008B6F2A" w:rsidRPr="003D56F0" w:rsidRDefault="008B6F2A" w:rsidP="003D56F0">
            <w:pPr>
              <w:rPr>
                <w:rFonts w:eastAsia="Times New Roman"/>
                <w:color w:val="000000"/>
                <w:sz w:val="18"/>
                <w:szCs w:val="18"/>
              </w:rPr>
            </w:pPr>
            <w:r w:rsidRPr="003D56F0">
              <w:rPr>
                <w:sz w:val="18"/>
                <w:szCs w:val="18"/>
              </w:rPr>
              <w:t>£116</w:t>
            </w:r>
          </w:p>
        </w:tc>
        <w:tc>
          <w:tcPr>
            <w:tcW w:w="685" w:type="pct"/>
            <w:gridSpan w:val="2"/>
            <w:tcBorders>
              <w:top w:val="nil"/>
              <w:left w:val="nil"/>
              <w:bottom w:val="single" w:sz="4" w:space="0" w:color="auto"/>
              <w:right w:val="single" w:sz="4" w:space="0" w:color="auto"/>
            </w:tcBorders>
            <w:shd w:val="clear" w:color="auto" w:fill="FF0000"/>
            <w:hideMark/>
          </w:tcPr>
          <w:p w14:paraId="0D34DE6F" w14:textId="40D0DB94" w:rsidR="008B6F2A" w:rsidRPr="003D56F0" w:rsidRDefault="009E6EA4" w:rsidP="003D56F0">
            <w:pPr>
              <w:rPr>
                <w:rFonts w:eastAsia="Times New Roman"/>
                <w:color w:val="000000"/>
                <w:sz w:val="18"/>
                <w:szCs w:val="18"/>
              </w:rPr>
            </w:pPr>
            <w:r w:rsidRPr="003D56F0">
              <w:rPr>
                <w:sz w:val="18"/>
                <w:szCs w:val="18"/>
              </w:rPr>
              <w:t>£129,970</w:t>
            </w:r>
          </w:p>
        </w:tc>
        <w:tc>
          <w:tcPr>
            <w:tcW w:w="617" w:type="pct"/>
            <w:gridSpan w:val="2"/>
            <w:tcBorders>
              <w:top w:val="nil"/>
              <w:left w:val="nil"/>
              <w:bottom w:val="single" w:sz="4" w:space="0" w:color="auto"/>
              <w:right w:val="single" w:sz="4" w:space="0" w:color="auto"/>
            </w:tcBorders>
            <w:shd w:val="clear" w:color="auto" w:fill="00B0F0"/>
            <w:hideMark/>
          </w:tcPr>
          <w:p w14:paraId="404601B8" w14:textId="066FEB1E" w:rsidR="008B6F2A" w:rsidRPr="003D56F0" w:rsidRDefault="009E6EA4" w:rsidP="003D56F0">
            <w:pPr>
              <w:rPr>
                <w:rFonts w:eastAsia="Times New Roman"/>
                <w:color w:val="000000"/>
                <w:sz w:val="18"/>
                <w:szCs w:val="18"/>
              </w:rPr>
            </w:pPr>
            <w:r w:rsidRPr="003D56F0">
              <w:rPr>
                <w:sz w:val="18"/>
                <w:szCs w:val="18"/>
              </w:rPr>
              <w:t>-£19,916</w:t>
            </w:r>
          </w:p>
        </w:tc>
        <w:tc>
          <w:tcPr>
            <w:tcW w:w="620" w:type="pct"/>
            <w:gridSpan w:val="2"/>
            <w:tcBorders>
              <w:top w:val="nil"/>
              <w:left w:val="nil"/>
              <w:bottom w:val="single" w:sz="4" w:space="0" w:color="auto"/>
              <w:right w:val="single" w:sz="4" w:space="0" w:color="auto"/>
            </w:tcBorders>
            <w:shd w:val="clear" w:color="auto" w:fill="FF0000"/>
            <w:hideMark/>
          </w:tcPr>
          <w:p w14:paraId="58BCCEED" w14:textId="37361AB5" w:rsidR="008B6F2A" w:rsidRPr="003D56F0" w:rsidRDefault="009E6EA4" w:rsidP="003D56F0">
            <w:pPr>
              <w:rPr>
                <w:rFonts w:eastAsia="Times New Roman"/>
                <w:color w:val="000000"/>
                <w:sz w:val="18"/>
                <w:szCs w:val="18"/>
              </w:rPr>
            </w:pPr>
            <w:r w:rsidRPr="003D56F0">
              <w:rPr>
                <w:sz w:val="18"/>
                <w:szCs w:val="18"/>
              </w:rPr>
              <w:t>£121,692</w:t>
            </w:r>
          </w:p>
        </w:tc>
        <w:tc>
          <w:tcPr>
            <w:tcW w:w="748" w:type="pct"/>
            <w:tcBorders>
              <w:top w:val="nil"/>
              <w:left w:val="nil"/>
              <w:bottom w:val="single" w:sz="4" w:space="0" w:color="auto"/>
              <w:right w:val="single" w:sz="4" w:space="0" w:color="auto"/>
            </w:tcBorders>
            <w:shd w:val="clear" w:color="auto" w:fill="00B0F0"/>
            <w:hideMark/>
          </w:tcPr>
          <w:p w14:paraId="5E5B4731" w14:textId="07A1A987" w:rsidR="008B6F2A" w:rsidRPr="003D56F0" w:rsidRDefault="009E6EA4" w:rsidP="003D56F0">
            <w:pPr>
              <w:rPr>
                <w:rFonts w:eastAsia="Times New Roman"/>
                <w:color w:val="000000"/>
                <w:sz w:val="18"/>
                <w:szCs w:val="18"/>
              </w:rPr>
            </w:pPr>
            <w:r w:rsidRPr="003D56F0">
              <w:rPr>
                <w:sz w:val="18"/>
                <w:szCs w:val="18"/>
              </w:rPr>
              <w:t>-£21,627</w:t>
            </w:r>
            <w:r w:rsidR="008B6F2A" w:rsidRPr="003D56F0">
              <w:rPr>
                <w:sz w:val="18"/>
                <w:szCs w:val="18"/>
              </w:rPr>
              <w:t> </w:t>
            </w:r>
          </w:p>
        </w:tc>
      </w:tr>
      <w:tr w:rsidR="0087550E" w:rsidRPr="003D56F0" w14:paraId="03714446" w14:textId="77777777" w:rsidTr="003D56F0">
        <w:trPr>
          <w:trHeight w:val="248"/>
        </w:trPr>
        <w:tc>
          <w:tcPr>
            <w:tcW w:w="620" w:type="pct"/>
            <w:tcBorders>
              <w:top w:val="nil"/>
              <w:left w:val="single" w:sz="4" w:space="0" w:color="auto"/>
              <w:bottom w:val="single" w:sz="4" w:space="0" w:color="auto"/>
              <w:right w:val="single" w:sz="4" w:space="0" w:color="auto"/>
            </w:tcBorders>
            <w:shd w:val="clear" w:color="auto" w:fill="auto"/>
            <w:hideMark/>
          </w:tcPr>
          <w:p w14:paraId="6588D236" w14:textId="77777777" w:rsidR="008B6F2A" w:rsidRPr="003D56F0" w:rsidRDefault="008B6F2A" w:rsidP="003D56F0">
            <w:pPr>
              <w:rPr>
                <w:sz w:val="18"/>
                <w:szCs w:val="18"/>
              </w:rPr>
            </w:pPr>
            <w:r w:rsidRPr="003D56F0">
              <w:rPr>
                <w:sz w:val="18"/>
                <w:szCs w:val="18"/>
              </w:rPr>
              <w:t>Martin et al. (2010)</w:t>
            </w:r>
          </w:p>
        </w:tc>
        <w:tc>
          <w:tcPr>
            <w:tcW w:w="887" w:type="pct"/>
            <w:gridSpan w:val="2"/>
            <w:tcBorders>
              <w:top w:val="nil"/>
              <w:left w:val="nil"/>
              <w:bottom w:val="single" w:sz="4" w:space="0" w:color="auto"/>
              <w:right w:val="single" w:sz="4" w:space="0" w:color="auto"/>
            </w:tcBorders>
            <w:shd w:val="clear" w:color="auto" w:fill="auto"/>
            <w:hideMark/>
          </w:tcPr>
          <w:p w14:paraId="4CF5438C" w14:textId="77777777" w:rsidR="008B6F2A" w:rsidRPr="003D56F0" w:rsidRDefault="008B6F2A" w:rsidP="003D56F0">
            <w:pPr>
              <w:rPr>
                <w:rFonts w:eastAsia="Times New Roman"/>
                <w:color w:val="000000"/>
                <w:sz w:val="18"/>
                <w:szCs w:val="18"/>
              </w:rPr>
            </w:pPr>
            <w:r w:rsidRPr="003D56F0">
              <w:rPr>
                <w:sz w:val="18"/>
                <w:szCs w:val="18"/>
              </w:rPr>
              <w:t>Brief MI amongst those attending nightclubs</w:t>
            </w:r>
          </w:p>
        </w:tc>
        <w:tc>
          <w:tcPr>
            <w:tcW w:w="412" w:type="pct"/>
            <w:gridSpan w:val="2"/>
            <w:tcBorders>
              <w:top w:val="nil"/>
              <w:left w:val="nil"/>
              <w:bottom w:val="single" w:sz="4" w:space="0" w:color="auto"/>
              <w:right w:val="single" w:sz="4" w:space="0" w:color="auto"/>
            </w:tcBorders>
            <w:shd w:val="clear" w:color="000000" w:fill="FFFFFF"/>
            <w:hideMark/>
          </w:tcPr>
          <w:p w14:paraId="782D3B35" w14:textId="77777777" w:rsidR="008B6F2A" w:rsidRPr="003D56F0" w:rsidRDefault="008B6F2A" w:rsidP="003D56F0">
            <w:pPr>
              <w:rPr>
                <w:rFonts w:eastAsia="Times New Roman"/>
                <w:color w:val="000000"/>
                <w:sz w:val="18"/>
                <w:szCs w:val="18"/>
              </w:rPr>
            </w:pPr>
            <w:r w:rsidRPr="003D56F0">
              <w:rPr>
                <w:sz w:val="18"/>
                <w:szCs w:val="18"/>
              </w:rPr>
              <w:t>£67</w:t>
            </w:r>
          </w:p>
        </w:tc>
        <w:tc>
          <w:tcPr>
            <w:tcW w:w="411" w:type="pct"/>
            <w:gridSpan w:val="2"/>
            <w:tcBorders>
              <w:top w:val="nil"/>
              <w:left w:val="nil"/>
              <w:bottom w:val="single" w:sz="4" w:space="0" w:color="auto"/>
              <w:right w:val="single" w:sz="4" w:space="0" w:color="auto"/>
            </w:tcBorders>
            <w:shd w:val="clear" w:color="000000" w:fill="FFFFFF"/>
            <w:hideMark/>
          </w:tcPr>
          <w:p w14:paraId="7A4548ED" w14:textId="77777777" w:rsidR="008B6F2A" w:rsidRPr="003D56F0" w:rsidRDefault="008B6F2A" w:rsidP="003D56F0">
            <w:pPr>
              <w:rPr>
                <w:rFonts w:eastAsia="Times New Roman"/>
                <w:color w:val="000000"/>
                <w:sz w:val="18"/>
                <w:szCs w:val="18"/>
              </w:rPr>
            </w:pPr>
            <w:r w:rsidRPr="003D56F0">
              <w:rPr>
                <w:sz w:val="18"/>
                <w:szCs w:val="18"/>
              </w:rPr>
              <w:t>£32</w:t>
            </w:r>
          </w:p>
        </w:tc>
        <w:tc>
          <w:tcPr>
            <w:tcW w:w="685" w:type="pct"/>
            <w:gridSpan w:val="2"/>
            <w:tcBorders>
              <w:top w:val="nil"/>
              <w:left w:val="nil"/>
              <w:bottom w:val="single" w:sz="4" w:space="0" w:color="auto"/>
              <w:right w:val="single" w:sz="4" w:space="0" w:color="auto"/>
            </w:tcBorders>
            <w:shd w:val="clear" w:color="auto" w:fill="FF0000"/>
            <w:hideMark/>
          </w:tcPr>
          <w:p w14:paraId="4F0BA2DC" w14:textId="41365F79" w:rsidR="008B6F2A" w:rsidRPr="003D56F0" w:rsidRDefault="00254B7D" w:rsidP="003D56F0">
            <w:pPr>
              <w:rPr>
                <w:rFonts w:eastAsia="Times New Roman"/>
                <w:color w:val="000000"/>
                <w:sz w:val="18"/>
                <w:szCs w:val="18"/>
              </w:rPr>
            </w:pPr>
            <w:r w:rsidRPr="003D56F0">
              <w:rPr>
                <w:sz w:val="18"/>
                <w:szCs w:val="18"/>
              </w:rPr>
              <w:t>£</w:t>
            </w:r>
            <w:r w:rsidR="008B6F2A" w:rsidRPr="003D56F0">
              <w:rPr>
                <w:sz w:val="18"/>
                <w:szCs w:val="18"/>
              </w:rPr>
              <w:t>484,959</w:t>
            </w:r>
          </w:p>
        </w:tc>
        <w:tc>
          <w:tcPr>
            <w:tcW w:w="617" w:type="pct"/>
            <w:gridSpan w:val="2"/>
            <w:tcBorders>
              <w:top w:val="nil"/>
              <w:left w:val="nil"/>
              <w:bottom w:val="single" w:sz="4" w:space="0" w:color="auto"/>
              <w:right w:val="single" w:sz="4" w:space="0" w:color="auto"/>
            </w:tcBorders>
            <w:shd w:val="clear" w:color="auto" w:fill="FF0000"/>
            <w:hideMark/>
          </w:tcPr>
          <w:p w14:paraId="0C73A805" w14:textId="5DF96ADD" w:rsidR="008B6F2A" w:rsidRPr="003D56F0" w:rsidRDefault="00254B7D" w:rsidP="003D56F0">
            <w:pPr>
              <w:rPr>
                <w:rFonts w:eastAsia="Times New Roman"/>
                <w:color w:val="000000"/>
                <w:sz w:val="18"/>
                <w:szCs w:val="18"/>
              </w:rPr>
            </w:pPr>
            <w:r w:rsidRPr="003D56F0">
              <w:rPr>
                <w:sz w:val="18"/>
                <w:szCs w:val="18"/>
              </w:rPr>
              <w:t>£</w:t>
            </w:r>
            <w:r w:rsidR="008B6F2A" w:rsidRPr="003D56F0">
              <w:rPr>
                <w:sz w:val="18"/>
                <w:szCs w:val="18"/>
              </w:rPr>
              <w:t>225,424</w:t>
            </w:r>
          </w:p>
        </w:tc>
        <w:tc>
          <w:tcPr>
            <w:tcW w:w="620" w:type="pct"/>
            <w:gridSpan w:val="2"/>
            <w:tcBorders>
              <w:top w:val="nil"/>
              <w:left w:val="nil"/>
              <w:bottom w:val="single" w:sz="4" w:space="0" w:color="auto"/>
              <w:right w:val="single" w:sz="4" w:space="0" w:color="auto"/>
            </w:tcBorders>
            <w:shd w:val="clear" w:color="auto" w:fill="FF0000"/>
            <w:hideMark/>
          </w:tcPr>
          <w:p w14:paraId="4C016FFA" w14:textId="44858C2F" w:rsidR="008B6F2A" w:rsidRPr="003D56F0" w:rsidRDefault="00254B7D" w:rsidP="003D56F0">
            <w:pPr>
              <w:rPr>
                <w:rFonts w:eastAsia="Times New Roman"/>
                <w:color w:val="000000"/>
                <w:sz w:val="18"/>
                <w:szCs w:val="18"/>
              </w:rPr>
            </w:pPr>
            <w:r w:rsidRPr="003D56F0">
              <w:rPr>
                <w:sz w:val="18"/>
                <w:szCs w:val="18"/>
              </w:rPr>
              <w:t>£</w:t>
            </w:r>
            <w:r w:rsidR="008B6F2A" w:rsidRPr="003D56F0">
              <w:rPr>
                <w:sz w:val="18"/>
                <w:szCs w:val="18"/>
              </w:rPr>
              <w:t>328,341</w:t>
            </w:r>
          </w:p>
        </w:tc>
        <w:tc>
          <w:tcPr>
            <w:tcW w:w="748" w:type="pct"/>
            <w:tcBorders>
              <w:top w:val="nil"/>
              <w:left w:val="nil"/>
              <w:bottom w:val="single" w:sz="4" w:space="0" w:color="auto"/>
              <w:right w:val="single" w:sz="4" w:space="0" w:color="auto"/>
            </w:tcBorders>
            <w:shd w:val="clear" w:color="auto" w:fill="FF0000"/>
            <w:hideMark/>
          </w:tcPr>
          <w:p w14:paraId="6E31B172" w14:textId="525FB021" w:rsidR="008B6F2A" w:rsidRPr="003D56F0" w:rsidRDefault="00254B7D" w:rsidP="003D56F0">
            <w:pPr>
              <w:rPr>
                <w:rFonts w:eastAsia="Times New Roman"/>
                <w:color w:val="000000"/>
                <w:sz w:val="18"/>
                <w:szCs w:val="18"/>
              </w:rPr>
            </w:pPr>
            <w:r w:rsidRPr="003D56F0">
              <w:rPr>
                <w:sz w:val="18"/>
                <w:szCs w:val="18"/>
              </w:rPr>
              <w:t>£</w:t>
            </w:r>
            <w:r w:rsidR="008B6F2A" w:rsidRPr="003D56F0">
              <w:rPr>
                <w:sz w:val="18"/>
                <w:szCs w:val="18"/>
              </w:rPr>
              <w:t>152,663</w:t>
            </w:r>
          </w:p>
        </w:tc>
      </w:tr>
      <w:tr w:rsidR="0087550E" w:rsidRPr="003D56F0" w14:paraId="3CFF47D3" w14:textId="77777777" w:rsidTr="003D56F0">
        <w:trPr>
          <w:trHeight w:val="327"/>
        </w:trPr>
        <w:tc>
          <w:tcPr>
            <w:tcW w:w="620" w:type="pct"/>
            <w:tcBorders>
              <w:top w:val="nil"/>
              <w:left w:val="single" w:sz="4" w:space="0" w:color="auto"/>
              <w:bottom w:val="single" w:sz="4" w:space="0" w:color="auto"/>
              <w:right w:val="single" w:sz="4" w:space="0" w:color="auto"/>
            </w:tcBorders>
            <w:shd w:val="clear" w:color="000000" w:fill="FFFFFF"/>
            <w:hideMark/>
          </w:tcPr>
          <w:p w14:paraId="2B54ED99" w14:textId="77777777" w:rsidR="008B6F2A" w:rsidRPr="003D56F0" w:rsidRDefault="008B6F2A" w:rsidP="003D56F0">
            <w:pPr>
              <w:rPr>
                <w:sz w:val="18"/>
                <w:szCs w:val="18"/>
              </w:rPr>
            </w:pPr>
            <w:r w:rsidRPr="003D56F0">
              <w:rPr>
                <w:sz w:val="18"/>
                <w:szCs w:val="18"/>
              </w:rPr>
              <w:t>Parsons et al (2014)</w:t>
            </w:r>
          </w:p>
        </w:tc>
        <w:tc>
          <w:tcPr>
            <w:tcW w:w="887" w:type="pct"/>
            <w:gridSpan w:val="2"/>
            <w:tcBorders>
              <w:top w:val="nil"/>
              <w:left w:val="nil"/>
              <w:bottom w:val="single" w:sz="4" w:space="0" w:color="auto"/>
              <w:right w:val="single" w:sz="4" w:space="0" w:color="auto"/>
            </w:tcBorders>
            <w:shd w:val="clear" w:color="auto" w:fill="auto"/>
            <w:hideMark/>
          </w:tcPr>
          <w:p w14:paraId="742BDAF3" w14:textId="77777777" w:rsidR="008B6F2A" w:rsidRPr="003D56F0" w:rsidRDefault="008B6F2A" w:rsidP="003D56F0">
            <w:pPr>
              <w:rPr>
                <w:rFonts w:eastAsia="Times New Roman"/>
                <w:color w:val="000000"/>
                <w:sz w:val="18"/>
                <w:szCs w:val="18"/>
              </w:rPr>
            </w:pPr>
            <w:r w:rsidRPr="003D56F0">
              <w:rPr>
                <w:sz w:val="18"/>
                <w:szCs w:val="18"/>
              </w:rPr>
              <w:t>MI for drug use &amp; HIV risk</w:t>
            </w:r>
          </w:p>
        </w:tc>
        <w:tc>
          <w:tcPr>
            <w:tcW w:w="412" w:type="pct"/>
            <w:gridSpan w:val="2"/>
            <w:tcBorders>
              <w:top w:val="nil"/>
              <w:left w:val="nil"/>
              <w:bottom w:val="single" w:sz="4" w:space="0" w:color="auto"/>
              <w:right w:val="single" w:sz="4" w:space="0" w:color="auto"/>
            </w:tcBorders>
            <w:shd w:val="clear" w:color="000000" w:fill="FFFFFF"/>
            <w:hideMark/>
          </w:tcPr>
          <w:p w14:paraId="517B8A59" w14:textId="77777777" w:rsidR="008B6F2A" w:rsidRPr="003D56F0" w:rsidRDefault="008B6F2A" w:rsidP="003D56F0">
            <w:pPr>
              <w:rPr>
                <w:rFonts w:eastAsia="Times New Roman"/>
                <w:color w:val="000000"/>
                <w:sz w:val="18"/>
                <w:szCs w:val="18"/>
              </w:rPr>
            </w:pPr>
            <w:r w:rsidRPr="003D56F0">
              <w:rPr>
                <w:sz w:val="18"/>
                <w:szCs w:val="18"/>
              </w:rPr>
              <w:t>£268</w:t>
            </w:r>
          </w:p>
        </w:tc>
        <w:tc>
          <w:tcPr>
            <w:tcW w:w="411" w:type="pct"/>
            <w:gridSpan w:val="2"/>
            <w:tcBorders>
              <w:top w:val="nil"/>
              <w:left w:val="nil"/>
              <w:bottom w:val="single" w:sz="4" w:space="0" w:color="auto"/>
              <w:right w:val="single" w:sz="4" w:space="0" w:color="auto"/>
            </w:tcBorders>
            <w:shd w:val="clear" w:color="000000" w:fill="FFFFFF"/>
            <w:hideMark/>
          </w:tcPr>
          <w:p w14:paraId="0B774BBB" w14:textId="77777777" w:rsidR="008B6F2A" w:rsidRPr="003D56F0" w:rsidRDefault="008B6F2A" w:rsidP="003D56F0">
            <w:pPr>
              <w:rPr>
                <w:rFonts w:eastAsia="Times New Roman"/>
                <w:color w:val="000000"/>
                <w:sz w:val="18"/>
                <w:szCs w:val="18"/>
              </w:rPr>
            </w:pPr>
            <w:r w:rsidRPr="003D56F0">
              <w:rPr>
                <w:sz w:val="18"/>
                <w:szCs w:val="18"/>
              </w:rPr>
              <w:t>£128</w:t>
            </w:r>
          </w:p>
        </w:tc>
        <w:tc>
          <w:tcPr>
            <w:tcW w:w="685" w:type="pct"/>
            <w:gridSpan w:val="2"/>
            <w:tcBorders>
              <w:top w:val="nil"/>
              <w:left w:val="nil"/>
              <w:bottom w:val="single" w:sz="4" w:space="0" w:color="auto"/>
              <w:right w:val="single" w:sz="4" w:space="0" w:color="auto"/>
            </w:tcBorders>
            <w:shd w:val="clear" w:color="auto" w:fill="FF0000"/>
            <w:hideMark/>
          </w:tcPr>
          <w:p w14:paraId="7AA0FEC6" w14:textId="77777777" w:rsidR="008B6F2A" w:rsidRPr="003D56F0" w:rsidRDefault="008B6F2A" w:rsidP="003D56F0">
            <w:pPr>
              <w:rPr>
                <w:rFonts w:eastAsia="Times New Roman"/>
                <w:color w:val="000000"/>
                <w:sz w:val="18"/>
                <w:szCs w:val="18"/>
              </w:rPr>
            </w:pPr>
            <w:r w:rsidRPr="003D56F0">
              <w:rPr>
                <w:sz w:val="18"/>
                <w:szCs w:val="18"/>
              </w:rPr>
              <w:t>£301,235</w:t>
            </w:r>
          </w:p>
        </w:tc>
        <w:tc>
          <w:tcPr>
            <w:tcW w:w="617" w:type="pct"/>
            <w:gridSpan w:val="2"/>
            <w:tcBorders>
              <w:top w:val="nil"/>
              <w:left w:val="nil"/>
              <w:bottom w:val="single" w:sz="4" w:space="0" w:color="auto"/>
              <w:right w:val="single" w:sz="4" w:space="0" w:color="auto"/>
            </w:tcBorders>
            <w:shd w:val="clear" w:color="auto" w:fill="FF0000"/>
            <w:hideMark/>
          </w:tcPr>
          <w:p w14:paraId="0D5AFAD4" w14:textId="77777777" w:rsidR="008B6F2A" w:rsidRPr="003D56F0" w:rsidRDefault="008B6F2A" w:rsidP="003D56F0">
            <w:pPr>
              <w:rPr>
                <w:rFonts w:eastAsia="Times New Roman"/>
                <w:color w:val="000000"/>
                <w:sz w:val="18"/>
                <w:szCs w:val="18"/>
              </w:rPr>
            </w:pPr>
            <w:r w:rsidRPr="003D56F0">
              <w:rPr>
                <w:sz w:val="18"/>
                <w:szCs w:val="18"/>
              </w:rPr>
              <w:t>£141,014</w:t>
            </w:r>
          </w:p>
        </w:tc>
        <w:tc>
          <w:tcPr>
            <w:tcW w:w="620" w:type="pct"/>
            <w:gridSpan w:val="2"/>
            <w:tcBorders>
              <w:top w:val="nil"/>
              <w:left w:val="nil"/>
              <w:bottom w:val="single" w:sz="4" w:space="0" w:color="auto"/>
              <w:right w:val="single" w:sz="4" w:space="0" w:color="auto"/>
            </w:tcBorders>
            <w:shd w:val="clear" w:color="auto" w:fill="FF0000"/>
            <w:hideMark/>
          </w:tcPr>
          <w:p w14:paraId="76554518" w14:textId="77777777" w:rsidR="008B6F2A" w:rsidRPr="003D56F0" w:rsidRDefault="008B6F2A" w:rsidP="003D56F0">
            <w:pPr>
              <w:rPr>
                <w:rFonts w:eastAsia="Times New Roman"/>
                <w:color w:val="000000"/>
                <w:sz w:val="18"/>
                <w:szCs w:val="18"/>
              </w:rPr>
            </w:pPr>
            <w:r w:rsidRPr="003D56F0">
              <w:rPr>
                <w:sz w:val="18"/>
                <w:szCs w:val="18"/>
              </w:rPr>
              <w:t>£249,754</w:t>
            </w:r>
          </w:p>
        </w:tc>
        <w:tc>
          <w:tcPr>
            <w:tcW w:w="748" w:type="pct"/>
            <w:tcBorders>
              <w:top w:val="nil"/>
              <w:left w:val="nil"/>
              <w:bottom w:val="single" w:sz="4" w:space="0" w:color="auto"/>
              <w:right w:val="single" w:sz="4" w:space="0" w:color="auto"/>
            </w:tcBorders>
            <w:shd w:val="clear" w:color="auto" w:fill="FF0000"/>
            <w:hideMark/>
          </w:tcPr>
          <w:p w14:paraId="40489EC2" w14:textId="77777777" w:rsidR="008B6F2A" w:rsidRPr="003D56F0" w:rsidRDefault="008B6F2A" w:rsidP="003D56F0">
            <w:pPr>
              <w:rPr>
                <w:rFonts w:eastAsia="Times New Roman"/>
                <w:color w:val="000000"/>
                <w:sz w:val="18"/>
                <w:szCs w:val="18"/>
              </w:rPr>
            </w:pPr>
            <w:r w:rsidRPr="003D56F0">
              <w:rPr>
                <w:sz w:val="18"/>
                <w:szCs w:val="18"/>
              </w:rPr>
              <w:t>£116,890</w:t>
            </w:r>
          </w:p>
        </w:tc>
      </w:tr>
      <w:tr w:rsidR="0087550E" w:rsidRPr="003D56F0" w14:paraId="42B0CBAB" w14:textId="77777777" w:rsidTr="003D56F0">
        <w:trPr>
          <w:trHeight w:val="158"/>
        </w:trPr>
        <w:tc>
          <w:tcPr>
            <w:tcW w:w="620" w:type="pct"/>
            <w:tcBorders>
              <w:top w:val="nil"/>
              <w:left w:val="single" w:sz="4" w:space="0" w:color="auto"/>
              <w:bottom w:val="single" w:sz="4" w:space="0" w:color="auto"/>
              <w:right w:val="single" w:sz="4" w:space="0" w:color="auto"/>
            </w:tcBorders>
            <w:shd w:val="clear" w:color="auto" w:fill="auto"/>
            <w:hideMark/>
          </w:tcPr>
          <w:p w14:paraId="28735134" w14:textId="77777777" w:rsidR="008B6F2A" w:rsidRPr="003D56F0" w:rsidRDefault="008B6F2A" w:rsidP="003D56F0">
            <w:pPr>
              <w:rPr>
                <w:sz w:val="18"/>
                <w:szCs w:val="18"/>
              </w:rPr>
            </w:pPr>
            <w:r w:rsidRPr="003D56F0">
              <w:rPr>
                <w:sz w:val="18"/>
                <w:szCs w:val="18"/>
              </w:rPr>
              <w:t>Morgenstern et al. (2009)</w:t>
            </w:r>
          </w:p>
        </w:tc>
        <w:tc>
          <w:tcPr>
            <w:tcW w:w="887" w:type="pct"/>
            <w:gridSpan w:val="2"/>
            <w:tcBorders>
              <w:top w:val="nil"/>
              <w:left w:val="nil"/>
              <w:bottom w:val="single" w:sz="4" w:space="0" w:color="auto"/>
              <w:right w:val="single" w:sz="4" w:space="0" w:color="auto"/>
            </w:tcBorders>
            <w:shd w:val="clear" w:color="auto" w:fill="auto"/>
            <w:hideMark/>
          </w:tcPr>
          <w:p w14:paraId="6AFF12C7" w14:textId="77777777" w:rsidR="008B6F2A" w:rsidRPr="003D56F0" w:rsidRDefault="008B6F2A" w:rsidP="003D56F0">
            <w:pPr>
              <w:rPr>
                <w:rFonts w:eastAsia="Times New Roman"/>
                <w:color w:val="000000"/>
                <w:sz w:val="18"/>
                <w:szCs w:val="18"/>
              </w:rPr>
            </w:pPr>
            <w:r w:rsidRPr="003D56F0">
              <w:rPr>
                <w:sz w:val="18"/>
                <w:szCs w:val="18"/>
              </w:rPr>
              <w:t>MI for club drug use</w:t>
            </w:r>
          </w:p>
        </w:tc>
        <w:tc>
          <w:tcPr>
            <w:tcW w:w="412" w:type="pct"/>
            <w:gridSpan w:val="2"/>
            <w:tcBorders>
              <w:top w:val="nil"/>
              <w:left w:val="nil"/>
              <w:bottom w:val="single" w:sz="4" w:space="0" w:color="auto"/>
              <w:right w:val="single" w:sz="4" w:space="0" w:color="auto"/>
            </w:tcBorders>
            <w:shd w:val="clear" w:color="000000" w:fill="FFFFFF"/>
            <w:hideMark/>
          </w:tcPr>
          <w:p w14:paraId="568042CB" w14:textId="77777777" w:rsidR="008B6F2A" w:rsidRPr="003D56F0" w:rsidRDefault="008B6F2A" w:rsidP="003D56F0">
            <w:pPr>
              <w:rPr>
                <w:rFonts w:eastAsia="Times New Roman"/>
                <w:color w:val="000000"/>
                <w:sz w:val="18"/>
                <w:szCs w:val="18"/>
              </w:rPr>
            </w:pPr>
            <w:r w:rsidRPr="003D56F0">
              <w:rPr>
                <w:sz w:val="18"/>
                <w:szCs w:val="18"/>
              </w:rPr>
              <w:t>£268</w:t>
            </w:r>
          </w:p>
        </w:tc>
        <w:tc>
          <w:tcPr>
            <w:tcW w:w="411" w:type="pct"/>
            <w:gridSpan w:val="2"/>
            <w:tcBorders>
              <w:top w:val="nil"/>
              <w:left w:val="nil"/>
              <w:bottom w:val="single" w:sz="4" w:space="0" w:color="auto"/>
              <w:right w:val="single" w:sz="4" w:space="0" w:color="auto"/>
            </w:tcBorders>
            <w:shd w:val="clear" w:color="000000" w:fill="FFFFFF"/>
            <w:hideMark/>
          </w:tcPr>
          <w:p w14:paraId="118F522C" w14:textId="77777777" w:rsidR="008B6F2A" w:rsidRPr="003D56F0" w:rsidRDefault="008B6F2A" w:rsidP="003D56F0">
            <w:pPr>
              <w:rPr>
                <w:rFonts w:eastAsia="Times New Roman"/>
                <w:color w:val="000000"/>
                <w:sz w:val="18"/>
                <w:szCs w:val="18"/>
              </w:rPr>
            </w:pPr>
            <w:r w:rsidRPr="003D56F0">
              <w:rPr>
                <w:sz w:val="18"/>
                <w:szCs w:val="18"/>
              </w:rPr>
              <w:t>£128</w:t>
            </w:r>
          </w:p>
        </w:tc>
        <w:tc>
          <w:tcPr>
            <w:tcW w:w="685" w:type="pct"/>
            <w:gridSpan w:val="2"/>
            <w:tcBorders>
              <w:top w:val="nil"/>
              <w:left w:val="nil"/>
              <w:bottom w:val="single" w:sz="4" w:space="0" w:color="auto"/>
              <w:right w:val="single" w:sz="4" w:space="0" w:color="auto"/>
            </w:tcBorders>
            <w:shd w:val="clear" w:color="auto" w:fill="FF0000"/>
            <w:hideMark/>
          </w:tcPr>
          <w:p w14:paraId="42500F17" w14:textId="77777777" w:rsidR="008B6F2A" w:rsidRPr="003D56F0" w:rsidRDefault="008B6F2A" w:rsidP="003D56F0">
            <w:pPr>
              <w:rPr>
                <w:rFonts w:eastAsia="Times New Roman"/>
                <w:color w:val="000000"/>
                <w:sz w:val="18"/>
                <w:szCs w:val="18"/>
              </w:rPr>
            </w:pPr>
            <w:r w:rsidRPr="003D56F0">
              <w:rPr>
                <w:sz w:val="18"/>
                <w:szCs w:val="18"/>
              </w:rPr>
              <w:t>£130,971</w:t>
            </w:r>
          </w:p>
        </w:tc>
        <w:tc>
          <w:tcPr>
            <w:tcW w:w="617" w:type="pct"/>
            <w:gridSpan w:val="2"/>
            <w:tcBorders>
              <w:top w:val="nil"/>
              <w:left w:val="nil"/>
              <w:bottom w:val="single" w:sz="4" w:space="0" w:color="auto"/>
              <w:right w:val="single" w:sz="4" w:space="0" w:color="auto"/>
            </w:tcBorders>
            <w:shd w:val="clear" w:color="auto" w:fill="FF0000"/>
            <w:hideMark/>
          </w:tcPr>
          <w:p w14:paraId="145FCC89" w14:textId="77777777" w:rsidR="008B6F2A" w:rsidRPr="003D56F0" w:rsidRDefault="008B6F2A" w:rsidP="003D56F0">
            <w:pPr>
              <w:rPr>
                <w:rFonts w:eastAsia="Times New Roman"/>
                <w:color w:val="000000"/>
                <w:sz w:val="18"/>
                <w:szCs w:val="18"/>
              </w:rPr>
            </w:pPr>
            <w:r w:rsidRPr="003D56F0">
              <w:rPr>
                <w:sz w:val="18"/>
                <w:szCs w:val="18"/>
              </w:rPr>
              <w:t>£55,950</w:t>
            </w:r>
          </w:p>
        </w:tc>
        <w:tc>
          <w:tcPr>
            <w:tcW w:w="620" w:type="pct"/>
            <w:gridSpan w:val="2"/>
            <w:tcBorders>
              <w:top w:val="nil"/>
              <w:left w:val="nil"/>
              <w:bottom w:val="single" w:sz="4" w:space="0" w:color="auto"/>
              <w:right w:val="single" w:sz="4" w:space="0" w:color="auto"/>
            </w:tcBorders>
            <w:shd w:val="clear" w:color="auto" w:fill="FF0000"/>
            <w:hideMark/>
          </w:tcPr>
          <w:p w14:paraId="3A365BD1" w14:textId="77777777" w:rsidR="008B6F2A" w:rsidRPr="003D56F0" w:rsidRDefault="008B6F2A" w:rsidP="003D56F0">
            <w:pPr>
              <w:rPr>
                <w:rFonts w:eastAsia="Times New Roman"/>
                <w:color w:val="000000"/>
                <w:sz w:val="18"/>
                <w:szCs w:val="18"/>
              </w:rPr>
            </w:pPr>
            <w:r w:rsidRPr="003D56F0">
              <w:rPr>
                <w:sz w:val="18"/>
                <w:szCs w:val="18"/>
              </w:rPr>
              <w:t>£102,658</w:t>
            </w:r>
          </w:p>
        </w:tc>
        <w:tc>
          <w:tcPr>
            <w:tcW w:w="748" w:type="pct"/>
            <w:tcBorders>
              <w:top w:val="nil"/>
              <w:left w:val="nil"/>
              <w:bottom w:val="single" w:sz="4" w:space="0" w:color="auto"/>
              <w:right w:val="single" w:sz="4" w:space="0" w:color="auto"/>
            </w:tcBorders>
            <w:shd w:val="clear" w:color="auto" w:fill="FF0000"/>
            <w:hideMark/>
          </w:tcPr>
          <w:p w14:paraId="526D35AB" w14:textId="77777777" w:rsidR="008B6F2A" w:rsidRPr="003D56F0" w:rsidRDefault="008B6F2A" w:rsidP="003D56F0">
            <w:pPr>
              <w:rPr>
                <w:rFonts w:eastAsia="Times New Roman"/>
                <w:color w:val="000000"/>
                <w:sz w:val="18"/>
                <w:szCs w:val="18"/>
              </w:rPr>
            </w:pPr>
            <w:r w:rsidRPr="003D56F0">
              <w:rPr>
                <w:sz w:val="18"/>
                <w:szCs w:val="18"/>
              </w:rPr>
              <w:t>£43,797</w:t>
            </w:r>
          </w:p>
        </w:tc>
      </w:tr>
      <w:tr w:rsidR="0087550E" w:rsidRPr="003D56F0" w14:paraId="70F4CCCF" w14:textId="77777777" w:rsidTr="003D56F0">
        <w:trPr>
          <w:trHeight w:val="860"/>
        </w:trPr>
        <w:tc>
          <w:tcPr>
            <w:tcW w:w="620" w:type="pct"/>
            <w:tcBorders>
              <w:top w:val="single" w:sz="4" w:space="0" w:color="auto"/>
              <w:left w:val="single" w:sz="4" w:space="0" w:color="auto"/>
              <w:bottom w:val="single" w:sz="4" w:space="0" w:color="auto"/>
              <w:right w:val="single" w:sz="4" w:space="0" w:color="auto"/>
            </w:tcBorders>
            <w:shd w:val="clear" w:color="000000" w:fill="FFFFFF"/>
            <w:hideMark/>
          </w:tcPr>
          <w:p w14:paraId="13824434" w14:textId="77777777" w:rsidR="008B6F2A" w:rsidRPr="003D56F0" w:rsidRDefault="008B6F2A" w:rsidP="003D56F0">
            <w:pPr>
              <w:rPr>
                <w:sz w:val="18"/>
                <w:szCs w:val="18"/>
              </w:rPr>
            </w:pPr>
            <w:r w:rsidRPr="003D56F0">
              <w:rPr>
                <w:sz w:val="18"/>
                <w:szCs w:val="18"/>
              </w:rPr>
              <w:t>Milburn et al (2012)</w:t>
            </w:r>
          </w:p>
        </w:tc>
        <w:tc>
          <w:tcPr>
            <w:tcW w:w="887" w:type="pct"/>
            <w:gridSpan w:val="2"/>
            <w:tcBorders>
              <w:top w:val="single" w:sz="4" w:space="0" w:color="auto"/>
              <w:left w:val="single" w:sz="4" w:space="0" w:color="auto"/>
              <w:bottom w:val="single" w:sz="4" w:space="0" w:color="auto"/>
              <w:right w:val="single" w:sz="4" w:space="0" w:color="auto"/>
            </w:tcBorders>
            <w:shd w:val="clear" w:color="auto" w:fill="auto"/>
            <w:hideMark/>
          </w:tcPr>
          <w:p w14:paraId="077F33A5" w14:textId="77777777" w:rsidR="008B6F2A" w:rsidRPr="003D56F0" w:rsidRDefault="008B6F2A" w:rsidP="003D56F0">
            <w:pPr>
              <w:rPr>
                <w:rFonts w:eastAsia="Times New Roman"/>
                <w:color w:val="000000"/>
                <w:sz w:val="18"/>
                <w:szCs w:val="18"/>
              </w:rPr>
            </w:pPr>
            <w:r w:rsidRPr="003D56F0">
              <w:rPr>
                <w:sz w:val="18"/>
                <w:szCs w:val="18"/>
              </w:rPr>
              <w:t>Family intervention for youth who had ran away from home</w:t>
            </w:r>
          </w:p>
        </w:tc>
        <w:tc>
          <w:tcPr>
            <w:tcW w:w="412"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35ECEF9F" w14:textId="77777777" w:rsidR="008B6F2A" w:rsidRPr="003D56F0" w:rsidRDefault="008B6F2A" w:rsidP="003D56F0">
            <w:pPr>
              <w:rPr>
                <w:rFonts w:eastAsia="Times New Roman"/>
                <w:color w:val="000000"/>
                <w:sz w:val="18"/>
                <w:szCs w:val="18"/>
              </w:rPr>
            </w:pPr>
            <w:r w:rsidRPr="003D56F0">
              <w:rPr>
                <w:sz w:val="18"/>
                <w:szCs w:val="18"/>
              </w:rPr>
              <w:t>£825</w:t>
            </w:r>
          </w:p>
        </w:tc>
        <w:tc>
          <w:tcPr>
            <w:tcW w:w="411" w:type="pct"/>
            <w:gridSpan w:val="2"/>
            <w:tcBorders>
              <w:top w:val="single" w:sz="4" w:space="0" w:color="auto"/>
              <w:left w:val="single" w:sz="4" w:space="0" w:color="auto"/>
              <w:bottom w:val="single" w:sz="4" w:space="0" w:color="auto"/>
              <w:right w:val="single" w:sz="4" w:space="0" w:color="auto"/>
            </w:tcBorders>
            <w:shd w:val="clear" w:color="000000" w:fill="FFFFFF"/>
            <w:hideMark/>
          </w:tcPr>
          <w:p w14:paraId="5DB186D1" w14:textId="77777777" w:rsidR="008B6F2A" w:rsidRPr="003D56F0" w:rsidRDefault="008B6F2A" w:rsidP="003D56F0">
            <w:pPr>
              <w:rPr>
                <w:rFonts w:eastAsia="Times New Roman"/>
                <w:color w:val="000000"/>
                <w:sz w:val="18"/>
                <w:szCs w:val="18"/>
              </w:rPr>
            </w:pPr>
            <w:r w:rsidRPr="003D56F0">
              <w:rPr>
                <w:sz w:val="18"/>
                <w:szCs w:val="18"/>
              </w:rPr>
              <w:t>£619</w:t>
            </w:r>
          </w:p>
        </w:tc>
        <w:tc>
          <w:tcPr>
            <w:tcW w:w="685" w:type="pct"/>
            <w:gridSpan w:val="2"/>
            <w:tcBorders>
              <w:top w:val="single" w:sz="4" w:space="0" w:color="auto"/>
              <w:left w:val="single" w:sz="4" w:space="0" w:color="auto"/>
              <w:bottom w:val="single" w:sz="4" w:space="0" w:color="auto"/>
              <w:right w:val="single" w:sz="4" w:space="0" w:color="auto"/>
            </w:tcBorders>
            <w:shd w:val="clear" w:color="000000" w:fill="FF0000"/>
            <w:hideMark/>
          </w:tcPr>
          <w:p w14:paraId="7E8DFAE1" w14:textId="77777777" w:rsidR="008B6F2A" w:rsidRPr="003D56F0" w:rsidRDefault="008B6F2A" w:rsidP="003D56F0">
            <w:pPr>
              <w:rPr>
                <w:rFonts w:eastAsia="Times New Roman"/>
                <w:color w:val="000000"/>
                <w:sz w:val="18"/>
                <w:szCs w:val="18"/>
              </w:rPr>
            </w:pPr>
            <w:r w:rsidRPr="003D56F0">
              <w:rPr>
                <w:sz w:val="18"/>
                <w:szCs w:val="18"/>
              </w:rPr>
              <w:t>£117,125</w:t>
            </w:r>
          </w:p>
        </w:tc>
        <w:tc>
          <w:tcPr>
            <w:tcW w:w="617" w:type="pct"/>
            <w:gridSpan w:val="2"/>
            <w:tcBorders>
              <w:top w:val="single" w:sz="4" w:space="0" w:color="auto"/>
              <w:left w:val="single" w:sz="4" w:space="0" w:color="auto"/>
              <w:bottom w:val="single" w:sz="4" w:space="0" w:color="auto"/>
              <w:right w:val="single" w:sz="4" w:space="0" w:color="auto"/>
            </w:tcBorders>
            <w:shd w:val="clear" w:color="000000" w:fill="FF0000"/>
            <w:hideMark/>
          </w:tcPr>
          <w:p w14:paraId="27DE8CB7" w14:textId="77777777" w:rsidR="008B6F2A" w:rsidRPr="003D56F0" w:rsidRDefault="008B6F2A" w:rsidP="003D56F0">
            <w:pPr>
              <w:rPr>
                <w:rFonts w:eastAsia="Times New Roman"/>
                <w:color w:val="000000"/>
                <w:sz w:val="18"/>
                <w:szCs w:val="18"/>
              </w:rPr>
            </w:pPr>
            <w:r w:rsidRPr="003D56F0">
              <w:rPr>
                <w:sz w:val="18"/>
                <w:szCs w:val="18"/>
              </w:rPr>
              <w:t>£86,986</w:t>
            </w:r>
          </w:p>
        </w:tc>
        <w:tc>
          <w:tcPr>
            <w:tcW w:w="620" w:type="pct"/>
            <w:gridSpan w:val="2"/>
            <w:tcBorders>
              <w:top w:val="single" w:sz="4" w:space="0" w:color="auto"/>
              <w:left w:val="single" w:sz="4" w:space="0" w:color="auto"/>
              <w:bottom w:val="single" w:sz="4" w:space="0" w:color="auto"/>
              <w:right w:val="single" w:sz="4" w:space="0" w:color="auto"/>
            </w:tcBorders>
            <w:shd w:val="clear" w:color="000000" w:fill="FF0000"/>
            <w:hideMark/>
          </w:tcPr>
          <w:p w14:paraId="1FC90F71" w14:textId="77777777" w:rsidR="008B6F2A" w:rsidRPr="003D56F0" w:rsidRDefault="008B6F2A" w:rsidP="003D56F0">
            <w:pPr>
              <w:rPr>
                <w:rFonts w:eastAsia="Times New Roman"/>
                <w:color w:val="000000"/>
                <w:sz w:val="18"/>
                <w:szCs w:val="18"/>
              </w:rPr>
            </w:pPr>
            <w:r w:rsidRPr="003D56F0">
              <w:rPr>
                <w:sz w:val="18"/>
                <w:szCs w:val="18"/>
              </w:rPr>
              <w:t>£110,819</w:t>
            </w:r>
          </w:p>
        </w:tc>
        <w:tc>
          <w:tcPr>
            <w:tcW w:w="748" w:type="pct"/>
            <w:tcBorders>
              <w:top w:val="single" w:sz="4" w:space="0" w:color="auto"/>
              <w:left w:val="single" w:sz="4" w:space="0" w:color="auto"/>
              <w:bottom w:val="single" w:sz="4" w:space="0" w:color="auto"/>
              <w:right w:val="single" w:sz="4" w:space="0" w:color="auto"/>
            </w:tcBorders>
            <w:shd w:val="clear" w:color="000000" w:fill="FF0000"/>
            <w:hideMark/>
          </w:tcPr>
          <w:p w14:paraId="7F62160C" w14:textId="77777777" w:rsidR="008B6F2A" w:rsidRPr="003D56F0" w:rsidRDefault="008B6F2A" w:rsidP="003D56F0">
            <w:pPr>
              <w:rPr>
                <w:rFonts w:eastAsia="Times New Roman"/>
                <w:color w:val="000000"/>
                <w:sz w:val="18"/>
                <w:szCs w:val="18"/>
              </w:rPr>
            </w:pPr>
            <w:r w:rsidRPr="003D56F0">
              <w:rPr>
                <w:sz w:val="18"/>
                <w:szCs w:val="18"/>
              </w:rPr>
              <w:t>£82,294</w:t>
            </w:r>
          </w:p>
        </w:tc>
      </w:tr>
      <w:tr w:rsidR="0087550E" w:rsidRPr="003D56F0" w14:paraId="4074AD17" w14:textId="77777777" w:rsidTr="003D56F0">
        <w:trPr>
          <w:trHeight w:val="248"/>
        </w:trPr>
        <w:tc>
          <w:tcPr>
            <w:tcW w:w="620" w:type="pct"/>
            <w:tcBorders>
              <w:top w:val="nil"/>
              <w:left w:val="nil"/>
              <w:bottom w:val="nil"/>
              <w:right w:val="nil"/>
            </w:tcBorders>
            <w:shd w:val="clear" w:color="auto" w:fill="auto"/>
            <w:hideMark/>
          </w:tcPr>
          <w:p w14:paraId="621DDD47" w14:textId="77777777" w:rsidR="008B6F2A" w:rsidRPr="003D56F0" w:rsidRDefault="008B6F2A" w:rsidP="003D56F0">
            <w:pPr>
              <w:rPr>
                <w:sz w:val="18"/>
                <w:szCs w:val="18"/>
              </w:rPr>
            </w:pPr>
          </w:p>
        </w:tc>
        <w:tc>
          <w:tcPr>
            <w:tcW w:w="887" w:type="pct"/>
            <w:gridSpan w:val="2"/>
            <w:tcBorders>
              <w:top w:val="nil"/>
              <w:left w:val="nil"/>
              <w:bottom w:val="nil"/>
              <w:right w:val="nil"/>
            </w:tcBorders>
            <w:shd w:val="clear" w:color="auto" w:fill="auto"/>
            <w:hideMark/>
          </w:tcPr>
          <w:p w14:paraId="2EBEDD1D" w14:textId="77777777" w:rsidR="008B6F2A" w:rsidRPr="003D56F0" w:rsidRDefault="008B6F2A" w:rsidP="003D56F0">
            <w:pPr>
              <w:rPr>
                <w:sz w:val="18"/>
                <w:szCs w:val="18"/>
              </w:rPr>
            </w:pPr>
          </w:p>
        </w:tc>
        <w:tc>
          <w:tcPr>
            <w:tcW w:w="412" w:type="pct"/>
            <w:gridSpan w:val="2"/>
            <w:tcBorders>
              <w:top w:val="nil"/>
              <w:left w:val="nil"/>
              <w:bottom w:val="nil"/>
              <w:right w:val="nil"/>
            </w:tcBorders>
            <w:shd w:val="clear" w:color="auto" w:fill="auto"/>
            <w:hideMark/>
          </w:tcPr>
          <w:p w14:paraId="6B355FB9" w14:textId="77777777" w:rsidR="008B6F2A" w:rsidRPr="003D56F0" w:rsidRDefault="008B6F2A" w:rsidP="003D56F0">
            <w:pPr>
              <w:rPr>
                <w:sz w:val="18"/>
                <w:szCs w:val="18"/>
              </w:rPr>
            </w:pPr>
          </w:p>
        </w:tc>
        <w:tc>
          <w:tcPr>
            <w:tcW w:w="411" w:type="pct"/>
            <w:gridSpan w:val="2"/>
            <w:tcBorders>
              <w:top w:val="nil"/>
              <w:left w:val="nil"/>
              <w:bottom w:val="nil"/>
              <w:right w:val="nil"/>
            </w:tcBorders>
            <w:shd w:val="clear" w:color="auto" w:fill="auto"/>
            <w:hideMark/>
          </w:tcPr>
          <w:p w14:paraId="79A63344" w14:textId="77777777" w:rsidR="008B6F2A" w:rsidRPr="003D56F0" w:rsidRDefault="008B6F2A" w:rsidP="003D56F0">
            <w:pPr>
              <w:rPr>
                <w:sz w:val="18"/>
                <w:szCs w:val="18"/>
              </w:rPr>
            </w:pPr>
          </w:p>
        </w:tc>
        <w:tc>
          <w:tcPr>
            <w:tcW w:w="685" w:type="pct"/>
            <w:gridSpan w:val="2"/>
            <w:tcBorders>
              <w:top w:val="nil"/>
              <w:left w:val="nil"/>
              <w:bottom w:val="nil"/>
              <w:right w:val="nil"/>
            </w:tcBorders>
            <w:shd w:val="clear" w:color="auto" w:fill="auto"/>
            <w:hideMark/>
          </w:tcPr>
          <w:p w14:paraId="7809A9AA" w14:textId="77777777" w:rsidR="008B6F2A" w:rsidRPr="003D56F0" w:rsidRDefault="008B6F2A" w:rsidP="003D56F0">
            <w:pPr>
              <w:rPr>
                <w:sz w:val="18"/>
                <w:szCs w:val="18"/>
              </w:rPr>
            </w:pPr>
          </w:p>
        </w:tc>
        <w:tc>
          <w:tcPr>
            <w:tcW w:w="617" w:type="pct"/>
            <w:gridSpan w:val="2"/>
            <w:tcBorders>
              <w:top w:val="nil"/>
              <w:left w:val="nil"/>
              <w:bottom w:val="nil"/>
              <w:right w:val="nil"/>
            </w:tcBorders>
            <w:shd w:val="clear" w:color="auto" w:fill="auto"/>
            <w:hideMark/>
          </w:tcPr>
          <w:p w14:paraId="25BEE99A" w14:textId="77777777" w:rsidR="008B6F2A" w:rsidRPr="003D56F0" w:rsidRDefault="008B6F2A" w:rsidP="003D56F0">
            <w:pPr>
              <w:rPr>
                <w:sz w:val="18"/>
                <w:szCs w:val="18"/>
              </w:rPr>
            </w:pPr>
          </w:p>
        </w:tc>
        <w:tc>
          <w:tcPr>
            <w:tcW w:w="620" w:type="pct"/>
            <w:gridSpan w:val="2"/>
            <w:tcBorders>
              <w:top w:val="nil"/>
              <w:left w:val="nil"/>
              <w:bottom w:val="nil"/>
              <w:right w:val="nil"/>
            </w:tcBorders>
            <w:shd w:val="clear" w:color="auto" w:fill="auto"/>
            <w:hideMark/>
          </w:tcPr>
          <w:p w14:paraId="281482C0" w14:textId="77777777" w:rsidR="008B6F2A" w:rsidRPr="003D56F0" w:rsidRDefault="008B6F2A" w:rsidP="003D56F0">
            <w:pPr>
              <w:rPr>
                <w:sz w:val="18"/>
                <w:szCs w:val="18"/>
              </w:rPr>
            </w:pPr>
          </w:p>
        </w:tc>
        <w:tc>
          <w:tcPr>
            <w:tcW w:w="748" w:type="pct"/>
            <w:tcBorders>
              <w:top w:val="nil"/>
              <w:left w:val="nil"/>
              <w:bottom w:val="nil"/>
              <w:right w:val="nil"/>
            </w:tcBorders>
            <w:shd w:val="clear" w:color="auto" w:fill="auto"/>
            <w:hideMark/>
          </w:tcPr>
          <w:p w14:paraId="35E8D65E" w14:textId="77777777" w:rsidR="008B6F2A" w:rsidRPr="003D56F0" w:rsidRDefault="008B6F2A" w:rsidP="003D56F0">
            <w:pPr>
              <w:rPr>
                <w:sz w:val="18"/>
                <w:szCs w:val="18"/>
              </w:rPr>
            </w:pPr>
          </w:p>
        </w:tc>
      </w:tr>
      <w:tr w:rsidR="007F2A06" w:rsidRPr="0066547B" w14:paraId="6B3752C5" w14:textId="77777777" w:rsidTr="00221584">
        <w:trPr>
          <w:trHeight w:val="350"/>
        </w:trPr>
        <w:tc>
          <w:tcPr>
            <w:tcW w:w="620" w:type="pct"/>
            <w:tcBorders>
              <w:top w:val="nil"/>
              <w:left w:val="nil"/>
              <w:bottom w:val="nil"/>
              <w:right w:val="nil"/>
            </w:tcBorders>
            <w:shd w:val="clear" w:color="auto" w:fill="auto"/>
            <w:hideMark/>
          </w:tcPr>
          <w:p w14:paraId="4424236F" w14:textId="77777777" w:rsidR="007F2A06" w:rsidRPr="0066547B" w:rsidRDefault="007F2A06" w:rsidP="00221584">
            <w:pPr>
              <w:rPr>
                <w:sz w:val="18"/>
                <w:szCs w:val="18"/>
              </w:rPr>
            </w:pPr>
          </w:p>
        </w:tc>
        <w:tc>
          <w:tcPr>
            <w:tcW w:w="504" w:type="pct"/>
            <w:tcBorders>
              <w:top w:val="nil"/>
              <w:left w:val="nil"/>
              <w:bottom w:val="nil"/>
              <w:right w:val="nil"/>
            </w:tcBorders>
            <w:shd w:val="clear" w:color="auto" w:fill="auto"/>
            <w:hideMark/>
          </w:tcPr>
          <w:p w14:paraId="39702D65" w14:textId="77777777" w:rsidR="007F2A06" w:rsidRPr="0066547B" w:rsidRDefault="007F2A06" w:rsidP="00221584">
            <w:pPr>
              <w:rPr>
                <w:sz w:val="18"/>
                <w:szCs w:val="18"/>
              </w:rPr>
            </w:pPr>
          </w:p>
        </w:tc>
        <w:tc>
          <w:tcPr>
            <w:tcW w:w="584" w:type="pct"/>
            <w:gridSpan w:val="2"/>
            <w:tcBorders>
              <w:top w:val="nil"/>
              <w:left w:val="nil"/>
              <w:bottom w:val="nil"/>
              <w:right w:val="nil"/>
            </w:tcBorders>
            <w:shd w:val="clear" w:color="auto" w:fill="auto"/>
            <w:hideMark/>
          </w:tcPr>
          <w:p w14:paraId="1F8A4DE4" w14:textId="77777777" w:rsidR="007F2A06" w:rsidRPr="0066547B" w:rsidRDefault="007F2A06" w:rsidP="00221584">
            <w:pPr>
              <w:rPr>
                <w:sz w:val="18"/>
                <w:szCs w:val="18"/>
              </w:rPr>
            </w:pPr>
          </w:p>
        </w:tc>
        <w:tc>
          <w:tcPr>
            <w:tcW w:w="581" w:type="pct"/>
            <w:gridSpan w:val="2"/>
            <w:tcBorders>
              <w:top w:val="nil"/>
              <w:left w:val="nil"/>
              <w:bottom w:val="nil"/>
              <w:right w:val="nil"/>
            </w:tcBorders>
            <w:shd w:val="clear" w:color="auto" w:fill="auto"/>
            <w:hideMark/>
          </w:tcPr>
          <w:p w14:paraId="17DAE146" w14:textId="77777777" w:rsidR="007F2A06" w:rsidRPr="0066547B" w:rsidRDefault="007F2A06" w:rsidP="00221584">
            <w:pPr>
              <w:rPr>
                <w:sz w:val="18"/>
                <w:szCs w:val="18"/>
              </w:rPr>
            </w:pPr>
          </w:p>
        </w:tc>
        <w:tc>
          <w:tcPr>
            <w:tcW w:w="601" w:type="pct"/>
            <w:gridSpan w:val="2"/>
            <w:tcBorders>
              <w:top w:val="nil"/>
              <w:left w:val="nil"/>
              <w:bottom w:val="nil"/>
              <w:right w:val="nil"/>
            </w:tcBorders>
            <w:shd w:val="clear" w:color="auto" w:fill="auto"/>
            <w:hideMark/>
          </w:tcPr>
          <w:p w14:paraId="4300EBCF" w14:textId="77777777" w:rsidR="007F2A06" w:rsidRPr="0066547B" w:rsidRDefault="007F2A06" w:rsidP="00221584">
            <w:pPr>
              <w:rPr>
                <w:sz w:val="18"/>
                <w:szCs w:val="18"/>
              </w:rPr>
            </w:pPr>
          </w:p>
        </w:tc>
        <w:tc>
          <w:tcPr>
            <w:tcW w:w="603" w:type="pct"/>
            <w:gridSpan w:val="2"/>
            <w:tcBorders>
              <w:top w:val="nil"/>
              <w:left w:val="nil"/>
              <w:bottom w:val="nil"/>
              <w:right w:val="nil"/>
            </w:tcBorders>
            <w:shd w:val="clear" w:color="auto" w:fill="auto"/>
            <w:hideMark/>
          </w:tcPr>
          <w:p w14:paraId="15633294" w14:textId="77777777" w:rsidR="007F2A06" w:rsidRPr="0066547B" w:rsidRDefault="007F2A06" w:rsidP="00221584">
            <w:pPr>
              <w:rPr>
                <w:sz w:val="18"/>
                <w:szCs w:val="18"/>
              </w:rPr>
            </w:pPr>
          </w:p>
        </w:tc>
        <w:tc>
          <w:tcPr>
            <w:tcW w:w="602" w:type="pct"/>
            <w:gridSpan w:val="2"/>
            <w:tcBorders>
              <w:top w:val="nil"/>
              <w:left w:val="nil"/>
              <w:bottom w:val="nil"/>
              <w:right w:val="nil"/>
            </w:tcBorders>
            <w:shd w:val="clear" w:color="auto" w:fill="auto"/>
            <w:hideMark/>
          </w:tcPr>
          <w:p w14:paraId="19980B18" w14:textId="77777777" w:rsidR="007F2A06" w:rsidRPr="0066547B" w:rsidRDefault="007F2A06" w:rsidP="00221584">
            <w:pPr>
              <w:rPr>
                <w:sz w:val="18"/>
                <w:szCs w:val="18"/>
              </w:rPr>
            </w:pPr>
          </w:p>
        </w:tc>
        <w:tc>
          <w:tcPr>
            <w:tcW w:w="905" w:type="pct"/>
            <w:gridSpan w:val="2"/>
            <w:tcBorders>
              <w:top w:val="nil"/>
              <w:left w:val="nil"/>
              <w:bottom w:val="nil"/>
              <w:right w:val="nil"/>
            </w:tcBorders>
            <w:shd w:val="clear" w:color="auto" w:fill="auto"/>
            <w:hideMark/>
          </w:tcPr>
          <w:p w14:paraId="78EE5B73" w14:textId="77777777" w:rsidR="007F2A06" w:rsidRPr="0066547B" w:rsidRDefault="007F2A06" w:rsidP="00221584">
            <w:pPr>
              <w:rPr>
                <w:sz w:val="18"/>
                <w:szCs w:val="18"/>
              </w:rPr>
            </w:pPr>
          </w:p>
        </w:tc>
      </w:tr>
      <w:tr w:rsidR="007F2A06" w:rsidRPr="0066547B" w14:paraId="5904550A" w14:textId="77777777" w:rsidTr="00221584">
        <w:trPr>
          <w:trHeight w:val="447"/>
        </w:trPr>
        <w:tc>
          <w:tcPr>
            <w:tcW w:w="620" w:type="pct"/>
            <w:tcBorders>
              <w:top w:val="nil"/>
              <w:left w:val="nil"/>
              <w:bottom w:val="nil"/>
              <w:right w:val="nil"/>
            </w:tcBorders>
            <w:shd w:val="clear" w:color="auto" w:fill="auto"/>
            <w:hideMark/>
          </w:tcPr>
          <w:p w14:paraId="446F437B" w14:textId="77777777" w:rsidR="007F2A06" w:rsidRPr="0066547B" w:rsidRDefault="007F2A06" w:rsidP="00221584">
            <w:pPr>
              <w:rPr>
                <w:sz w:val="18"/>
                <w:szCs w:val="18"/>
              </w:rPr>
            </w:pPr>
          </w:p>
        </w:tc>
        <w:tc>
          <w:tcPr>
            <w:tcW w:w="504" w:type="pct"/>
            <w:tcBorders>
              <w:top w:val="nil"/>
              <w:left w:val="nil"/>
              <w:bottom w:val="nil"/>
              <w:right w:val="nil"/>
            </w:tcBorders>
            <w:shd w:val="clear" w:color="auto" w:fill="auto"/>
            <w:hideMark/>
          </w:tcPr>
          <w:p w14:paraId="7B7C9F85" w14:textId="77777777" w:rsidR="007F2A06" w:rsidRPr="0066547B" w:rsidRDefault="007F2A06" w:rsidP="00221584">
            <w:pPr>
              <w:rPr>
                <w:sz w:val="18"/>
                <w:szCs w:val="18"/>
              </w:rPr>
            </w:pPr>
          </w:p>
        </w:tc>
        <w:tc>
          <w:tcPr>
            <w:tcW w:w="584" w:type="pct"/>
            <w:gridSpan w:val="2"/>
            <w:tcBorders>
              <w:top w:val="single" w:sz="4" w:space="0" w:color="auto"/>
              <w:left w:val="single" w:sz="4" w:space="0" w:color="auto"/>
              <w:bottom w:val="single" w:sz="4" w:space="0" w:color="auto"/>
              <w:right w:val="single" w:sz="4" w:space="0" w:color="auto"/>
            </w:tcBorders>
            <w:shd w:val="clear" w:color="000000" w:fill="00B0F0"/>
            <w:hideMark/>
          </w:tcPr>
          <w:p w14:paraId="7700A959" w14:textId="77777777" w:rsidR="007F2A06" w:rsidRPr="0066547B" w:rsidRDefault="007F2A06" w:rsidP="00221584">
            <w:pPr>
              <w:rPr>
                <w:rFonts w:eastAsia="Times New Roman"/>
                <w:color w:val="000000"/>
                <w:sz w:val="18"/>
                <w:szCs w:val="18"/>
              </w:rPr>
            </w:pPr>
            <w:r w:rsidRPr="0066547B">
              <w:rPr>
                <w:sz w:val="18"/>
                <w:szCs w:val="18"/>
              </w:rPr>
              <w:t> </w:t>
            </w:r>
          </w:p>
        </w:tc>
        <w:tc>
          <w:tcPr>
            <w:tcW w:w="2387" w:type="pct"/>
            <w:gridSpan w:val="8"/>
            <w:tcBorders>
              <w:top w:val="nil"/>
              <w:left w:val="nil"/>
              <w:bottom w:val="nil"/>
              <w:right w:val="nil"/>
            </w:tcBorders>
            <w:shd w:val="clear" w:color="auto" w:fill="auto"/>
            <w:hideMark/>
          </w:tcPr>
          <w:p w14:paraId="6F6DBB15" w14:textId="77777777" w:rsidR="007F2A06" w:rsidRPr="0066547B" w:rsidRDefault="007F2A06" w:rsidP="00221584">
            <w:pPr>
              <w:rPr>
                <w:rFonts w:eastAsia="Times New Roman"/>
                <w:color w:val="000000"/>
                <w:sz w:val="18"/>
                <w:szCs w:val="18"/>
              </w:rPr>
            </w:pPr>
            <w:r w:rsidRPr="0066547B">
              <w:rPr>
                <w:sz w:val="18"/>
                <w:szCs w:val="18"/>
              </w:rPr>
              <w:t>= Dominant (less costly and more effective than comparator)</w:t>
            </w:r>
          </w:p>
        </w:tc>
        <w:tc>
          <w:tcPr>
            <w:tcW w:w="905" w:type="pct"/>
            <w:gridSpan w:val="2"/>
            <w:tcBorders>
              <w:top w:val="nil"/>
              <w:left w:val="nil"/>
              <w:bottom w:val="nil"/>
              <w:right w:val="nil"/>
            </w:tcBorders>
            <w:shd w:val="clear" w:color="auto" w:fill="auto"/>
            <w:hideMark/>
          </w:tcPr>
          <w:p w14:paraId="5FAF094A" w14:textId="77777777" w:rsidR="007F2A06" w:rsidRPr="0066547B" w:rsidRDefault="007F2A06" w:rsidP="00221584">
            <w:pPr>
              <w:rPr>
                <w:sz w:val="18"/>
                <w:szCs w:val="18"/>
              </w:rPr>
            </w:pPr>
          </w:p>
        </w:tc>
      </w:tr>
      <w:tr w:rsidR="007F2A06" w:rsidRPr="0066547B" w14:paraId="15E157E1" w14:textId="77777777" w:rsidTr="00221584">
        <w:trPr>
          <w:trHeight w:val="350"/>
        </w:trPr>
        <w:tc>
          <w:tcPr>
            <w:tcW w:w="620" w:type="pct"/>
            <w:tcBorders>
              <w:top w:val="nil"/>
              <w:left w:val="nil"/>
              <w:bottom w:val="nil"/>
              <w:right w:val="nil"/>
            </w:tcBorders>
            <w:shd w:val="clear" w:color="auto" w:fill="auto"/>
            <w:hideMark/>
          </w:tcPr>
          <w:p w14:paraId="163F55D3" w14:textId="77777777" w:rsidR="007F2A06" w:rsidRPr="0066547B" w:rsidRDefault="007F2A06" w:rsidP="00221584">
            <w:pPr>
              <w:rPr>
                <w:sz w:val="18"/>
                <w:szCs w:val="18"/>
              </w:rPr>
            </w:pPr>
          </w:p>
        </w:tc>
        <w:tc>
          <w:tcPr>
            <w:tcW w:w="504" w:type="pct"/>
            <w:tcBorders>
              <w:top w:val="nil"/>
              <w:left w:val="nil"/>
              <w:bottom w:val="nil"/>
              <w:right w:val="nil"/>
            </w:tcBorders>
            <w:shd w:val="clear" w:color="auto" w:fill="auto"/>
            <w:hideMark/>
          </w:tcPr>
          <w:p w14:paraId="16CC366E" w14:textId="77777777" w:rsidR="007F2A06" w:rsidRPr="0066547B" w:rsidRDefault="007F2A06" w:rsidP="00221584">
            <w:pPr>
              <w:rPr>
                <w:sz w:val="18"/>
                <w:szCs w:val="18"/>
              </w:rPr>
            </w:pPr>
          </w:p>
        </w:tc>
        <w:tc>
          <w:tcPr>
            <w:tcW w:w="584" w:type="pct"/>
            <w:gridSpan w:val="2"/>
            <w:tcBorders>
              <w:top w:val="nil"/>
              <w:left w:val="single" w:sz="4" w:space="0" w:color="auto"/>
              <w:bottom w:val="single" w:sz="4" w:space="0" w:color="auto"/>
              <w:right w:val="single" w:sz="4" w:space="0" w:color="auto"/>
            </w:tcBorders>
            <w:shd w:val="clear" w:color="000000" w:fill="92D050"/>
            <w:hideMark/>
          </w:tcPr>
          <w:p w14:paraId="3350C4F9" w14:textId="77777777" w:rsidR="007F2A06" w:rsidRPr="0066547B" w:rsidRDefault="007F2A06" w:rsidP="00221584">
            <w:pPr>
              <w:rPr>
                <w:rFonts w:eastAsia="Times New Roman"/>
                <w:color w:val="000000"/>
                <w:sz w:val="18"/>
                <w:szCs w:val="18"/>
              </w:rPr>
            </w:pPr>
            <w:r w:rsidRPr="0066547B">
              <w:rPr>
                <w:sz w:val="18"/>
                <w:szCs w:val="18"/>
              </w:rPr>
              <w:t> </w:t>
            </w:r>
          </w:p>
        </w:tc>
        <w:tc>
          <w:tcPr>
            <w:tcW w:w="2387" w:type="pct"/>
            <w:gridSpan w:val="8"/>
            <w:tcBorders>
              <w:top w:val="nil"/>
              <w:left w:val="nil"/>
              <w:bottom w:val="nil"/>
              <w:right w:val="nil"/>
            </w:tcBorders>
            <w:shd w:val="clear" w:color="auto" w:fill="auto"/>
            <w:hideMark/>
          </w:tcPr>
          <w:p w14:paraId="3CA141F9" w14:textId="77777777" w:rsidR="007F2A06" w:rsidRPr="0066547B" w:rsidRDefault="007F2A06" w:rsidP="00221584">
            <w:pPr>
              <w:rPr>
                <w:rFonts w:eastAsia="Times New Roman"/>
                <w:color w:val="000000"/>
                <w:sz w:val="18"/>
                <w:szCs w:val="18"/>
              </w:rPr>
            </w:pPr>
            <w:r w:rsidRPr="0066547B">
              <w:rPr>
                <w:sz w:val="18"/>
                <w:szCs w:val="18"/>
              </w:rPr>
              <w:t>= Cost effective at £20,000 per QALY</w:t>
            </w:r>
          </w:p>
        </w:tc>
        <w:tc>
          <w:tcPr>
            <w:tcW w:w="905" w:type="pct"/>
            <w:gridSpan w:val="2"/>
            <w:tcBorders>
              <w:top w:val="nil"/>
              <w:left w:val="nil"/>
              <w:bottom w:val="nil"/>
              <w:right w:val="nil"/>
            </w:tcBorders>
            <w:shd w:val="clear" w:color="auto" w:fill="auto"/>
            <w:hideMark/>
          </w:tcPr>
          <w:p w14:paraId="116CCC2B" w14:textId="77777777" w:rsidR="007F2A06" w:rsidRPr="0066547B" w:rsidRDefault="007F2A06" w:rsidP="00221584">
            <w:pPr>
              <w:rPr>
                <w:sz w:val="18"/>
                <w:szCs w:val="18"/>
              </w:rPr>
            </w:pPr>
          </w:p>
        </w:tc>
      </w:tr>
      <w:tr w:rsidR="007F2A06" w:rsidRPr="0066547B" w14:paraId="226D2BEA" w14:textId="77777777" w:rsidTr="00221584">
        <w:trPr>
          <w:trHeight w:val="350"/>
        </w:trPr>
        <w:tc>
          <w:tcPr>
            <w:tcW w:w="620" w:type="pct"/>
            <w:tcBorders>
              <w:top w:val="nil"/>
              <w:left w:val="nil"/>
              <w:bottom w:val="nil"/>
              <w:right w:val="nil"/>
            </w:tcBorders>
            <w:shd w:val="clear" w:color="auto" w:fill="auto"/>
            <w:hideMark/>
          </w:tcPr>
          <w:p w14:paraId="00F50671" w14:textId="77777777" w:rsidR="007F2A06" w:rsidRPr="0066547B" w:rsidRDefault="007F2A06" w:rsidP="00221584">
            <w:pPr>
              <w:rPr>
                <w:sz w:val="18"/>
                <w:szCs w:val="18"/>
              </w:rPr>
            </w:pPr>
          </w:p>
        </w:tc>
        <w:tc>
          <w:tcPr>
            <w:tcW w:w="504" w:type="pct"/>
            <w:tcBorders>
              <w:top w:val="nil"/>
              <w:left w:val="nil"/>
              <w:bottom w:val="nil"/>
              <w:right w:val="nil"/>
            </w:tcBorders>
            <w:shd w:val="clear" w:color="auto" w:fill="auto"/>
            <w:hideMark/>
          </w:tcPr>
          <w:p w14:paraId="5304DD43" w14:textId="77777777" w:rsidR="007F2A06" w:rsidRPr="0066547B" w:rsidRDefault="007F2A06" w:rsidP="00221584">
            <w:pPr>
              <w:rPr>
                <w:sz w:val="18"/>
                <w:szCs w:val="18"/>
              </w:rPr>
            </w:pPr>
          </w:p>
        </w:tc>
        <w:tc>
          <w:tcPr>
            <w:tcW w:w="584" w:type="pct"/>
            <w:gridSpan w:val="2"/>
            <w:tcBorders>
              <w:top w:val="nil"/>
              <w:left w:val="single" w:sz="4" w:space="0" w:color="auto"/>
              <w:bottom w:val="single" w:sz="4" w:space="0" w:color="auto"/>
              <w:right w:val="single" w:sz="4" w:space="0" w:color="auto"/>
            </w:tcBorders>
            <w:shd w:val="clear" w:color="000000" w:fill="FF0000"/>
            <w:hideMark/>
          </w:tcPr>
          <w:p w14:paraId="7CA946BA" w14:textId="77777777" w:rsidR="007F2A06" w:rsidRPr="0066547B" w:rsidRDefault="007F2A06" w:rsidP="00221584">
            <w:pPr>
              <w:rPr>
                <w:rFonts w:eastAsia="Times New Roman"/>
                <w:color w:val="000000"/>
                <w:sz w:val="18"/>
                <w:szCs w:val="18"/>
              </w:rPr>
            </w:pPr>
            <w:r w:rsidRPr="0066547B">
              <w:rPr>
                <w:sz w:val="18"/>
                <w:szCs w:val="18"/>
              </w:rPr>
              <w:t> </w:t>
            </w:r>
          </w:p>
        </w:tc>
        <w:tc>
          <w:tcPr>
            <w:tcW w:w="2387" w:type="pct"/>
            <w:gridSpan w:val="8"/>
            <w:tcBorders>
              <w:top w:val="nil"/>
              <w:left w:val="nil"/>
              <w:bottom w:val="nil"/>
              <w:right w:val="nil"/>
            </w:tcBorders>
            <w:shd w:val="clear" w:color="auto" w:fill="auto"/>
            <w:hideMark/>
          </w:tcPr>
          <w:p w14:paraId="050B4EC0" w14:textId="77777777" w:rsidR="007F2A06" w:rsidRPr="0066547B" w:rsidRDefault="007F2A06" w:rsidP="00221584">
            <w:pPr>
              <w:rPr>
                <w:rFonts w:eastAsia="Times New Roman"/>
                <w:color w:val="000000"/>
                <w:sz w:val="18"/>
                <w:szCs w:val="18"/>
              </w:rPr>
            </w:pPr>
            <w:r w:rsidRPr="0066547B">
              <w:rPr>
                <w:sz w:val="18"/>
                <w:szCs w:val="18"/>
              </w:rPr>
              <w:t>= Not cost effective</w:t>
            </w:r>
          </w:p>
        </w:tc>
        <w:tc>
          <w:tcPr>
            <w:tcW w:w="905" w:type="pct"/>
            <w:gridSpan w:val="2"/>
            <w:tcBorders>
              <w:top w:val="nil"/>
              <w:left w:val="nil"/>
              <w:bottom w:val="nil"/>
              <w:right w:val="nil"/>
            </w:tcBorders>
            <w:shd w:val="clear" w:color="auto" w:fill="auto"/>
            <w:hideMark/>
          </w:tcPr>
          <w:p w14:paraId="1DD8D4EC" w14:textId="77777777" w:rsidR="007F2A06" w:rsidRPr="0066547B" w:rsidRDefault="007F2A06" w:rsidP="00221584">
            <w:pPr>
              <w:rPr>
                <w:sz w:val="18"/>
                <w:szCs w:val="18"/>
              </w:rPr>
            </w:pPr>
          </w:p>
        </w:tc>
      </w:tr>
    </w:tbl>
    <w:p w14:paraId="07FC5B36" w14:textId="77777777" w:rsidR="007F2A06" w:rsidRDefault="007F2A06" w:rsidP="003D56F0">
      <w:pPr>
        <w:ind w:left="2880"/>
        <w:rPr>
          <w:sz w:val="18"/>
          <w:szCs w:val="18"/>
        </w:rPr>
      </w:pPr>
      <w:r>
        <w:rPr>
          <w:sz w:val="18"/>
          <w:szCs w:val="18"/>
        </w:rPr>
        <w:t xml:space="preserve">      </w:t>
      </w:r>
      <w:r w:rsidRPr="0066547B">
        <w:rPr>
          <w:sz w:val="18"/>
          <w:szCs w:val="18"/>
        </w:rPr>
        <w:t>DR = discount rate</w:t>
      </w:r>
    </w:p>
    <w:p w14:paraId="3DEEDDEB" w14:textId="03124560" w:rsidR="007F2A06" w:rsidRPr="0066547B" w:rsidRDefault="007F2A06" w:rsidP="003D56F0">
      <w:pPr>
        <w:ind w:left="2880"/>
        <w:rPr>
          <w:sz w:val="18"/>
          <w:szCs w:val="18"/>
        </w:rPr>
      </w:pPr>
      <w:r>
        <w:rPr>
          <w:sz w:val="18"/>
          <w:szCs w:val="18"/>
        </w:rPr>
        <w:t xml:space="preserve">      IC = intervention cost</w:t>
      </w:r>
    </w:p>
    <w:p w14:paraId="4CC46725" w14:textId="77777777" w:rsidR="007F2A06" w:rsidRDefault="007F2A06" w:rsidP="007F2A06"/>
    <w:p w14:paraId="30E3C76E" w14:textId="2443C657" w:rsidR="007F2A06" w:rsidRDefault="007F2A06">
      <w:pPr>
        <w:rPr>
          <w:sz w:val="18"/>
          <w:szCs w:val="18"/>
        </w:rPr>
      </w:pPr>
      <w:r>
        <w:rPr>
          <w:sz w:val="18"/>
          <w:szCs w:val="18"/>
        </w:rPr>
        <w:t xml:space="preserve">                                                                </w:t>
      </w:r>
    </w:p>
    <w:p w14:paraId="571CCB26" w14:textId="77777777" w:rsidR="007F2A06" w:rsidRDefault="007F2A06">
      <w:pPr>
        <w:spacing w:after="200"/>
        <w:rPr>
          <w:sz w:val="18"/>
          <w:szCs w:val="18"/>
        </w:rPr>
      </w:pPr>
      <w:r>
        <w:rPr>
          <w:sz w:val="18"/>
          <w:szCs w:val="18"/>
        </w:rPr>
        <w:br w:type="page"/>
      </w:r>
    </w:p>
    <w:p w14:paraId="07535DD7" w14:textId="77777777" w:rsidR="007F2A06" w:rsidRDefault="007F2A06"/>
    <w:tbl>
      <w:tblPr>
        <w:tblW w:w="5598" w:type="pct"/>
        <w:tblInd w:w="-459" w:type="dxa"/>
        <w:tblLayout w:type="fixed"/>
        <w:tblLook w:val="04A0" w:firstRow="1" w:lastRow="0" w:firstColumn="1" w:lastColumn="0" w:noHBand="0" w:noVBand="1"/>
      </w:tblPr>
      <w:tblGrid>
        <w:gridCol w:w="1283"/>
        <w:gridCol w:w="1043"/>
        <w:gridCol w:w="937"/>
        <w:gridCol w:w="271"/>
        <w:gridCol w:w="14"/>
        <w:gridCol w:w="422"/>
        <w:gridCol w:w="766"/>
        <w:gridCol w:w="85"/>
        <w:gridCol w:w="1159"/>
        <w:gridCol w:w="259"/>
        <w:gridCol w:w="989"/>
        <w:gridCol w:w="288"/>
        <w:gridCol w:w="958"/>
        <w:gridCol w:w="319"/>
        <w:gridCol w:w="6"/>
        <w:gridCol w:w="1548"/>
      </w:tblGrid>
      <w:tr w:rsidR="0087550E" w:rsidRPr="003D56F0" w14:paraId="0CB6F925" w14:textId="77777777" w:rsidTr="003D56F0">
        <w:trPr>
          <w:trHeight w:val="119"/>
        </w:trPr>
        <w:tc>
          <w:tcPr>
            <w:tcW w:w="4252" w:type="pct"/>
            <w:gridSpan w:val="15"/>
            <w:tcBorders>
              <w:top w:val="nil"/>
              <w:left w:val="nil"/>
              <w:bottom w:val="nil"/>
              <w:right w:val="nil"/>
            </w:tcBorders>
            <w:shd w:val="clear" w:color="auto" w:fill="auto"/>
            <w:hideMark/>
          </w:tcPr>
          <w:p w14:paraId="23F76B16" w14:textId="62D217B1" w:rsidR="008B6F2A" w:rsidRPr="003D56F0" w:rsidRDefault="008B6F2A" w:rsidP="003D56F0">
            <w:pPr>
              <w:rPr>
                <w:b/>
                <w:sz w:val="18"/>
                <w:szCs w:val="18"/>
              </w:rPr>
            </w:pPr>
            <w:r w:rsidRPr="003D56F0">
              <w:rPr>
                <w:b/>
                <w:sz w:val="18"/>
                <w:szCs w:val="18"/>
              </w:rPr>
              <w:t>Cost effectiveness - drug use reduction effects continue over time (best case scenario)</w:t>
            </w:r>
          </w:p>
        </w:tc>
        <w:tc>
          <w:tcPr>
            <w:tcW w:w="748" w:type="pct"/>
            <w:tcBorders>
              <w:top w:val="nil"/>
              <w:left w:val="nil"/>
              <w:bottom w:val="nil"/>
              <w:right w:val="nil"/>
            </w:tcBorders>
            <w:shd w:val="clear" w:color="auto" w:fill="auto"/>
            <w:hideMark/>
          </w:tcPr>
          <w:p w14:paraId="1B459C00" w14:textId="77777777" w:rsidR="008B6F2A" w:rsidRPr="003D56F0" w:rsidRDefault="008B6F2A" w:rsidP="003D56F0">
            <w:pPr>
              <w:rPr>
                <w:sz w:val="18"/>
                <w:szCs w:val="18"/>
              </w:rPr>
            </w:pPr>
          </w:p>
          <w:p w14:paraId="65D3E2F7" w14:textId="77777777" w:rsidR="008B6F2A" w:rsidRPr="003D56F0" w:rsidRDefault="008B6F2A" w:rsidP="003D56F0">
            <w:pPr>
              <w:rPr>
                <w:sz w:val="18"/>
                <w:szCs w:val="18"/>
              </w:rPr>
            </w:pPr>
          </w:p>
        </w:tc>
      </w:tr>
      <w:tr w:rsidR="0087550E" w:rsidRPr="003D56F0" w14:paraId="25D8110C" w14:textId="77777777" w:rsidTr="003D56F0">
        <w:trPr>
          <w:trHeight w:val="248"/>
        </w:trPr>
        <w:tc>
          <w:tcPr>
            <w:tcW w:w="620" w:type="pct"/>
            <w:tcBorders>
              <w:top w:val="nil"/>
              <w:left w:val="nil"/>
              <w:bottom w:val="nil"/>
              <w:right w:val="nil"/>
            </w:tcBorders>
            <w:shd w:val="clear" w:color="auto" w:fill="auto"/>
            <w:hideMark/>
          </w:tcPr>
          <w:p w14:paraId="6280CAFE" w14:textId="77777777" w:rsidR="008B6F2A" w:rsidRPr="003D56F0" w:rsidRDefault="008B6F2A" w:rsidP="003D56F0">
            <w:pPr>
              <w:rPr>
                <w:sz w:val="18"/>
                <w:szCs w:val="18"/>
              </w:rPr>
            </w:pPr>
          </w:p>
        </w:tc>
        <w:tc>
          <w:tcPr>
            <w:tcW w:w="1095" w:type="pct"/>
            <w:gridSpan w:val="4"/>
            <w:tcBorders>
              <w:top w:val="nil"/>
              <w:left w:val="nil"/>
              <w:bottom w:val="nil"/>
              <w:right w:val="nil"/>
            </w:tcBorders>
            <w:shd w:val="clear" w:color="auto" w:fill="auto"/>
            <w:hideMark/>
          </w:tcPr>
          <w:p w14:paraId="01F86837" w14:textId="77777777" w:rsidR="008B6F2A" w:rsidRPr="003D56F0" w:rsidRDefault="008B6F2A" w:rsidP="003D56F0">
            <w:pPr>
              <w:rPr>
                <w:sz w:val="18"/>
                <w:szCs w:val="18"/>
              </w:rPr>
            </w:pPr>
          </w:p>
        </w:tc>
        <w:tc>
          <w:tcPr>
            <w:tcW w:w="204" w:type="pct"/>
            <w:tcBorders>
              <w:top w:val="nil"/>
              <w:left w:val="nil"/>
              <w:bottom w:val="nil"/>
              <w:right w:val="nil"/>
            </w:tcBorders>
            <w:shd w:val="clear" w:color="auto" w:fill="auto"/>
            <w:hideMark/>
          </w:tcPr>
          <w:p w14:paraId="31C2B5B6" w14:textId="77777777" w:rsidR="008B6F2A" w:rsidRPr="003D56F0" w:rsidRDefault="008B6F2A" w:rsidP="003D56F0">
            <w:pPr>
              <w:rPr>
                <w:sz w:val="18"/>
                <w:szCs w:val="18"/>
              </w:rPr>
            </w:pPr>
          </w:p>
        </w:tc>
        <w:tc>
          <w:tcPr>
            <w:tcW w:w="411" w:type="pct"/>
            <w:gridSpan w:val="2"/>
            <w:tcBorders>
              <w:top w:val="nil"/>
              <w:left w:val="nil"/>
              <w:bottom w:val="nil"/>
              <w:right w:val="nil"/>
            </w:tcBorders>
            <w:shd w:val="clear" w:color="auto" w:fill="auto"/>
            <w:hideMark/>
          </w:tcPr>
          <w:p w14:paraId="15C1D5A6" w14:textId="77777777" w:rsidR="008B6F2A" w:rsidRPr="003D56F0" w:rsidRDefault="008B6F2A" w:rsidP="003D56F0">
            <w:pPr>
              <w:rPr>
                <w:sz w:val="18"/>
                <w:szCs w:val="18"/>
              </w:rPr>
            </w:pPr>
          </w:p>
        </w:tc>
        <w:tc>
          <w:tcPr>
            <w:tcW w:w="2670" w:type="pct"/>
            <w:gridSpan w:val="8"/>
            <w:tcBorders>
              <w:top w:val="single" w:sz="4" w:space="0" w:color="auto"/>
              <w:left w:val="single" w:sz="4" w:space="0" w:color="auto"/>
              <w:bottom w:val="single" w:sz="4" w:space="0" w:color="auto"/>
              <w:right w:val="single" w:sz="4" w:space="0" w:color="auto"/>
            </w:tcBorders>
            <w:shd w:val="clear" w:color="auto" w:fill="auto"/>
            <w:hideMark/>
          </w:tcPr>
          <w:p w14:paraId="482DF335" w14:textId="77777777" w:rsidR="008B6F2A" w:rsidRPr="003D56F0" w:rsidRDefault="008B6F2A" w:rsidP="003D56F0">
            <w:pPr>
              <w:rPr>
                <w:rFonts w:eastAsia="Times New Roman"/>
                <w:b/>
                <w:color w:val="000000"/>
                <w:sz w:val="18"/>
                <w:szCs w:val="18"/>
              </w:rPr>
            </w:pPr>
            <w:r w:rsidRPr="003D56F0">
              <w:rPr>
                <w:b/>
                <w:sz w:val="18"/>
                <w:szCs w:val="18"/>
              </w:rPr>
              <w:t>ICER (Incremental cost effectiveness ratio) – net cost per QALY gained</w:t>
            </w:r>
          </w:p>
        </w:tc>
      </w:tr>
      <w:tr w:rsidR="0087550E" w:rsidRPr="003D56F0" w14:paraId="0A9DAC12" w14:textId="77777777" w:rsidTr="003D56F0">
        <w:trPr>
          <w:trHeight w:val="915"/>
        </w:trPr>
        <w:tc>
          <w:tcPr>
            <w:tcW w:w="620" w:type="pct"/>
            <w:tcBorders>
              <w:top w:val="single" w:sz="4" w:space="0" w:color="auto"/>
              <w:left w:val="single" w:sz="4" w:space="0" w:color="auto"/>
              <w:bottom w:val="single" w:sz="4" w:space="0" w:color="auto"/>
              <w:right w:val="single" w:sz="4" w:space="0" w:color="auto"/>
            </w:tcBorders>
            <w:shd w:val="clear" w:color="auto" w:fill="auto"/>
            <w:hideMark/>
          </w:tcPr>
          <w:p w14:paraId="6D12B633" w14:textId="77777777" w:rsidR="008B6F2A" w:rsidRPr="003D56F0" w:rsidRDefault="008B6F2A" w:rsidP="003D56F0">
            <w:pPr>
              <w:rPr>
                <w:sz w:val="18"/>
                <w:szCs w:val="18"/>
              </w:rPr>
            </w:pPr>
            <w:r w:rsidRPr="003D56F0">
              <w:rPr>
                <w:sz w:val="18"/>
                <w:szCs w:val="18"/>
              </w:rPr>
              <w:t>Study</w:t>
            </w:r>
          </w:p>
        </w:tc>
        <w:tc>
          <w:tcPr>
            <w:tcW w:w="957" w:type="pct"/>
            <w:gridSpan w:val="2"/>
            <w:tcBorders>
              <w:top w:val="single" w:sz="4" w:space="0" w:color="auto"/>
              <w:left w:val="nil"/>
              <w:bottom w:val="single" w:sz="4" w:space="0" w:color="auto"/>
              <w:right w:val="single" w:sz="4" w:space="0" w:color="auto"/>
            </w:tcBorders>
            <w:shd w:val="clear" w:color="auto" w:fill="auto"/>
            <w:hideMark/>
          </w:tcPr>
          <w:p w14:paraId="01E4AF41" w14:textId="77777777" w:rsidR="008B6F2A" w:rsidRPr="003D56F0" w:rsidRDefault="008B6F2A" w:rsidP="003D56F0">
            <w:pPr>
              <w:rPr>
                <w:rFonts w:eastAsia="Times New Roman"/>
                <w:color w:val="000000"/>
                <w:sz w:val="18"/>
                <w:szCs w:val="18"/>
              </w:rPr>
            </w:pPr>
            <w:r w:rsidRPr="003D56F0">
              <w:rPr>
                <w:sz w:val="18"/>
                <w:szCs w:val="18"/>
              </w:rPr>
              <w:t>Type of intervention</w:t>
            </w:r>
          </w:p>
        </w:tc>
        <w:tc>
          <w:tcPr>
            <w:tcW w:w="342" w:type="pct"/>
            <w:gridSpan w:val="3"/>
            <w:tcBorders>
              <w:top w:val="single" w:sz="4" w:space="0" w:color="auto"/>
              <w:left w:val="nil"/>
              <w:bottom w:val="single" w:sz="4" w:space="0" w:color="auto"/>
              <w:right w:val="single" w:sz="4" w:space="0" w:color="auto"/>
            </w:tcBorders>
            <w:shd w:val="clear" w:color="auto" w:fill="auto"/>
            <w:hideMark/>
          </w:tcPr>
          <w:p w14:paraId="3D23F34E" w14:textId="13F6183A" w:rsidR="008B6F2A" w:rsidRPr="003D56F0" w:rsidRDefault="007F2A06" w:rsidP="003D56F0">
            <w:pPr>
              <w:rPr>
                <w:rFonts w:eastAsia="Times New Roman"/>
                <w:color w:val="000000"/>
                <w:sz w:val="18"/>
                <w:szCs w:val="18"/>
              </w:rPr>
            </w:pPr>
            <w:r>
              <w:rPr>
                <w:sz w:val="18"/>
                <w:szCs w:val="18"/>
              </w:rPr>
              <w:t>IC</w:t>
            </w:r>
            <w:r w:rsidR="008B6F2A" w:rsidRPr="003D56F0">
              <w:rPr>
                <w:sz w:val="18"/>
                <w:szCs w:val="18"/>
              </w:rPr>
              <w:t xml:space="preserve"> (base case)</w:t>
            </w:r>
          </w:p>
        </w:tc>
        <w:tc>
          <w:tcPr>
            <w:tcW w:w="411" w:type="pct"/>
            <w:gridSpan w:val="2"/>
            <w:tcBorders>
              <w:top w:val="single" w:sz="4" w:space="0" w:color="auto"/>
              <w:left w:val="nil"/>
              <w:bottom w:val="single" w:sz="4" w:space="0" w:color="auto"/>
              <w:right w:val="single" w:sz="4" w:space="0" w:color="auto"/>
            </w:tcBorders>
            <w:shd w:val="clear" w:color="auto" w:fill="auto"/>
            <w:hideMark/>
          </w:tcPr>
          <w:p w14:paraId="2739D500" w14:textId="630C2BC1" w:rsidR="008B6F2A" w:rsidRPr="003D56F0" w:rsidRDefault="007F2A06" w:rsidP="003D56F0">
            <w:pPr>
              <w:rPr>
                <w:rFonts w:eastAsia="Times New Roman"/>
                <w:color w:val="000000"/>
                <w:sz w:val="18"/>
                <w:szCs w:val="18"/>
              </w:rPr>
            </w:pPr>
            <w:r>
              <w:rPr>
                <w:sz w:val="18"/>
                <w:szCs w:val="18"/>
              </w:rPr>
              <w:t>IC</w:t>
            </w:r>
            <w:r w:rsidR="008B6F2A" w:rsidRPr="003D56F0">
              <w:rPr>
                <w:sz w:val="18"/>
                <w:szCs w:val="18"/>
              </w:rPr>
              <w:br/>
              <w:t xml:space="preserve"> (low)</w:t>
            </w:r>
          </w:p>
        </w:tc>
        <w:tc>
          <w:tcPr>
            <w:tcW w:w="685" w:type="pct"/>
            <w:gridSpan w:val="2"/>
            <w:tcBorders>
              <w:top w:val="nil"/>
              <w:left w:val="nil"/>
              <w:bottom w:val="single" w:sz="4" w:space="0" w:color="auto"/>
              <w:right w:val="single" w:sz="4" w:space="0" w:color="auto"/>
            </w:tcBorders>
            <w:shd w:val="clear" w:color="auto" w:fill="auto"/>
            <w:hideMark/>
          </w:tcPr>
          <w:p w14:paraId="70AD2D6D" w14:textId="77777777" w:rsidR="008B6F2A" w:rsidRPr="003D56F0" w:rsidRDefault="008B6F2A" w:rsidP="003D56F0">
            <w:pPr>
              <w:rPr>
                <w:rFonts w:eastAsia="Times New Roman"/>
                <w:color w:val="000000"/>
                <w:sz w:val="18"/>
                <w:szCs w:val="18"/>
              </w:rPr>
            </w:pPr>
            <w:r w:rsidRPr="003D56F0">
              <w:rPr>
                <w:sz w:val="18"/>
                <w:szCs w:val="18"/>
              </w:rPr>
              <w:t>Base case</w:t>
            </w:r>
          </w:p>
        </w:tc>
        <w:tc>
          <w:tcPr>
            <w:tcW w:w="617" w:type="pct"/>
            <w:gridSpan w:val="2"/>
            <w:tcBorders>
              <w:top w:val="nil"/>
              <w:left w:val="nil"/>
              <w:bottom w:val="single" w:sz="4" w:space="0" w:color="auto"/>
              <w:right w:val="single" w:sz="4" w:space="0" w:color="auto"/>
            </w:tcBorders>
            <w:shd w:val="clear" w:color="auto" w:fill="auto"/>
            <w:hideMark/>
          </w:tcPr>
          <w:p w14:paraId="3EB492ED" w14:textId="77777777" w:rsidR="008B6F2A" w:rsidRPr="003D56F0" w:rsidRDefault="008B6F2A" w:rsidP="003D56F0">
            <w:pPr>
              <w:rPr>
                <w:rFonts w:eastAsia="Times New Roman"/>
                <w:color w:val="000000"/>
                <w:sz w:val="18"/>
                <w:szCs w:val="18"/>
              </w:rPr>
            </w:pPr>
            <w:r w:rsidRPr="003D56F0">
              <w:rPr>
                <w:sz w:val="18"/>
                <w:szCs w:val="18"/>
              </w:rPr>
              <w:t>Low intervention costs</w:t>
            </w:r>
          </w:p>
        </w:tc>
        <w:tc>
          <w:tcPr>
            <w:tcW w:w="617" w:type="pct"/>
            <w:gridSpan w:val="2"/>
            <w:tcBorders>
              <w:top w:val="nil"/>
              <w:left w:val="nil"/>
              <w:bottom w:val="single" w:sz="4" w:space="0" w:color="auto"/>
              <w:right w:val="single" w:sz="4" w:space="0" w:color="auto"/>
            </w:tcBorders>
            <w:shd w:val="clear" w:color="auto" w:fill="auto"/>
            <w:hideMark/>
          </w:tcPr>
          <w:p w14:paraId="30757054" w14:textId="77777777" w:rsidR="008B6F2A" w:rsidRPr="003D56F0" w:rsidRDefault="008B6F2A" w:rsidP="003D56F0">
            <w:pPr>
              <w:rPr>
                <w:rFonts w:eastAsia="Times New Roman"/>
                <w:color w:val="000000"/>
                <w:sz w:val="18"/>
                <w:szCs w:val="18"/>
              </w:rPr>
            </w:pPr>
            <w:r w:rsidRPr="003D56F0">
              <w:rPr>
                <w:sz w:val="18"/>
                <w:szCs w:val="18"/>
              </w:rPr>
              <w:t>1.5% DR</w:t>
            </w:r>
          </w:p>
        </w:tc>
        <w:tc>
          <w:tcPr>
            <w:tcW w:w="751" w:type="pct"/>
            <w:gridSpan w:val="2"/>
            <w:tcBorders>
              <w:top w:val="nil"/>
              <w:left w:val="nil"/>
              <w:bottom w:val="single" w:sz="4" w:space="0" w:color="auto"/>
              <w:right w:val="single" w:sz="4" w:space="0" w:color="auto"/>
            </w:tcBorders>
            <w:shd w:val="clear" w:color="auto" w:fill="auto"/>
            <w:hideMark/>
          </w:tcPr>
          <w:p w14:paraId="24632560" w14:textId="77777777" w:rsidR="008B6F2A" w:rsidRPr="003D56F0" w:rsidRDefault="008B6F2A" w:rsidP="003D56F0">
            <w:pPr>
              <w:rPr>
                <w:rFonts w:eastAsia="Times New Roman"/>
                <w:color w:val="000000"/>
                <w:sz w:val="18"/>
                <w:szCs w:val="18"/>
              </w:rPr>
            </w:pPr>
            <w:r w:rsidRPr="003D56F0">
              <w:rPr>
                <w:sz w:val="18"/>
                <w:szCs w:val="18"/>
              </w:rPr>
              <w:t xml:space="preserve">Low intervention costs </w:t>
            </w:r>
            <w:r w:rsidRPr="003D56F0">
              <w:rPr>
                <w:sz w:val="18"/>
                <w:szCs w:val="18"/>
              </w:rPr>
              <w:br/>
              <w:t>&amp; 1.5% DR</w:t>
            </w:r>
          </w:p>
        </w:tc>
      </w:tr>
      <w:tr w:rsidR="0087550E" w:rsidRPr="003D56F0" w14:paraId="26B7052A" w14:textId="77777777" w:rsidTr="003D56F0">
        <w:trPr>
          <w:trHeight w:val="350"/>
        </w:trPr>
        <w:tc>
          <w:tcPr>
            <w:tcW w:w="620" w:type="pct"/>
            <w:tcBorders>
              <w:top w:val="nil"/>
              <w:left w:val="single" w:sz="4" w:space="0" w:color="auto"/>
              <w:bottom w:val="single" w:sz="4" w:space="0" w:color="auto"/>
              <w:right w:val="single" w:sz="4" w:space="0" w:color="auto"/>
            </w:tcBorders>
            <w:shd w:val="clear" w:color="auto" w:fill="auto"/>
            <w:hideMark/>
          </w:tcPr>
          <w:p w14:paraId="7A7299C2" w14:textId="77777777" w:rsidR="008B6F2A" w:rsidRPr="003D56F0" w:rsidRDefault="008B6F2A" w:rsidP="003D56F0">
            <w:pPr>
              <w:rPr>
                <w:sz w:val="18"/>
                <w:szCs w:val="18"/>
              </w:rPr>
            </w:pPr>
            <w:r w:rsidRPr="003D56F0">
              <w:rPr>
                <w:sz w:val="18"/>
                <w:szCs w:val="18"/>
              </w:rPr>
              <w:t>Lee et al. (2010)</w:t>
            </w:r>
          </w:p>
        </w:tc>
        <w:tc>
          <w:tcPr>
            <w:tcW w:w="957" w:type="pct"/>
            <w:gridSpan w:val="2"/>
            <w:tcBorders>
              <w:top w:val="nil"/>
              <w:left w:val="nil"/>
              <w:bottom w:val="single" w:sz="4" w:space="0" w:color="auto"/>
              <w:right w:val="single" w:sz="4" w:space="0" w:color="auto"/>
            </w:tcBorders>
            <w:shd w:val="clear" w:color="auto" w:fill="auto"/>
            <w:hideMark/>
          </w:tcPr>
          <w:p w14:paraId="198196D3" w14:textId="77777777" w:rsidR="008B6F2A" w:rsidRPr="003D56F0" w:rsidRDefault="008B6F2A" w:rsidP="003D56F0">
            <w:pPr>
              <w:rPr>
                <w:rFonts w:eastAsia="Times New Roman"/>
                <w:color w:val="000000"/>
                <w:sz w:val="18"/>
                <w:szCs w:val="18"/>
              </w:rPr>
            </w:pPr>
            <w:r w:rsidRPr="003D56F0">
              <w:rPr>
                <w:sz w:val="18"/>
                <w:szCs w:val="18"/>
              </w:rPr>
              <w:t>Web-Based Personalized Feedback</w:t>
            </w:r>
          </w:p>
        </w:tc>
        <w:tc>
          <w:tcPr>
            <w:tcW w:w="342" w:type="pct"/>
            <w:gridSpan w:val="3"/>
            <w:tcBorders>
              <w:top w:val="nil"/>
              <w:left w:val="nil"/>
              <w:bottom w:val="single" w:sz="4" w:space="0" w:color="auto"/>
              <w:right w:val="single" w:sz="4" w:space="0" w:color="auto"/>
            </w:tcBorders>
            <w:shd w:val="clear" w:color="000000" w:fill="FFFFFF"/>
            <w:hideMark/>
          </w:tcPr>
          <w:p w14:paraId="1B83CD22" w14:textId="77777777" w:rsidR="008B6F2A" w:rsidRPr="003D56F0" w:rsidRDefault="008B6F2A" w:rsidP="003D56F0">
            <w:pPr>
              <w:rPr>
                <w:rFonts w:eastAsia="Times New Roman"/>
                <w:color w:val="000000"/>
                <w:sz w:val="18"/>
                <w:szCs w:val="18"/>
              </w:rPr>
            </w:pPr>
            <w:r w:rsidRPr="003D56F0">
              <w:rPr>
                <w:sz w:val="18"/>
                <w:szCs w:val="18"/>
              </w:rPr>
              <w:t>£15</w:t>
            </w:r>
          </w:p>
        </w:tc>
        <w:tc>
          <w:tcPr>
            <w:tcW w:w="411" w:type="pct"/>
            <w:gridSpan w:val="2"/>
            <w:tcBorders>
              <w:top w:val="nil"/>
              <w:left w:val="nil"/>
              <w:bottom w:val="single" w:sz="4" w:space="0" w:color="auto"/>
              <w:right w:val="single" w:sz="4" w:space="0" w:color="auto"/>
            </w:tcBorders>
            <w:shd w:val="clear" w:color="000000" w:fill="FFFFFF"/>
            <w:hideMark/>
          </w:tcPr>
          <w:p w14:paraId="2A6158D6" w14:textId="77777777" w:rsidR="008B6F2A" w:rsidRPr="003D56F0" w:rsidRDefault="008B6F2A" w:rsidP="003D56F0">
            <w:pPr>
              <w:rPr>
                <w:rFonts w:eastAsia="Times New Roman"/>
                <w:color w:val="000000"/>
                <w:sz w:val="18"/>
                <w:szCs w:val="18"/>
              </w:rPr>
            </w:pPr>
            <w:r w:rsidRPr="003D56F0">
              <w:rPr>
                <w:sz w:val="18"/>
                <w:szCs w:val="18"/>
              </w:rPr>
              <w:t>£1</w:t>
            </w:r>
          </w:p>
        </w:tc>
        <w:tc>
          <w:tcPr>
            <w:tcW w:w="685" w:type="pct"/>
            <w:gridSpan w:val="2"/>
            <w:tcBorders>
              <w:top w:val="single" w:sz="4" w:space="0" w:color="auto"/>
              <w:left w:val="single" w:sz="4" w:space="0" w:color="auto"/>
              <w:bottom w:val="single" w:sz="4" w:space="0" w:color="auto"/>
              <w:right w:val="single" w:sz="4" w:space="0" w:color="auto"/>
            </w:tcBorders>
            <w:shd w:val="clear" w:color="000000" w:fill="FF0000"/>
            <w:hideMark/>
          </w:tcPr>
          <w:p w14:paraId="7399C828" w14:textId="77777777" w:rsidR="008B6F2A" w:rsidRPr="003D56F0" w:rsidRDefault="008B6F2A" w:rsidP="003D56F0">
            <w:pPr>
              <w:rPr>
                <w:rFonts w:eastAsia="Times New Roman"/>
                <w:color w:val="000000"/>
                <w:sz w:val="18"/>
                <w:szCs w:val="18"/>
              </w:rPr>
            </w:pPr>
            <w:r w:rsidRPr="003D56F0">
              <w:rPr>
                <w:sz w:val="18"/>
                <w:szCs w:val="18"/>
              </w:rPr>
              <w:t>£53,675</w:t>
            </w:r>
          </w:p>
        </w:tc>
        <w:tc>
          <w:tcPr>
            <w:tcW w:w="617" w:type="pct"/>
            <w:gridSpan w:val="2"/>
            <w:tcBorders>
              <w:top w:val="single" w:sz="4" w:space="0" w:color="auto"/>
              <w:left w:val="single" w:sz="4" w:space="0" w:color="auto"/>
              <w:bottom w:val="single" w:sz="4" w:space="0" w:color="auto"/>
              <w:right w:val="single" w:sz="4" w:space="0" w:color="auto"/>
            </w:tcBorders>
            <w:shd w:val="clear" w:color="000000" w:fill="00B0F0"/>
            <w:hideMark/>
          </w:tcPr>
          <w:p w14:paraId="6DA08C22" w14:textId="77777777" w:rsidR="008B6F2A" w:rsidRPr="003D56F0" w:rsidRDefault="008B6F2A" w:rsidP="003D56F0">
            <w:pPr>
              <w:rPr>
                <w:rFonts w:eastAsia="Times New Roman"/>
                <w:color w:val="000000"/>
                <w:sz w:val="18"/>
                <w:szCs w:val="18"/>
              </w:rPr>
            </w:pPr>
            <w:r w:rsidRPr="003D56F0">
              <w:rPr>
                <w:sz w:val="18"/>
                <w:szCs w:val="18"/>
              </w:rPr>
              <w:t>-£193,269</w:t>
            </w:r>
          </w:p>
        </w:tc>
        <w:tc>
          <w:tcPr>
            <w:tcW w:w="617" w:type="pct"/>
            <w:gridSpan w:val="2"/>
            <w:tcBorders>
              <w:top w:val="single" w:sz="4" w:space="0" w:color="auto"/>
              <w:left w:val="single" w:sz="4" w:space="0" w:color="auto"/>
              <w:bottom w:val="single" w:sz="4" w:space="0" w:color="auto"/>
              <w:right w:val="single" w:sz="4" w:space="0" w:color="auto"/>
            </w:tcBorders>
            <w:shd w:val="clear" w:color="000000" w:fill="FF0000"/>
            <w:hideMark/>
          </w:tcPr>
          <w:p w14:paraId="432CD9E1" w14:textId="77777777" w:rsidR="008B6F2A" w:rsidRPr="003D56F0" w:rsidRDefault="008B6F2A" w:rsidP="003D56F0">
            <w:pPr>
              <w:rPr>
                <w:rFonts w:eastAsia="Times New Roman"/>
                <w:color w:val="000000"/>
                <w:sz w:val="18"/>
                <w:szCs w:val="18"/>
              </w:rPr>
            </w:pPr>
            <w:r w:rsidRPr="003D56F0">
              <w:rPr>
                <w:sz w:val="18"/>
                <w:szCs w:val="18"/>
              </w:rPr>
              <w:t>£48,314</w:t>
            </w:r>
          </w:p>
        </w:tc>
        <w:tc>
          <w:tcPr>
            <w:tcW w:w="751" w:type="pct"/>
            <w:gridSpan w:val="2"/>
            <w:tcBorders>
              <w:top w:val="single" w:sz="4" w:space="0" w:color="auto"/>
              <w:left w:val="single" w:sz="4" w:space="0" w:color="auto"/>
              <w:bottom w:val="single" w:sz="4" w:space="0" w:color="auto"/>
              <w:right w:val="single" w:sz="4" w:space="0" w:color="auto"/>
            </w:tcBorders>
            <w:shd w:val="clear" w:color="000000" w:fill="00B0F0"/>
            <w:hideMark/>
          </w:tcPr>
          <w:p w14:paraId="2AAF6B60" w14:textId="77777777" w:rsidR="008B6F2A" w:rsidRPr="003D56F0" w:rsidRDefault="008B6F2A" w:rsidP="003D56F0">
            <w:pPr>
              <w:rPr>
                <w:rFonts w:eastAsia="Times New Roman"/>
                <w:color w:val="000000"/>
                <w:sz w:val="18"/>
                <w:szCs w:val="18"/>
              </w:rPr>
            </w:pPr>
            <w:r w:rsidRPr="003D56F0">
              <w:rPr>
                <w:sz w:val="18"/>
                <w:szCs w:val="18"/>
              </w:rPr>
              <w:t>-£188,620</w:t>
            </w:r>
          </w:p>
        </w:tc>
      </w:tr>
      <w:tr w:rsidR="0087550E" w:rsidRPr="003D56F0" w14:paraId="508B6037" w14:textId="77777777" w:rsidTr="003D56F0">
        <w:trPr>
          <w:trHeight w:val="350"/>
        </w:trPr>
        <w:tc>
          <w:tcPr>
            <w:tcW w:w="620" w:type="pct"/>
            <w:tcBorders>
              <w:top w:val="nil"/>
              <w:left w:val="single" w:sz="4" w:space="0" w:color="auto"/>
              <w:bottom w:val="single" w:sz="4" w:space="0" w:color="auto"/>
              <w:right w:val="single" w:sz="4" w:space="0" w:color="auto"/>
            </w:tcBorders>
            <w:shd w:val="clear" w:color="auto" w:fill="auto"/>
            <w:hideMark/>
          </w:tcPr>
          <w:p w14:paraId="564DD414" w14:textId="77777777" w:rsidR="008B6F2A" w:rsidRPr="003D56F0" w:rsidRDefault="008B6F2A" w:rsidP="003D56F0">
            <w:pPr>
              <w:rPr>
                <w:sz w:val="18"/>
                <w:szCs w:val="18"/>
              </w:rPr>
            </w:pPr>
            <w:r w:rsidRPr="003D56F0">
              <w:rPr>
                <w:sz w:val="18"/>
                <w:szCs w:val="18"/>
              </w:rPr>
              <w:t>Prado et al. (2012)</w:t>
            </w:r>
          </w:p>
        </w:tc>
        <w:tc>
          <w:tcPr>
            <w:tcW w:w="957" w:type="pct"/>
            <w:gridSpan w:val="2"/>
            <w:tcBorders>
              <w:top w:val="nil"/>
              <w:left w:val="nil"/>
              <w:bottom w:val="single" w:sz="4" w:space="0" w:color="auto"/>
              <w:right w:val="single" w:sz="4" w:space="0" w:color="auto"/>
            </w:tcBorders>
            <w:shd w:val="clear" w:color="auto" w:fill="auto"/>
            <w:hideMark/>
          </w:tcPr>
          <w:p w14:paraId="02CDE979" w14:textId="77777777" w:rsidR="008B6F2A" w:rsidRPr="003D56F0" w:rsidRDefault="008B6F2A" w:rsidP="003D56F0">
            <w:pPr>
              <w:rPr>
                <w:rFonts w:eastAsia="Times New Roman"/>
                <w:color w:val="000000"/>
                <w:sz w:val="18"/>
                <w:szCs w:val="18"/>
              </w:rPr>
            </w:pPr>
            <w:r w:rsidRPr="003D56F0">
              <w:rPr>
                <w:sz w:val="18"/>
                <w:szCs w:val="18"/>
              </w:rPr>
              <w:t>Familias Unidas</w:t>
            </w:r>
          </w:p>
        </w:tc>
        <w:tc>
          <w:tcPr>
            <w:tcW w:w="342" w:type="pct"/>
            <w:gridSpan w:val="3"/>
            <w:tcBorders>
              <w:top w:val="nil"/>
              <w:left w:val="nil"/>
              <w:bottom w:val="single" w:sz="4" w:space="0" w:color="auto"/>
              <w:right w:val="single" w:sz="4" w:space="0" w:color="auto"/>
            </w:tcBorders>
            <w:shd w:val="clear" w:color="000000" w:fill="FFFFFF"/>
            <w:hideMark/>
          </w:tcPr>
          <w:p w14:paraId="30827125" w14:textId="77777777" w:rsidR="008B6F2A" w:rsidRPr="003D56F0" w:rsidRDefault="008B6F2A" w:rsidP="003D56F0">
            <w:pPr>
              <w:rPr>
                <w:rFonts w:eastAsia="Times New Roman"/>
                <w:color w:val="000000"/>
                <w:sz w:val="18"/>
                <w:szCs w:val="18"/>
              </w:rPr>
            </w:pPr>
            <w:r w:rsidRPr="003D56F0">
              <w:rPr>
                <w:sz w:val="18"/>
                <w:szCs w:val="18"/>
              </w:rPr>
              <w:t>£154</w:t>
            </w:r>
          </w:p>
        </w:tc>
        <w:tc>
          <w:tcPr>
            <w:tcW w:w="411" w:type="pct"/>
            <w:gridSpan w:val="2"/>
            <w:tcBorders>
              <w:top w:val="nil"/>
              <w:left w:val="nil"/>
              <w:bottom w:val="single" w:sz="4" w:space="0" w:color="auto"/>
              <w:right w:val="single" w:sz="4" w:space="0" w:color="auto"/>
            </w:tcBorders>
            <w:shd w:val="clear" w:color="000000" w:fill="FFFFFF"/>
            <w:hideMark/>
          </w:tcPr>
          <w:p w14:paraId="173B560A" w14:textId="77777777" w:rsidR="008B6F2A" w:rsidRPr="003D56F0" w:rsidRDefault="008B6F2A" w:rsidP="003D56F0">
            <w:pPr>
              <w:rPr>
                <w:rFonts w:eastAsia="Times New Roman"/>
                <w:color w:val="000000"/>
                <w:sz w:val="18"/>
                <w:szCs w:val="18"/>
              </w:rPr>
            </w:pPr>
            <w:r w:rsidRPr="003D56F0">
              <w:rPr>
                <w:sz w:val="18"/>
                <w:szCs w:val="18"/>
              </w:rPr>
              <w:t>£116</w:t>
            </w:r>
          </w:p>
        </w:tc>
        <w:tc>
          <w:tcPr>
            <w:tcW w:w="685" w:type="pct"/>
            <w:gridSpan w:val="2"/>
            <w:tcBorders>
              <w:top w:val="single" w:sz="4" w:space="0" w:color="auto"/>
              <w:left w:val="single" w:sz="4" w:space="0" w:color="auto"/>
              <w:bottom w:val="single" w:sz="4" w:space="0" w:color="auto"/>
              <w:right w:val="single" w:sz="4" w:space="0" w:color="auto"/>
            </w:tcBorders>
            <w:shd w:val="clear" w:color="000000" w:fill="FF0000"/>
            <w:hideMark/>
          </w:tcPr>
          <w:p w14:paraId="5A606D96" w14:textId="77777777" w:rsidR="008B6F2A" w:rsidRPr="003D56F0" w:rsidRDefault="008B6F2A" w:rsidP="003D56F0">
            <w:pPr>
              <w:rPr>
                <w:rFonts w:eastAsia="Times New Roman"/>
                <w:color w:val="000000"/>
                <w:sz w:val="18"/>
                <w:szCs w:val="18"/>
              </w:rPr>
            </w:pPr>
            <w:r w:rsidRPr="003D56F0">
              <w:rPr>
                <w:sz w:val="18"/>
                <w:szCs w:val="18"/>
              </w:rPr>
              <w:t>£110,132</w:t>
            </w:r>
          </w:p>
        </w:tc>
        <w:tc>
          <w:tcPr>
            <w:tcW w:w="617" w:type="pct"/>
            <w:gridSpan w:val="2"/>
            <w:tcBorders>
              <w:top w:val="single" w:sz="4" w:space="0" w:color="auto"/>
              <w:left w:val="single" w:sz="4" w:space="0" w:color="auto"/>
              <w:bottom w:val="single" w:sz="4" w:space="0" w:color="auto"/>
              <w:right w:val="single" w:sz="4" w:space="0" w:color="auto"/>
            </w:tcBorders>
            <w:shd w:val="clear" w:color="000000" w:fill="00B0F0"/>
            <w:hideMark/>
          </w:tcPr>
          <w:p w14:paraId="4058F6EC" w14:textId="77777777" w:rsidR="008B6F2A" w:rsidRPr="003D56F0" w:rsidRDefault="008B6F2A" w:rsidP="003D56F0">
            <w:pPr>
              <w:rPr>
                <w:rFonts w:eastAsia="Times New Roman"/>
                <w:color w:val="000000"/>
                <w:sz w:val="18"/>
                <w:szCs w:val="18"/>
              </w:rPr>
            </w:pPr>
            <w:r w:rsidRPr="003D56F0">
              <w:rPr>
                <w:sz w:val="18"/>
                <w:szCs w:val="18"/>
              </w:rPr>
              <w:t>-£25,767</w:t>
            </w:r>
          </w:p>
        </w:tc>
        <w:tc>
          <w:tcPr>
            <w:tcW w:w="617" w:type="pct"/>
            <w:gridSpan w:val="2"/>
            <w:tcBorders>
              <w:top w:val="single" w:sz="4" w:space="0" w:color="auto"/>
              <w:left w:val="single" w:sz="4" w:space="0" w:color="auto"/>
              <w:bottom w:val="single" w:sz="4" w:space="0" w:color="auto"/>
              <w:right w:val="single" w:sz="4" w:space="0" w:color="auto"/>
            </w:tcBorders>
            <w:shd w:val="clear" w:color="000000" w:fill="FF0000"/>
            <w:hideMark/>
          </w:tcPr>
          <w:p w14:paraId="30059700" w14:textId="77777777" w:rsidR="008B6F2A" w:rsidRPr="003D56F0" w:rsidRDefault="008B6F2A" w:rsidP="003D56F0">
            <w:pPr>
              <w:rPr>
                <w:rFonts w:eastAsia="Times New Roman"/>
                <w:color w:val="000000"/>
                <w:sz w:val="18"/>
                <w:szCs w:val="18"/>
              </w:rPr>
            </w:pPr>
            <w:r w:rsidRPr="003D56F0">
              <w:rPr>
                <w:sz w:val="18"/>
                <w:szCs w:val="18"/>
              </w:rPr>
              <w:t>£102,502</w:t>
            </w:r>
          </w:p>
        </w:tc>
        <w:tc>
          <w:tcPr>
            <w:tcW w:w="751" w:type="pct"/>
            <w:gridSpan w:val="2"/>
            <w:tcBorders>
              <w:top w:val="single" w:sz="4" w:space="0" w:color="auto"/>
              <w:left w:val="single" w:sz="4" w:space="0" w:color="auto"/>
              <w:bottom w:val="single" w:sz="4" w:space="0" w:color="auto"/>
              <w:right w:val="single" w:sz="4" w:space="0" w:color="auto"/>
            </w:tcBorders>
            <w:shd w:val="clear" w:color="000000" w:fill="00B0F0"/>
            <w:hideMark/>
          </w:tcPr>
          <w:p w14:paraId="617E979E" w14:textId="77777777" w:rsidR="008B6F2A" w:rsidRPr="003D56F0" w:rsidRDefault="008B6F2A" w:rsidP="003D56F0">
            <w:pPr>
              <w:rPr>
                <w:rFonts w:eastAsia="Times New Roman"/>
                <w:color w:val="000000"/>
                <w:sz w:val="18"/>
                <w:szCs w:val="18"/>
              </w:rPr>
            </w:pPr>
            <w:r w:rsidRPr="003D56F0">
              <w:rPr>
                <w:sz w:val="18"/>
                <w:szCs w:val="18"/>
              </w:rPr>
              <w:t>-£27,287</w:t>
            </w:r>
          </w:p>
        </w:tc>
      </w:tr>
      <w:tr w:rsidR="0087550E" w:rsidRPr="003D56F0" w14:paraId="77B4D391" w14:textId="77777777" w:rsidTr="003D56F0">
        <w:trPr>
          <w:trHeight w:val="350"/>
        </w:trPr>
        <w:tc>
          <w:tcPr>
            <w:tcW w:w="620" w:type="pct"/>
            <w:tcBorders>
              <w:top w:val="nil"/>
              <w:left w:val="single" w:sz="4" w:space="0" w:color="auto"/>
              <w:bottom w:val="single" w:sz="4" w:space="0" w:color="auto"/>
              <w:right w:val="single" w:sz="4" w:space="0" w:color="auto"/>
            </w:tcBorders>
            <w:shd w:val="clear" w:color="auto" w:fill="auto"/>
            <w:hideMark/>
          </w:tcPr>
          <w:p w14:paraId="0DF6F354" w14:textId="77777777" w:rsidR="008B6F2A" w:rsidRPr="003D56F0" w:rsidRDefault="008B6F2A" w:rsidP="003D56F0">
            <w:pPr>
              <w:rPr>
                <w:sz w:val="18"/>
                <w:szCs w:val="18"/>
              </w:rPr>
            </w:pPr>
            <w:r w:rsidRPr="003D56F0">
              <w:rPr>
                <w:sz w:val="18"/>
                <w:szCs w:val="18"/>
              </w:rPr>
              <w:t>Martin et al. (2010)</w:t>
            </w:r>
          </w:p>
        </w:tc>
        <w:tc>
          <w:tcPr>
            <w:tcW w:w="957" w:type="pct"/>
            <w:gridSpan w:val="2"/>
            <w:tcBorders>
              <w:top w:val="nil"/>
              <w:left w:val="nil"/>
              <w:bottom w:val="single" w:sz="4" w:space="0" w:color="auto"/>
              <w:right w:val="single" w:sz="4" w:space="0" w:color="auto"/>
            </w:tcBorders>
            <w:shd w:val="clear" w:color="auto" w:fill="auto"/>
            <w:hideMark/>
          </w:tcPr>
          <w:p w14:paraId="55E18CB8" w14:textId="77777777" w:rsidR="008B6F2A" w:rsidRPr="003D56F0" w:rsidRDefault="008B6F2A" w:rsidP="003D56F0">
            <w:pPr>
              <w:rPr>
                <w:rFonts w:eastAsia="Times New Roman"/>
                <w:color w:val="000000"/>
                <w:sz w:val="18"/>
                <w:szCs w:val="18"/>
              </w:rPr>
            </w:pPr>
            <w:r w:rsidRPr="003D56F0">
              <w:rPr>
                <w:sz w:val="18"/>
                <w:szCs w:val="18"/>
              </w:rPr>
              <w:t>Brief MI amongst those attending nightclubs</w:t>
            </w:r>
          </w:p>
        </w:tc>
        <w:tc>
          <w:tcPr>
            <w:tcW w:w="342" w:type="pct"/>
            <w:gridSpan w:val="3"/>
            <w:tcBorders>
              <w:top w:val="nil"/>
              <w:left w:val="nil"/>
              <w:bottom w:val="single" w:sz="4" w:space="0" w:color="auto"/>
              <w:right w:val="single" w:sz="4" w:space="0" w:color="auto"/>
            </w:tcBorders>
            <w:shd w:val="clear" w:color="000000" w:fill="FFFFFF"/>
            <w:hideMark/>
          </w:tcPr>
          <w:p w14:paraId="48E05951" w14:textId="77777777" w:rsidR="008B6F2A" w:rsidRPr="003D56F0" w:rsidRDefault="008B6F2A" w:rsidP="003D56F0">
            <w:pPr>
              <w:rPr>
                <w:rFonts w:eastAsia="Times New Roman"/>
                <w:color w:val="000000"/>
                <w:sz w:val="18"/>
                <w:szCs w:val="18"/>
              </w:rPr>
            </w:pPr>
            <w:r w:rsidRPr="003D56F0">
              <w:rPr>
                <w:sz w:val="18"/>
                <w:szCs w:val="18"/>
              </w:rPr>
              <w:t>£67</w:t>
            </w:r>
          </w:p>
        </w:tc>
        <w:tc>
          <w:tcPr>
            <w:tcW w:w="411" w:type="pct"/>
            <w:gridSpan w:val="2"/>
            <w:tcBorders>
              <w:top w:val="nil"/>
              <w:left w:val="nil"/>
              <w:bottom w:val="single" w:sz="4" w:space="0" w:color="auto"/>
              <w:right w:val="single" w:sz="4" w:space="0" w:color="auto"/>
            </w:tcBorders>
            <w:shd w:val="clear" w:color="000000" w:fill="FFFFFF"/>
            <w:hideMark/>
          </w:tcPr>
          <w:p w14:paraId="61CF5689" w14:textId="77777777" w:rsidR="008B6F2A" w:rsidRPr="003D56F0" w:rsidRDefault="008B6F2A" w:rsidP="003D56F0">
            <w:pPr>
              <w:rPr>
                <w:rFonts w:eastAsia="Times New Roman"/>
                <w:color w:val="000000"/>
                <w:sz w:val="18"/>
                <w:szCs w:val="18"/>
              </w:rPr>
            </w:pPr>
            <w:r w:rsidRPr="003D56F0">
              <w:rPr>
                <w:sz w:val="18"/>
                <w:szCs w:val="18"/>
              </w:rPr>
              <w:t>£32</w:t>
            </w:r>
          </w:p>
        </w:tc>
        <w:tc>
          <w:tcPr>
            <w:tcW w:w="685" w:type="pct"/>
            <w:gridSpan w:val="2"/>
            <w:tcBorders>
              <w:top w:val="single" w:sz="4" w:space="0" w:color="auto"/>
              <w:left w:val="single" w:sz="4" w:space="0" w:color="auto"/>
              <w:bottom w:val="single" w:sz="4" w:space="0" w:color="auto"/>
              <w:right w:val="single" w:sz="4" w:space="0" w:color="auto"/>
            </w:tcBorders>
            <w:shd w:val="clear" w:color="000000" w:fill="FF0000"/>
            <w:hideMark/>
          </w:tcPr>
          <w:p w14:paraId="6A37A500" w14:textId="77777777" w:rsidR="008B6F2A" w:rsidRPr="003D56F0" w:rsidRDefault="008B6F2A" w:rsidP="003D56F0">
            <w:pPr>
              <w:rPr>
                <w:rFonts w:eastAsia="Times New Roman"/>
                <w:color w:val="000000"/>
                <w:sz w:val="18"/>
                <w:szCs w:val="18"/>
              </w:rPr>
            </w:pPr>
            <w:r w:rsidRPr="003D56F0">
              <w:rPr>
                <w:sz w:val="18"/>
                <w:szCs w:val="18"/>
              </w:rPr>
              <w:t>£230,097</w:t>
            </w:r>
          </w:p>
        </w:tc>
        <w:tc>
          <w:tcPr>
            <w:tcW w:w="617" w:type="pct"/>
            <w:gridSpan w:val="2"/>
            <w:tcBorders>
              <w:top w:val="single" w:sz="4" w:space="0" w:color="auto"/>
              <w:left w:val="single" w:sz="4" w:space="0" w:color="auto"/>
              <w:bottom w:val="single" w:sz="4" w:space="0" w:color="auto"/>
              <w:right w:val="single" w:sz="4" w:space="0" w:color="auto"/>
            </w:tcBorders>
            <w:shd w:val="clear" w:color="000000" w:fill="FF0000"/>
            <w:hideMark/>
          </w:tcPr>
          <w:p w14:paraId="73C1EC08" w14:textId="77777777" w:rsidR="008B6F2A" w:rsidRPr="003D56F0" w:rsidRDefault="008B6F2A" w:rsidP="003D56F0">
            <w:pPr>
              <w:rPr>
                <w:rFonts w:eastAsia="Times New Roman"/>
                <w:color w:val="000000"/>
                <w:sz w:val="18"/>
                <w:szCs w:val="18"/>
              </w:rPr>
            </w:pPr>
            <w:r w:rsidRPr="003D56F0">
              <w:rPr>
                <w:sz w:val="18"/>
                <w:szCs w:val="18"/>
              </w:rPr>
              <w:t>£103,757</w:t>
            </w:r>
          </w:p>
        </w:tc>
        <w:tc>
          <w:tcPr>
            <w:tcW w:w="617" w:type="pct"/>
            <w:gridSpan w:val="2"/>
            <w:tcBorders>
              <w:top w:val="single" w:sz="4" w:space="0" w:color="auto"/>
              <w:left w:val="single" w:sz="4" w:space="0" w:color="auto"/>
              <w:bottom w:val="single" w:sz="4" w:space="0" w:color="auto"/>
              <w:right w:val="single" w:sz="4" w:space="0" w:color="auto"/>
            </w:tcBorders>
            <w:shd w:val="clear" w:color="000000" w:fill="FF0000"/>
            <w:hideMark/>
          </w:tcPr>
          <w:p w14:paraId="7188D27C" w14:textId="77777777" w:rsidR="008B6F2A" w:rsidRPr="003D56F0" w:rsidRDefault="008B6F2A" w:rsidP="003D56F0">
            <w:pPr>
              <w:rPr>
                <w:rFonts w:eastAsia="Times New Roman"/>
                <w:color w:val="000000"/>
                <w:sz w:val="18"/>
                <w:szCs w:val="18"/>
              </w:rPr>
            </w:pPr>
            <w:r w:rsidRPr="003D56F0">
              <w:rPr>
                <w:sz w:val="18"/>
                <w:szCs w:val="18"/>
              </w:rPr>
              <w:t>£155,786</w:t>
            </w:r>
          </w:p>
        </w:tc>
        <w:tc>
          <w:tcPr>
            <w:tcW w:w="751" w:type="pct"/>
            <w:gridSpan w:val="2"/>
            <w:tcBorders>
              <w:top w:val="single" w:sz="4" w:space="0" w:color="auto"/>
              <w:left w:val="single" w:sz="4" w:space="0" w:color="auto"/>
              <w:bottom w:val="single" w:sz="4" w:space="0" w:color="auto"/>
              <w:right w:val="single" w:sz="4" w:space="0" w:color="auto"/>
            </w:tcBorders>
            <w:shd w:val="clear" w:color="000000" w:fill="FF0000"/>
            <w:hideMark/>
          </w:tcPr>
          <w:p w14:paraId="28FFC853" w14:textId="77777777" w:rsidR="008B6F2A" w:rsidRPr="003D56F0" w:rsidRDefault="008B6F2A" w:rsidP="003D56F0">
            <w:pPr>
              <w:rPr>
                <w:rFonts w:eastAsia="Times New Roman"/>
                <w:color w:val="000000"/>
                <w:sz w:val="18"/>
                <w:szCs w:val="18"/>
              </w:rPr>
            </w:pPr>
            <w:r w:rsidRPr="003D56F0">
              <w:rPr>
                <w:sz w:val="18"/>
                <w:szCs w:val="18"/>
              </w:rPr>
              <w:t>£70,248</w:t>
            </w:r>
          </w:p>
        </w:tc>
      </w:tr>
      <w:tr w:rsidR="0087550E" w:rsidRPr="003D56F0" w14:paraId="200FC4D7" w14:textId="77777777" w:rsidTr="003D56F0">
        <w:trPr>
          <w:trHeight w:val="350"/>
        </w:trPr>
        <w:tc>
          <w:tcPr>
            <w:tcW w:w="620" w:type="pct"/>
            <w:tcBorders>
              <w:top w:val="nil"/>
              <w:left w:val="single" w:sz="4" w:space="0" w:color="auto"/>
              <w:bottom w:val="single" w:sz="4" w:space="0" w:color="auto"/>
              <w:right w:val="single" w:sz="4" w:space="0" w:color="auto"/>
            </w:tcBorders>
            <w:shd w:val="clear" w:color="auto" w:fill="auto"/>
            <w:hideMark/>
          </w:tcPr>
          <w:p w14:paraId="6F256373" w14:textId="77777777" w:rsidR="008B6F2A" w:rsidRPr="003D56F0" w:rsidRDefault="008B6F2A" w:rsidP="003D56F0">
            <w:pPr>
              <w:rPr>
                <w:sz w:val="18"/>
                <w:szCs w:val="18"/>
              </w:rPr>
            </w:pPr>
            <w:r w:rsidRPr="003D56F0">
              <w:rPr>
                <w:sz w:val="18"/>
                <w:szCs w:val="18"/>
              </w:rPr>
              <w:t>Parsons et al (2014)</w:t>
            </w:r>
          </w:p>
        </w:tc>
        <w:tc>
          <w:tcPr>
            <w:tcW w:w="957" w:type="pct"/>
            <w:gridSpan w:val="2"/>
            <w:tcBorders>
              <w:top w:val="nil"/>
              <w:left w:val="nil"/>
              <w:bottom w:val="single" w:sz="4" w:space="0" w:color="auto"/>
              <w:right w:val="single" w:sz="4" w:space="0" w:color="auto"/>
            </w:tcBorders>
            <w:shd w:val="clear" w:color="auto" w:fill="auto"/>
            <w:hideMark/>
          </w:tcPr>
          <w:p w14:paraId="086523B3" w14:textId="77777777" w:rsidR="008B6F2A" w:rsidRPr="003D56F0" w:rsidRDefault="008B6F2A" w:rsidP="003D56F0">
            <w:pPr>
              <w:rPr>
                <w:rFonts w:eastAsia="Times New Roman"/>
                <w:color w:val="000000"/>
                <w:sz w:val="18"/>
                <w:szCs w:val="18"/>
              </w:rPr>
            </w:pPr>
            <w:r w:rsidRPr="003D56F0">
              <w:rPr>
                <w:sz w:val="18"/>
                <w:szCs w:val="18"/>
              </w:rPr>
              <w:t>MI for drug use &amp; HIV risk</w:t>
            </w:r>
          </w:p>
        </w:tc>
        <w:tc>
          <w:tcPr>
            <w:tcW w:w="342" w:type="pct"/>
            <w:gridSpan w:val="3"/>
            <w:tcBorders>
              <w:top w:val="nil"/>
              <w:left w:val="nil"/>
              <w:bottom w:val="single" w:sz="4" w:space="0" w:color="auto"/>
              <w:right w:val="single" w:sz="4" w:space="0" w:color="auto"/>
            </w:tcBorders>
            <w:shd w:val="clear" w:color="000000" w:fill="FFFFFF"/>
            <w:hideMark/>
          </w:tcPr>
          <w:p w14:paraId="2B173350" w14:textId="77777777" w:rsidR="008B6F2A" w:rsidRPr="003D56F0" w:rsidRDefault="008B6F2A" w:rsidP="003D56F0">
            <w:pPr>
              <w:rPr>
                <w:rFonts w:eastAsia="Times New Roman"/>
                <w:color w:val="000000"/>
                <w:sz w:val="18"/>
                <w:szCs w:val="18"/>
              </w:rPr>
            </w:pPr>
            <w:r w:rsidRPr="003D56F0">
              <w:rPr>
                <w:sz w:val="18"/>
                <w:szCs w:val="18"/>
              </w:rPr>
              <w:t>£268</w:t>
            </w:r>
          </w:p>
        </w:tc>
        <w:tc>
          <w:tcPr>
            <w:tcW w:w="411" w:type="pct"/>
            <w:gridSpan w:val="2"/>
            <w:tcBorders>
              <w:top w:val="nil"/>
              <w:left w:val="nil"/>
              <w:bottom w:val="single" w:sz="4" w:space="0" w:color="auto"/>
              <w:right w:val="nil"/>
            </w:tcBorders>
            <w:shd w:val="clear" w:color="000000" w:fill="FFFFFF"/>
            <w:hideMark/>
          </w:tcPr>
          <w:p w14:paraId="34186120" w14:textId="77777777" w:rsidR="008B6F2A" w:rsidRPr="003D56F0" w:rsidRDefault="008B6F2A" w:rsidP="003D56F0">
            <w:pPr>
              <w:rPr>
                <w:rFonts w:eastAsia="Times New Roman"/>
                <w:color w:val="000000"/>
                <w:sz w:val="18"/>
                <w:szCs w:val="18"/>
              </w:rPr>
            </w:pPr>
            <w:r w:rsidRPr="003D56F0">
              <w:rPr>
                <w:sz w:val="18"/>
                <w:szCs w:val="18"/>
              </w:rPr>
              <w:t>£128</w:t>
            </w:r>
          </w:p>
        </w:tc>
        <w:tc>
          <w:tcPr>
            <w:tcW w:w="685" w:type="pct"/>
            <w:gridSpan w:val="2"/>
            <w:tcBorders>
              <w:top w:val="single" w:sz="4" w:space="0" w:color="auto"/>
              <w:left w:val="single" w:sz="4" w:space="0" w:color="auto"/>
              <w:bottom w:val="single" w:sz="4" w:space="0" w:color="auto"/>
              <w:right w:val="single" w:sz="4" w:space="0" w:color="auto"/>
            </w:tcBorders>
            <w:shd w:val="clear" w:color="000000" w:fill="FF0000"/>
            <w:hideMark/>
          </w:tcPr>
          <w:p w14:paraId="2652D308" w14:textId="77777777" w:rsidR="008B6F2A" w:rsidRPr="003D56F0" w:rsidRDefault="008B6F2A" w:rsidP="003D56F0">
            <w:pPr>
              <w:rPr>
                <w:rFonts w:eastAsia="Times New Roman"/>
                <w:color w:val="000000"/>
                <w:sz w:val="18"/>
                <w:szCs w:val="18"/>
              </w:rPr>
            </w:pPr>
            <w:r w:rsidRPr="003D56F0">
              <w:rPr>
                <w:sz w:val="18"/>
                <w:szCs w:val="18"/>
              </w:rPr>
              <w:t>£70,903</w:t>
            </w:r>
          </w:p>
        </w:tc>
        <w:tc>
          <w:tcPr>
            <w:tcW w:w="617" w:type="pct"/>
            <w:gridSpan w:val="2"/>
            <w:tcBorders>
              <w:top w:val="single" w:sz="4" w:space="0" w:color="auto"/>
              <w:left w:val="nil"/>
              <w:bottom w:val="single" w:sz="4" w:space="0" w:color="auto"/>
              <w:right w:val="single" w:sz="4" w:space="0" w:color="auto"/>
            </w:tcBorders>
            <w:shd w:val="clear" w:color="000000" w:fill="FF0000"/>
            <w:hideMark/>
          </w:tcPr>
          <w:p w14:paraId="52769B8B" w14:textId="77777777" w:rsidR="008B6F2A" w:rsidRPr="003D56F0" w:rsidRDefault="008B6F2A" w:rsidP="003D56F0">
            <w:pPr>
              <w:rPr>
                <w:rFonts w:eastAsia="Times New Roman"/>
                <w:color w:val="000000"/>
                <w:sz w:val="18"/>
                <w:szCs w:val="18"/>
              </w:rPr>
            </w:pPr>
            <w:r w:rsidRPr="003D56F0">
              <w:rPr>
                <w:sz w:val="18"/>
                <w:szCs w:val="18"/>
              </w:rPr>
              <w:t>£31,005</w:t>
            </w:r>
          </w:p>
        </w:tc>
        <w:tc>
          <w:tcPr>
            <w:tcW w:w="617" w:type="pct"/>
            <w:gridSpan w:val="2"/>
            <w:tcBorders>
              <w:top w:val="single" w:sz="4" w:space="0" w:color="auto"/>
              <w:left w:val="nil"/>
              <w:bottom w:val="single" w:sz="4" w:space="0" w:color="auto"/>
              <w:right w:val="single" w:sz="4" w:space="0" w:color="auto"/>
            </w:tcBorders>
            <w:shd w:val="clear" w:color="000000" w:fill="FF0000"/>
            <w:hideMark/>
          </w:tcPr>
          <w:p w14:paraId="2B3A01D5" w14:textId="77777777" w:rsidR="008B6F2A" w:rsidRPr="003D56F0" w:rsidRDefault="008B6F2A" w:rsidP="003D56F0">
            <w:pPr>
              <w:rPr>
                <w:rFonts w:eastAsia="Times New Roman"/>
                <w:color w:val="000000"/>
                <w:sz w:val="18"/>
                <w:szCs w:val="18"/>
              </w:rPr>
            </w:pPr>
            <w:r w:rsidRPr="003D56F0">
              <w:rPr>
                <w:sz w:val="18"/>
                <w:szCs w:val="18"/>
              </w:rPr>
              <w:t>£58,750</w:t>
            </w:r>
          </w:p>
        </w:tc>
        <w:tc>
          <w:tcPr>
            <w:tcW w:w="751" w:type="pct"/>
            <w:gridSpan w:val="2"/>
            <w:tcBorders>
              <w:top w:val="single" w:sz="4" w:space="0" w:color="auto"/>
              <w:left w:val="nil"/>
              <w:bottom w:val="single" w:sz="4" w:space="0" w:color="auto"/>
              <w:right w:val="single" w:sz="4" w:space="0" w:color="auto"/>
            </w:tcBorders>
            <w:shd w:val="clear" w:color="000000" w:fill="FF0000"/>
            <w:hideMark/>
          </w:tcPr>
          <w:p w14:paraId="6B651627" w14:textId="77777777" w:rsidR="008B6F2A" w:rsidRPr="003D56F0" w:rsidRDefault="008B6F2A" w:rsidP="003D56F0">
            <w:pPr>
              <w:rPr>
                <w:rFonts w:eastAsia="Times New Roman"/>
                <w:color w:val="000000"/>
                <w:sz w:val="18"/>
                <w:szCs w:val="18"/>
              </w:rPr>
            </w:pPr>
            <w:r w:rsidRPr="003D56F0">
              <w:rPr>
                <w:sz w:val="18"/>
                <w:szCs w:val="18"/>
              </w:rPr>
              <w:t>£25,665</w:t>
            </w:r>
          </w:p>
        </w:tc>
      </w:tr>
      <w:tr w:rsidR="0087550E" w:rsidRPr="003D56F0" w14:paraId="32EB679E" w14:textId="77777777" w:rsidTr="003D56F0">
        <w:trPr>
          <w:trHeight w:val="350"/>
        </w:trPr>
        <w:tc>
          <w:tcPr>
            <w:tcW w:w="620" w:type="pct"/>
            <w:tcBorders>
              <w:top w:val="nil"/>
              <w:left w:val="single" w:sz="4" w:space="0" w:color="auto"/>
              <w:bottom w:val="single" w:sz="4" w:space="0" w:color="auto"/>
              <w:right w:val="single" w:sz="4" w:space="0" w:color="auto"/>
            </w:tcBorders>
            <w:shd w:val="clear" w:color="auto" w:fill="auto"/>
            <w:hideMark/>
          </w:tcPr>
          <w:p w14:paraId="17FF2A86" w14:textId="77777777" w:rsidR="008B6F2A" w:rsidRPr="003D56F0" w:rsidRDefault="008B6F2A" w:rsidP="003D56F0">
            <w:pPr>
              <w:rPr>
                <w:sz w:val="18"/>
                <w:szCs w:val="18"/>
              </w:rPr>
            </w:pPr>
            <w:r w:rsidRPr="003D56F0">
              <w:rPr>
                <w:sz w:val="18"/>
                <w:szCs w:val="18"/>
              </w:rPr>
              <w:t>Morgenstern et al. (2009)</w:t>
            </w:r>
          </w:p>
        </w:tc>
        <w:tc>
          <w:tcPr>
            <w:tcW w:w="957" w:type="pct"/>
            <w:gridSpan w:val="2"/>
            <w:tcBorders>
              <w:top w:val="nil"/>
              <w:left w:val="nil"/>
              <w:bottom w:val="single" w:sz="4" w:space="0" w:color="auto"/>
              <w:right w:val="single" w:sz="4" w:space="0" w:color="auto"/>
            </w:tcBorders>
            <w:shd w:val="clear" w:color="auto" w:fill="auto"/>
            <w:hideMark/>
          </w:tcPr>
          <w:p w14:paraId="330F15EC" w14:textId="77777777" w:rsidR="008B6F2A" w:rsidRPr="003D56F0" w:rsidRDefault="008B6F2A" w:rsidP="003D56F0">
            <w:pPr>
              <w:rPr>
                <w:rFonts w:eastAsia="Times New Roman"/>
                <w:color w:val="000000"/>
                <w:sz w:val="18"/>
                <w:szCs w:val="18"/>
              </w:rPr>
            </w:pPr>
            <w:r w:rsidRPr="003D56F0">
              <w:rPr>
                <w:sz w:val="18"/>
                <w:szCs w:val="18"/>
              </w:rPr>
              <w:t>MI for club drug use</w:t>
            </w:r>
          </w:p>
        </w:tc>
        <w:tc>
          <w:tcPr>
            <w:tcW w:w="342" w:type="pct"/>
            <w:gridSpan w:val="3"/>
            <w:tcBorders>
              <w:top w:val="nil"/>
              <w:left w:val="nil"/>
              <w:bottom w:val="single" w:sz="4" w:space="0" w:color="auto"/>
              <w:right w:val="single" w:sz="4" w:space="0" w:color="auto"/>
            </w:tcBorders>
            <w:shd w:val="clear" w:color="000000" w:fill="FFFFFF"/>
            <w:hideMark/>
          </w:tcPr>
          <w:p w14:paraId="64C8BDE6" w14:textId="77777777" w:rsidR="008B6F2A" w:rsidRPr="003D56F0" w:rsidRDefault="008B6F2A" w:rsidP="003D56F0">
            <w:pPr>
              <w:rPr>
                <w:rFonts w:eastAsia="Times New Roman"/>
                <w:color w:val="000000"/>
                <w:sz w:val="18"/>
                <w:szCs w:val="18"/>
              </w:rPr>
            </w:pPr>
            <w:r w:rsidRPr="003D56F0">
              <w:rPr>
                <w:sz w:val="18"/>
                <w:szCs w:val="18"/>
              </w:rPr>
              <w:t>£268</w:t>
            </w:r>
          </w:p>
        </w:tc>
        <w:tc>
          <w:tcPr>
            <w:tcW w:w="411" w:type="pct"/>
            <w:gridSpan w:val="2"/>
            <w:tcBorders>
              <w:top w:val="nil"/>
              <w:left w:val="nil"/>
              <w:bottom w:val="single" w:sz="4" w:space="0" w:color="auto"/>
              <w:right w:val="nil"/>
            </w:tcBorders>
            <w:shd w:val="clear" w:color="000000" w:fill="FFFFFF"/>
            <w:hideMark/>
          </w:tcPr>
          <w:p w14:paraId="0429FF1E" w14:textId="77777777" w:rsidR="008B6F2A" w:rsidRPr="003D56F0" w:rsidRDefault="008B6F2A" w:rsidP="003D56F0">
            <w:pPr>
              <w:rPr>
                <w:rFonts w:eastAsia="Times New Roman"/>
                <w:color w:val="000000"/>
                <w:sz w:val="18"/>
                <w:szCs w:val="18"/>
              </w:rPr>
            </w:pPr>
            <w:r w:rsidRPr="003D56F0">
              <w:rPr>
                <w:sz w:val="18"/>
                <w:szCs w:val="18"/>
              </w:rPr>
              <w:t>£128</w:t>
            </w:r>
          </w:p>
        </w:tc>
        <w:tc>
          <w:tcPr>
            <w:tcW w:w="685" w:type="pct"/>
            <w:gridSpan w:val="2"/>
            <w:tcBorders>
              <w:top w:val="nil"/>
              <w:left w:val="single" w:sz="4" w:space="0" w:color="auto"/>
              <w:bottom w:val="single" w:sz="4" w:space="0" w:color="auto"/>
              <w:right w:val="single" w:sz="4" w:space="0" w:color="auto"/>
            </w:tcBorders>
            <w:shd w:val="clear" w:color="000000" w:fill="FF0000"/>
            <w:hideMark/>
          </w:tcPr>
          <w:p w14:paraId="5A2CDE37" w14:textId="77777777" w:rsidR="008B6F2A" w:rsidRPr="003D56F0" w:rsidRDefault="008B6F2A" w:rsidP="003D56F0">
            <w:pPr>
              <w:rPr>
                <w:rFonts w:eastAsia="Times New Roman"/>
                <w:color w:val="000000"/>
                <w:sz w:val="18"/>
                <w:szCs w:val="18"/>
              </w:rPr>
            </w:pPr>
            <w:r w:rsidRPr="003D56F0">
              <w:rPr>
                <w:sz w:val="18"/>
                <w:szCs w:val="18"/>
              </w:rPr>
              <w:t>£33,236</w:t>
            </w:r>
          </w:p>
        </w:tc>
        <w:tc>
          <w:tcPr>
            <w:tcW w:w="617" w:type="pct"/>
            <w:gridSpan w:val="2"/>
            <w:tcBorders>
              <w:top w:val="nil"/>
              <w:left w:val="nil"/>
              <w:bottom w:val="single" w:sz="4" w:space="0" w:color="auto"/>
              <w:right w:val="single" w:sz="4" w:space="0" w:color="auto"/>
            </w:tcBorders>
            <w:shd w:val="clear" w:color="000000" w:fill="92D050"/>
            <w:hideMark/>
          </w:tcPr>
          <w:p w14:paraId="0655C64A" w14:textId="77777777" w:rsidR="008B6F2A" w:rsidRPr="003D56F0" w:rsidRDefault="008B6F2A" w:rsidP="003D56F0">
            <w:pPr>
              <w:rPr>
                <w:rFonts w:eastAsia="Times New Roman"/>
                <w:color w:val="000000"/>
                <w:sz w:val="18"/>
                <w:szCs w:val="18"/>
              </w:rPr>
            </w:pPr>
            <w:r w:rsidRPr="003D56F0">
              <w:rPr>
                <w:sz w:val="18"/>
                <w:szCs w:val="18"/>
              </w:rPr>
              <w:t>£9,271</w:t>
            </w:r>
          </w:p>
        </w:tc>
        <w:tc>
          <w:tcPr>
            <w:tcW w:w="617" w:type="pct"/>
            <w:gridSpan w:val="2"/>
            <w:tcBorders>
              <w:top w:val="nil"/>
              <w:left w:val="nil"/>
              <w:bottom w:val="single" w:sz="4" w:space="0" w:color="auto"/>
              <w:right w:val="single" w:sz="4" w:space="0" w:color="auto"/>
            </w:tcBorders>
            <w:shd w:val="clear" w:color="000000" w:fill="FF0000"/>
            <w:hideMark/>
          </w:tcPr>
          <w:p w14:paraId="23A4C459" w14:textId="77777777" w:rsidR="008B6F2A" w:rsidRPr="003D56F0" w:rsidRDefault="008B6F2A" w:rsidP="003D56F0">
            <w:pPr>
              <w:rPr>
                <w:rFonts w:eastAsia="Times New Roman"/>
                <w:color w:val="000000"/>
                <w:sz w:val="18"/>
                <w:szCs w:val="18"/>
              </w:rPr>
            </w:pPr>
            <w:r w:rsidRPr="003D56F0">
              <w:rPr>
                <w:sz w:val="18"/>
                <w:szCs w:val="18"/>
              </w:rPr>
              <w:t>£25,976</w:t>
            </w:r>
          </w:p>
        </w:tc>
        <w:tc>
          <w:tcPr>
            <w:tcW w:w="751" w:type="pct"/>
            <w:gridSpan w:val="2"/>
            <w:tcBorders>
              <w:top w:val="nil"/>
              <w:left w:val="nil"/>
              <w:bottom w:val="single" w:sz="4" w:space="0" w:color="auto"/>
              <w:right w:val="single" w:sz="4" w:space="0" w:color="auto"/>
            </w:tcBorders>
            <w:shd w:val="clear" w:color="000000" w:fill="92D050"/>
            <w:hideMark/>
          </w:tcPr>
          <w:p w14:paraId="030D5E68" w14:textId="77777777" w:rsidR="008B6F2A" w:rsidRPr="003D56F0" w:rsidRDefault="008B6F2A" w:rsidP="003D56F0">
            <w:pPr>
              <w:rPr>
                <w:rFonts w:eastAsia="Times New Roman"/>
                <w:color w:val="000000"/>
                <w:sz w:val="18"/>
                <w:szCs w:val="18"/>
              </w:rPr>
            </w:pPr>
            <w:r w:rsidRPr="003D56F0">
              <w:rPr>
                <w:sz w:val="18"/>
                <w:szCs w:val="18"/>
              </w:rPr>
              <w:t>£7,173</w:t>
            </w:r>
          </w:p>
        </w:tc>
      </w:tr>
      <w:tr w:rsidR="0087550E" w:rsidRPr="003D56F0" w14:paraId="431801B6" w14:textId="77777777" w:rsidTr="003D56F0">
        <w:trPr>
          <w:trHeight w:val="350"/>
        </w:trPr>
        <w:tc>
          <w:tcPr>
            <w:tcW w:w="620" w:type="pct"/>
            <w:tcBorders>
              <w:top w:val="nil"/>
              <w:left w:val="single" w:sz="4" w:space="0" w:color="auto"/>
              <w:bottom w:val="single" w:sz="4" w:space="0" w:color="auto"/>
              <w:right w:val="single" w:sz="4" w:space="0" w:color="auto"/>
            </w:tcBorders>
            <w:shd w:val="clear" w:color="auto" w:fill="auto"/>
            <w:hideMark/>
          </w:tcPr>
          <w:p w14:paraId="0BF2D5D8" w14:textId="77777777" w:rsidR="008B6F2A" w:rsidRPr="003D56F0" w:rsidRDefault="008B6F2A" w:rsidP="003D56F0">
            <w:pPr>
              <w:rPr>
                <w:sz w:val="18"/>
                <w:szCs w:val="18"/>
              </w:rPr>
            </w:pPr>
            <w:r w:rsidRPr="003D56F0">
              <w:rPr>
                <w:sz w:val="18"/>
                <w:szCs w:val="18"/>
              </w:rPr>
              <w:t>Milburn et al (2012)</w:t>
            </w:r>
          </w:p>
        </w:tc>
        <w:tc>
          <w:tcPr>
            <w:tcW w:w="957" w:type="pct"/>
            <w:gridSpan w:val="2"/>
            <w:tcBorders>
              <w:top w:val="nil"/>
              <w:left w:val="nil"/>
              <w:bottom w:val="single" w:sz="4" w:space="0" w:color="auto"/>
              <w:right w:val="single" w:sz="4" w:space="0" w:color="auto"/>
            </w:tcBorders>
            <w:shd w:val="clear" w:color="auto" w:fill="auto"/>
            <w:hideMark/>
          </w:tcPr>
          <w:p w14:paraId="7E0287D9" w14:textId="77777777" w:rsidR="008B6F2A" w:rsidRPr="003D56F0" w:rsidRDefault="008B6F2A" w:rsidP="003D56F0">
            <w:pPr>
              <w:rPr>
                <w:rFonts w:eastAsia="Times New Roman"/>
                <w:color w:val="000000"/>
                <w:sz w:val="18"/>
                <w:szCs w:val="18"/>
              </w:rPr>
            </w:pPr>
            <w:r w:rsidRPr="003D56F0">
              <w:rPr>
                <w:sz w:val="18"/>
                <w:szCs w:val="18"/>
              </w:rPr>
              <w:t>Family intervention for youth who had ran away from home</w:t>
            </w:r>
          </w:p>
        </w:tc>
        <w:tc>
          <w:tcPr>
            <w:tcW w:w="342" w:type="pct"/>
            <w:gridSpan w:val="3"/>
            <w:tcBorders>
              <w:top w:val="nil"/>
              <w:left w:val="nil"/>
              <w:bottom w:val="single" w:sz="4" w:space="0" w:color="auto"/>
              <w:right w:val="single" w:sz="4" w:space="0" w:color="auto"/>
            </w:tcBorders>
            <w:shd w:val="clear" w:color="000000" w:fill="FFFFFF"/>
            <w:hideMark/>
          </w:tcPr>
          <w:p w14:paraId="42227B81" w14:textId="77777777" w:rsidR="008B6F2A" w:rsidRPr="003D56F0" w:rsidRDefault="008B6F2A" w:rsidP="003D56F0">
            <w:pPr>
              <w:rPr>
                <w:rFonts w:eastAsia="Times New Roman"/>
                <w:color w:val="000000"/>
                <w:sz w:val="18"/>
                <w:szCs w:val="18"/>
              </w:rPr>
            </w:pPr>
            <w:r w:rsidRPr="003D56F0">
              <w:rPr>
                <w:sz w:val="18"/>
                <w:szCs w:val="18"/>
              </w:rPr>
              <w:t>£825</w:t>
            </w:r>
          </w:p>
        </w:tc>
        <w:tc>
          <w:tcPr>
            <w:tcW w:w="411" w:type="pct"/>
            <w:gridSpan w:val="2"/>
            <w:tcBorders>
              <w:top w:val="nil"/>
              <w:left w:val="nil"/>
              <w:bottom w:val="single" w:sz="4" w:space="0" w:color="auto"/>
              <w:right w:val="nil"/>
            </w:tcBorders>
            <w:shd w:val="clear" w:color="000000" w:fill="FFFFFF"/>
            <w:hideMark/>
          </w:tcPr>
          <w:p w14:paraId="3FE8DE74" w14:textId="77777777" w:rsidR="008B6F2A" w:rsidRPr="003D56F0" w:rsidRDefault="008B6F2A" w:rsidP="003D56F0">
            <w:pPr>
              <w:rPr>
                <w:rFonts w:eastAsia="Times New Roman"/>
                <w:color w:val="000000"/>
                <w:sz w:val="18"/>
                <w:szCs w:val="18"/>
              </w:rPr>
            </w:pPr>
            <w:r w:rsidRPr="003D56F0">
              <w:rPr>
                <w:sz w:val="18"/>
                <w:szCs w:val="18"/>
              </w:rPr>
              <w:t>£619</w:t>
            </w:r>
          </w:p>
        </w:tc>
        <w:tc>
          <w:tcPr>
            <w:tcW w:w="685" w:type="pct"/>
            <w:gridSpan w:val="2"/>
            <w:tcBorders>
              <w:top w:val="nil"/>
              <w:left w:val="single" w:sz="4" w:space="0" w:color="auto"/>
              <w:bottom w:val="single" w:sz="4" w:space="0" w:color="auto"/>
              <w:right w:val="single" w:sz="4" w:space="0" w:color="auto"/>
            </w:tcBorders>
            <w:shd w:val="clear" w:color="000000" w:fill="FF0000"/>
            <w:hideMark/>
          </w:tcPr>
          <w:p w14:paraId="63AAD2C4" w14:textId="77777777" w:rsidR="008B6F2A" w:rsidRPr="003D56F0" w:rsidRDefault="008B6F2A" w:rsidP="003D56F0">
            <w:pPr>
              <w:rPr>
                <w:rFonts w:eastAsia="Times New Roman"/>
                <w:color w:val="000000"/>
                <w:sz w:val="18"/>
                <w:szCs w:val="18"/>
              </w:rPr>
            </w:pPr>
            <w:r w:rsidRPr="003D56F0">
              <w:rPr>
                <w:sz w:val="18"/>
                <w:szCs w:val="18"/>
              </w:rPr>
              <w:t>£32,560</w:t>
            </w:r>
          </w:p>
        </w:tc>
        <w:tc>
          <w:tcPr>
            <w:tcW w:w="617" w:type="pct"/>
            <w:gridSpan w:val="2"/>
            <w:tcBorders>
              <w:top w:val="nil"/>
              <w:left w:val="nil"/>
              <w:bottom w:val="single" w:sz="4" w:space="0" w:color="auto"/>
              <w:right w:val="single" w:sz="4" w:space="0" w:color="auto"/>
            </w:tcBorders>
            <w:shd w:val="clear" w:color="000000" w:fill="FF0000"/>
            <w:hideMark/>
          </w:tcPr>
          <w:p w14:paraId="2B64A61C" w14:textId="77777777" w:rsidR="008B6F2A" w:rsidRPr="003D56F0" w:rsidRDefault="008B6F2A" w:rsidP="003D56F0">
            <w:pPr>
              <w:rPr>
                <w:rFonts w:eastAsia="Times New Roman"/>
                <w:color w:val="000000"/>
                <w:sz w:val="18"/>
                <w:szCs w:val="18"/>
              </w:rPr>
            </w:pPr>
            <w:r w:rsidRPr="003D56F0">
              <w:rPr>
                <w:sz w:val="18"/>
                <w:szCs w:val="18"/>
              </w:rPr>
              <w:t>£23,537</w:t>
            </w:r>
          </w:p>
        </w:tc>
        <w:tc>
          <w:tcPr>
            <w:tcW w:w="617" w:type="pct"/>
            <w:gridSpan w:val="2"/>
            <w:tcBorders>
              <w:top w:val="nil"/>
              <w:left w:val="nil"/>
              <w:bottom w:val="single" w:sz="4" w:space="0" w:color="auto"/>
              <w:right w:val="single" w:sz="4" w:space="0" w:color="auto"/>
            </w:tcBorders>
            <w:shd w:val="clear" w:color="000000" w:fill="FF0000"/>
            <w:hideMark/>
          </w:tcPr>
          <w:p w14:paraId="4F455225" w14:textId="77777777" w:rsidR="008B6F2A" w:rsidRPr="003D56F0" w:rsidRDefault="008B6F2A" w:rsidP="003D56F0">
            <w:pPr>
              <w:rPr>
                <w:rFonts w:eastAsia="Times New Roman"/>
                <w:color w:val="000000"/>
                <w:sz w:val="18"/>
                <w:szCs w:val="18"/>
              </w:rPr>
            </w:pPr>
            <w:r w:rsidRPr="003D56F0">
              <w:rPr>
                <w:sz w:val="18"/>
                <w:szCs w:val="18"/>
              </w:rPr>
              <w:t>£30,782</w:t>
            </w:r>
          </w:p>
        </w:tc>
        <w:tc>
          <w:tcPr>
            <w:tcW w:w="751" w:type="pct"/>
            <w:gridSpan w:val="2"/>
            <w:tcBorders>
              <w:top w:val="nil"/>
              <w:left w:val="nil"/>
              <w:bottom w:val="single" w:sz="4" w:space="0" w:color="auto"/>
              <w:right w:val="single" w:sz="4" w:space="0" w:color="auto"/>
            </w:tcBorders>
            <w:shd w:val="clear" w:color="000000" w:fill="FF0000"/>
            <w:hideMark/>
          </w:tcPr>
          <w:p w14:paraId="316D2458" w14:textId="77777777" w:rsidR="008B6F2A" w:rsidRPr="003D56F0" w:rsidRDefault="008B6F2A" w:rsidP="003D56F0">
            <w:pPr>
              <w:rPr>
                <w:rFonts w:eastAsia="Times New Roman"/>
                <w:color w:val="000000"/>
                <w:sz w:val="18"/>
                <w:szCs w:val="18"/>
              </w:rPr>
            </w:pPr>
            <w:r w:rsidRPr="003D56F0">
              <w:rPr>
                <w:sz w:val="18"/>
                <w:szCs w:val="18"/>
              </w:rPr>
              <w:t>£22,243</w:t>
            </w:r>
          </w:p>
        </w:tc>
      </w:tr>
      <w:tr w:rsidR="003B451D" w:rsidRPr="003D56F0" w14:paraId="6759DE6F" w14:textId="77777777" w:rsidTr="003D56F0">
        <w:trPr>
          <w:trHeight w:val="521"/>
        </w:trPr>
        <w:tc>
          <w:tcPr>
            <w:tcW w:w="5000" w:type="pct"/>
            <w:gridSpan w:val="16"/>
            <w:tcBorders>
              <w:top w:val="nil"/>
              <w:left w:val="nil"/>
              <w:bottom w:val="nil"/>
              <w:right w:val="nil"/>
            </w:tcBorders>
            <w:shd w:val="clear" w:color="auto" w:fill="auto"/>
            <w:hideMark/>
          </w:tcPr>
          <w:p w14:paraId="2587D743" w14:textId="78B6C4AE" w:rsidR="003B451D" w:rsidRPr="003D56F0" w:rsidRDefault="003B451D" w:rsidP="003D56F0">
            <w:pPr>
              <w:rPr>
                <w:sz w:val="18"/>
                <w:szCs w:val="18"/>
              </w:rPr>
            </w:pPr>
            <w:r w:rsidRPr="003D56F0">
              <w:rPr>
                <w:sz w:val="18"/>
                <w:szCs w:val="18"/>
              </w:rPr>
              <w:t>Note that there is no sustained reduction scenario for Catalano et al (1999)</w:t>
            </w:r>
            <w:r w:rsidR="00D731BC" w:rsidRPr="003D56F0">
              <w:rPr>
                <w:sz w:val="18"/>
                <w:szCs w:val="18"/>
              </w:rPr>
              <w:t xml:space="preserve"> and t</w:t>
            </w:r>
            <w:r w:rsidR="00D731BC" w:rsidRPr="003D56F0">
              <w:rPr>
                <w:color w:val="000000"/>
                <w:sz w:val="18"/>
                <w:szCs w:val="18"/>
                <w:shd w:val="clear" w:color="auto" w:fill="FFFFFF"/>
              </w:rPr>
              <w:t>he base case scenario for Lee is for 12 months only as individuals were only followed up at six months.</w:t>
            </w:r>
          </w:p>
        </w:tc>
      </w:tr>
      <w:tr w:rsidR="0087550E" w:rsidRPr="003D56F0" w14:paraId="3E3F755D" w14:textId="77777777" w:rsidTr="003D56F0">
        <w:trPr>
          <w:trHeight w:val="350"/>
        </w:trPr>
        <w:tc>
          <w:tcPr>
            <w:tcW w:w="620" w:type="pct"/>
            <w:tcBorders>
              <w:top w:val="nil"/>
              <w:left w:val="nil"/>
              <w:bottom w:val="nil"/>
              <w:right w:val="nil"/>
            </w:tcBorders>
            <w:shd w:val="clear" w:color="auto" w:fill="auto"/>
            <w:hideMark/>
          </w:tcPr>
          <w:p w14:paraId="7DB731E5" w14:textId="77777777" w:rsidR="008B6F2A" w:rsidRPr="003D56F0" w:rsidRDefault="008B6F2A" w:rsidP="003D56F0">
            <w:pPr>
              <w:rPr>
                <w:sz w:val="18"/>
                <w:szCs w:val="18"/>
              </w:rPr>
            </w:pPr>
          </w:p>
        </w:tc>
        <w:tc>
          <w:tcPr>
            <w:tcW w:w="504" w:type="pct"/>
            <w:tcBorders>
              <w:top w:val="nil"/>
              <w:left w:val="nil"/>
              <w:bottom w:val="nil"/>
              <w:right w:val="nil"/>
            </w:tcBorders>
            <w:shd w:val="clear" w:color="auto" w:fill="auto"/>
            <w:hideMark/>
          </w:tcPr>
          <w:p w14:paraId="78021BC5" w14:textId="77777777" w:rsidR="008B6F2A" w:rsidRPr="003D56F0" w:rsidRDefault="008B6F2A" w:rsidP="003D56F0">
            <w:pPr>
              <w:rPr>
                <w:sz w:val="18"/>
                <w:szCs w:val="18"/>
              </w:rPr>
            </w:pPr>
          </w:p>
        </w:tc>
        <w:tc>
          <w:tcPr>
            <w:tcW w:w="584" w:type="pct"/>
            <w:gridSpan w:val="2"/>
            <w:tcBorders>
              <w:top w:val="nil"/>
              <w:left w:val="nil"/>
              <w:bottom w:val="nil"/>
              <w:right w:val="nil"/>
            </w:tcBorders>
            <w:shd w:val="clear" w:color="auto" w:fill="auto"/>
            <w:hideMark/>
          </w:tcPr>
          <w:p w14:paraId="03F03EE5" w14:textId="77777777" w:rsidR="008B6F2A" w:rsidRPr="003D56F0" w:rsidRDefault="008B6F2A" w:rsidP="003D56F0">
            <w:pPr>
              <w:rPr>
                <w:sz w:val="18"/>
                <w:szCs w:val="18"/>
              </w:rPr>
            </w:pPr>
          </w:p>
        </w:tc>
        <w:tc>
          <w:tcPr>
            <w:tcW w:w="581" w:type="pct"/>
            <w:gridSpan w:val="3"/>
            <w:tcBorders>
              <w:top w:val="nil"/>
              <w:left w:val="nil"/>
              <w:bottom w:val="nil"/>
              <w:right w:val="nil"/>
            </w:tcBorders>
            <w:shd w:val="clear" w:color="auto" w:fill="auto"/>
            <w:hideMark/>
          </w:tcPr>
          <w:p w14:paraId="32A98114" w14:textId="77777777" w:rsidR="008B6F2A" w:rsidRPr="003D56F0" w:rsidRDefault="008B6F2A" w:rsidP="003D56F0">
            <w:pPr>
              <w:rPr>
                <w:sz w:val="18"/>
                <w:szCs w:val="18"/>
              </w:rPr>
            </w:pPr>
          </w:p>
        </w:tc>
        <w:tc>
          <w:tcPr>
            <w:tcW w:w="601" w:type="pct"/>
            <w:gridSpan w:val="2"/>
            <w:tcBorders>
              <w:top w:val="nil"/>
              <w:left w:val="nil"/>
              <w:bottom w:val="nil"/>
              <w:right w:val="nil"/>
            </w:tcBorders>
            <w:shd w:val="clear" w:color="auto" w:fill="auto"/>
            <w:hideMark/>
          </w:tcPr>
          <w:p w14:paraId="2BC9A459" w14:textId="77777777" w:rsidR="008B6F2A" w:rsidRPr="003D56F0" w:rsidRDefault="008B6F2A" w:rsidP="003D56F0">
            <w:pPr>
              <w:rPr>
                <w:sz w:val="18"/>
                <w:szCs w:val="18"/>
              </w:rPr>
            </w:pPr>
          </w:p>
        </w:tc>
        <w:tc>
          <w:tcPr>
            <w:tcW w:w="603" w:type="pct"/>
            <w:gridSpan w:val="2"/>
            <w:tcBorders>
              <w:top w:val="nil"/>
              <w:left w:val="nil"/>
              <w:bottom w:val="nil"/>
              <w:right w:val="nil"/>
            </w:tcBorders>
            <w:shd w:val="clear" w:color="auto" w:fill="auto"/>
            <w:hideMark/>
          </w:tcPr>
          <w:p w14:paraId="71B2BA21" w14:textId="77777777" w:rsidR="008B6F2A" w:rsidRPr="003D56F0" w:rsidRDefault="008B6F2A" w:rsidP="003D56F0">
            <w:pPr>
              <w:rPr>
                <w:sz w:val="18"/>
                <w:szCs w:val="18"/>
              </w:rPr>
            </w:pPr>
          </w:p>
        </w:tc>
        <w:tc>
          <w:tcPr>
            <w:tcW w:w="602" w:type="pct"/>
            <w:gridSpan w:val="2"/>
            <w:tcBorders>
              <w:top w:val="nil"/>
              <w:left w:val="nil"/>
              <w:bottom w:val="nil"/>
              <w:right w:val="nil"/>
            </w:tcBorders>
            <w:shd w:val="clear" w:color="auto" w:fill="auto"/>
            <w:hideMark/>
          </w:tcPr>
          <w:p w14:paraId="709B6EFC" w14:textId="77777777" w:rsidR="008B6F2A" w:rsidRPr="003D56F0" w:rsidRDefault="008B6F2A" w:rsidP="003D56F0">
            <w:pPr>
              <w:rPr>
                <w:sz w:val="18"/>
                <w:szCs w:val="18"/>
              </w:rPr>
            </w:pPr>
          </w:p>
        </w:tc>
        <w:tc>
          <w:tcPr>
            <w:tcW w:w="905" w:type="pct"/>
            <w:gridSpan w:val="3"/>
            <w:tcBorders>
              <w:top w:val="nil"/>
              <w:left w:val="nil"/>
              <w:bottom w:val="nil"/>
              <w:right w:val="nil"/>
            </w:tcBorders>
            <w:shd w:val="clear" w:color="auto" w:fill="auto"/>
            <w:hideMark/>
          </w:tcPr>
          <w:p w14:paraId="15FDA213" w14:textId="77777777" w:rsidR="008B6F2A" w:rsidRPr="003D56F0" w:rsidRDefault="008B6F2A" w:rsidP="003D56F0">
            <w:pPr>
              <w:rPr>
                <w:sz w:val="18"/>
                <w:szCs w:val="18"/>
              </w:rPr>
            </w:pPr>
          </w:p>
        </w:tc>
      </w:tr>
      <w:tr w:rsidR="0087550E" w:rsidRPr="003D56F0" w14:paraId="037FA920" w14:textId="77777777" w:rsidTr="003D56F0">
        <w:trPr>
          <w:trHeight w:val="447"/>
        </w:trPr>
        <w:tc>
          <w:tcPr>
            <w:tcW w:w="620" w:type="pct"/>
            <w:tcBorders>
              <w:top w:val="nil"/>
              <w:left w:val="nil"/>
              <w:bottom w:val="nil"/>
              <w:right w:val="nil"/>
            </w:tcBorders>
            <w:shd w:val="clear" w:color="auto" w:fill="auto"/>
            <w:hideMark/>
          </w:tcPr>
          <w:p w14:paraId="23864F0C" w14:textId="4C5FE326" w:rsidR="008B6F2A" w:rsidRPr="003D56F0" w:rsidRDefault="008B6F2A" w:rsidP="003D56F0">
            <w:pPr>
              <w:rPr>
                <w:sz w:val="18"/>
                <w:szCs w:val="18"/>
              </w:rPr>
            </w:pPr>
          </w:p>
        </w:tc>
        <w:tc>
          <w:tcPr>
            <w:tcW w:w="504" w:type="pct"/>
            <w:tcBorders>
              <w:top w:val="nil"/>
              <w:left w:val="nil"/>
              <w:bottom w:val="nil"/>
              <w:right w:val="nil"/>
            </w:tcBorders>
            <w:shd w:val="clear" w:color="auto" w:fill="auto"/>
            <w:hideMark/>
          </w:tcPr>
          <w:p w14:paraId="7293462A" w14:textId="77777777" w:rsidR="008B6F2A" w:rsidRPr="003D56F0" w:rsidRDefault="008B6F2A" w:rsidP="003D56F0">
            <w:pPr>
              <w:rPr>
                <w:sz w:val="18"/>
                <w:szCs w:val="18"/>
              </w:rPr>
            </w:pPr>
          </w:p>
        </w:tc>
        <w:tc>
          <w:tcPr>
            <w:tcW w:w="584" w:type="pct"/>
            <w:gridSpan w:val="2"/>
            <w:tcBorders>
              <w:top w:val="single" w:sz="4" w:space="0" w:color="auto"/>
              <w:left w:val="single" w:sz="4" w:space="0" w:color="auto"/>
              <w:bottom w:val="single" w:sz="4" w:space="0" w:color="auto"/>
              <w:right w:val="single" w:sz="4" w:space="0" w:color="auto"/>
            </w:tcBorders>
            <w:shd w:val="clear" w:color="000000" w:fill="00B0F0"/>
            <w:hideMark/>
          </w:tcPr>
          <w:p w14:paraId="16F7AC0D" w14:textId="77777777" w:rsidR="008B6F2A" w:rsidRPr="003D56F0" w:rsidRDefault="008B6F2A" w:rsidP="003D56F0">
            <w:pPr>
              <w:rPr>
                <w:rFonts w:eastAsia="Times New Roman"/>
                <w:color w:val="000000"/>
                <w:sz w:val="18"/>
                <w:szCs w:val="18"/>
              </w:rPr>
            </w:pPr>
            <w:r w:rsidRPr="003D56F0">
              <w:rPr>
                <w:sz w:val="18"/>
                <w:szCs w:val="18"/>
              </w:rPr>
              <w:t> </w:t>
            </w:r>
          </w:p>
        </w:tc>
        <w:tc>
          <w:tcPr>
            <w:tcW w:w="2387" w:type="pct"/>
            <w:gridSpan w:val="9"/>
            <w:tcBorders>
              <w:top w:val="nil"/>
              <w:left w:val="nil"/>
              <w:bottom w:val="nil"/>
              <w:right w:val="nil"/>
            </w:tcBorders>
            <w:shd w:val="clear" w:color="auto" w:fill="auto"/>
            <w:hideMark/>
          </w:tcPr>
          <w:p w14:paraId="637A9AFB" w14:textId="494FA0C5" w:rsidR="008B6F2A" w:rsidRPr="003D56F0" w:rsidRDefault="008B6F2A" w:rsidP="003D56F0">
            <w:pPr>
              <w:rPr>
                <w:rFonts w:eastAsia="Times New Roman"/>
                <w:color w:val="000000"/>
                <w:sz w:val="18"/>
                <w:szCs w:val="18"/>
              </w:rPr>
            </w:pPr>
            <w:r w:rsidRPr="003D56F0">
              <w:rPr>
                <w:sz w:val="18"/>
                <w:szCs w:val="18"/>
              </w:rPr>
              <w:t>=</w:t>
            </w:r>
            <w:r w:rsidR="006A655A" w:rsidRPr="003D56F0">
              <w:rPr>
                <w:sz w:val="18"/>
                <w:szCs w:val="18"/>
              </w:rPr>
              <w:t xml:space="preserve"> </w:t>
            </w:r>
            <w:r w:rsidRPr="003D56F0">
              <w:rPr>
                <w:sz w:val="18"/>
                <w:szCs w:val="18"/>
              </w:rPr>
              <w:t>Dominant (less costly and more effective</w:t>
            </w:r>
            <w:r w:rsidR="006A655A" w:rsidRPr="003D56F0">
              <w:rPr>
                <w:sz w:val="18"/>
                <w:szCs w:val="18"/>
              </w:rPr>
              <w:t xml:space="preserve"> than comparator</w:t>
            </w:r>
            <w:r w:rsidRPr="003D56F0">
              <w:rPr>
                <w:sz w:val="18"/>
                <w:szCs w:val="18"/>
              </w:rPr>
              <w:t>)</w:t>
            </w:r>
          </w:p>
        </w:tc>
        <w:tc>
          <w:tcPr>
            <w:tcW w:w="905" w:type="pct"/>
            <w:gridSpan w:val="3"/>
            <w:tcBorders>
              <w:top w:val="nil"/>
              <w:left w:val="nil"/>
              <w:bottom w:val="nil"/>
              <w:right w:val="nil"/>
            </w:tcBorders>
            <w:shd w:val="clear" w:color="auto" w:fill="auto"/>
            <w:hideMark/>
          </w:tcPr>
          <w:p w14:paraId="719886FE" w14:textId="77777777" w:rsidR="008B6F2A" w:rsidRPr="003D56F0" w:rsidRDefault="008B6F2A" w:rsidP="003D56F0">
            <w:pPr>
              <w:rPr>
                <w:sz w:val="18"/>
                <w:szCs w:val="18"/>
              </w:rPr>
            </w:pPr>
          </w:p>
        </w:tc>
      </w:tr>
      <w:tr w:rsidR="0087550E" w:rsidRPr="003D56F0" w14:paraId="74CCEAC8" w14:textId="77777777" w:rsidTr="003D56F0">
        <w:trPr>
          <w:trHeight w:val="350"/>
        </w:trPr>
        <w:tc>
          <w:tcPr>
            <w:tcW w:w="620" w:type="pct"/>
            <w:tcBorders>
              <w:top w:val="nil"/>
              <w:left w:val="nil"/>
              <w:bottom w:val="nil"/>
              <w:right w:val="nil"/>
            </w:tcBorders>
            <w:shd w:val="clear" w:color="auto" w:fill="auto"/>
            <w:hideMark/>
          </w:tcPr>
          <w:p w14:paraId="5387E500" w14:textId="77777777" w:rsidR="008B6F2A" w:rsidRPr="003D56F0" w:rsidRDefault="008B6F2A" w:rsidP="003D56F0">
            <w:pPr>
              <w:rPr>
                <w:sz w:val="18"/>
                <w:szCs w:val="18"/>
              </w:rPr>
            </w:pPr>
          </w:p>
        </w:tc>
        <w:tc>
          <w:tcPr>
            <w:tcW w:w="504" w:type="pct"/>
            <w:tcBorders>
              <w:top w:val="nil"/>
              <w:left w:val="nil"/>
              <w:bottom w:val="nil"/>
              <w:right w:val="nil"/>
            </w:tcBorders>
            <w:shd w:val="clear" w:color="auto" w:fill="auto"/>
            <w:hideMark/>
          </w:tcPr>
          <w:p w14:paraId="1F690991" w14:textId="77777777" w:rsidR="008B6F2A" w:rsidRPr="003D56F0" w:rsidRDefault="008B6F2A" w:rsidP="003D56F0">
            <w:pPr>
              <w:rPr>
                <w:sz w:val="18"/>
                <w:szCs w:val="18"/>
              </w:rPr>
            </w:pPr>
          </w:p>
        </w:tc>
        <w:tc>
          <w:tcPr>
            <w:tcW w:w="584" w:type="pct"/>
            <w:gridSpan w:val="2"/>
            <w:tcBorders>
              <w:top w:val="nil"/>
              <w:left w:val="single" w:sz="4" w:space="0" w:color="auto"/>
              <w:bottom w:val="single" w:sz="4" w:space="0" w:color="auto"/>
              <w:right w:val="single" w:sz="4" w:space="0" w:color="auto"/>
            </w:tcBorders>
            <w:shd w:val="clear" w:color="000000" w:fill="92D050"/>
            <w:hideMark/>
          </w:tcPr>
          <w:p w14:paraId="1BA0CDFA" w14:textId="77777777" w:rsidR="008B6F2A" w:rsidRPr="003D56F0" w:rsidRDefault="008B6F2A" w:rsidP="003D56F0">
            <w:pPr>
              <w:rPr>
                <w:rFonts w:eastAsia="Times New Roman"/>
                <w:color w:val="000000"/>
                <w:sz w:val="18"/>
                <w:szCs w:val="18"/>
              </w:rPr>
            </w:pPr>
            <w:r w:rsidRPr="003D56F0">
              <w:rPr>
                <w:sz w:val="18"/>
                <w:szCs w:val="18"/>
              </w:rPr>
              <w:t> </w:t>
            </w:r>
          </w:p>
        </w:tc>
        <w:tc>
          <w:tcPr>
            <w:tcW w:w="2387" w:type="pct"/>
            <w:gridSpan w:val="9"/>
            <w:tcBorders>
              <w:top w:val="nil"/>
              <w:left w:val="nil"/>
              <w:bottom w:val="nil"/>
              <w:right w:val="nil"/>
            </w:tcBorders>
            <w:shd w:val="clear" w:color="auto" w:fill="auto"/>
            <w:hideMark/>
          </w:tcPr>
          <w:p w14:paraId="3BE887A4" w14:textId="2304F271" w:rsidR="008B6F2A" w:rsidRPr="003D56F0" w:rsidRDefault="008B6F2A" w:rsidP="003D56F0">
            <w:pPr>
              <w:rPr>
                <w:rFonts w:eastAsia="Times New Roman"/>
                <w:color w:val="000000"/>
                <w:sz w:val="18"/>
                <w:szCs w:val="18"/>
              </w:rPr>
            </w:pPr>
            <w:r w:rsidRPr="003D56F0">
              <w:rPr>
                <w:sz w:val="18"/>
                <w:szCs w:val="18"/>
              </w:rPr>
              <w:t>=</w:t>
            </w:r>
            <w:r w:rsidR="006A655A" w:rsidRPr="003D56F0">
              <w:rPr>
                <w:sz w:val="18"/>
                <w:szCs w:val="18"/>
              </w:rPr>
              <w:t xml:space="preserve"> </w:t>
            </w:r>
            <w:r w:rsidRPr="003D56F0">
              <w:rPr>
                <w:sz w:val="18"/>
                <w:szCs w:val="18"/>
              </w:rPr>
              <w:t>Cost effective at £20,000 per QALY</w:t>
            </w:r>
          </w:p>
        </w:tc>
        <w:tc>
          <w:tcPr>
            <w:tcW w:w="905" w:type="pct"/>
            <w:gridSpan w:val="3"/>
            <w:tcBorders>
              <w:top w:val="nil"/>
              <w:left w:val="nil"/>
              <w:bottom w:val="nil"/>
              <w:right w:val="nil"/>
            </w:tcBorders>
            <w:shd w:val="clear" w:color="auto" w:fill="auto"/>
            <w:hideMark/>
          </w:tcPr>
          <w:p w14:paraId="62A87CE9" w14:textId="77777777" w:rsidR="008B6F2A" w:rsidRPr="003D56F0" w:rsidRDefault="008B6F2A" w:rsidP="003D56F0">
            <w:pPr>
              <w:rPr>
                <w:sz w:val="18"/>
                <w:szCs w:val="18"/>
              </w:rPr>
            </w:pPr>
          </w:p>
        </w:tc>
      </w:tr>
      <w:tr w:rsidR="0087550E" w:rsidRPr="003D56F0" w14:paraId="7925CC26" w14:textId="77777777" w:rsidTr="003D56F0">
        <w:trPr>
          <w:trHeight w:val="350"/>
        </w:trPr>
        <w:tc>
          <w:tcPr>
            <w:tcW w:w="620" w:type="pct"/>
            <w:tcBorders>
              <w:top w:val="nil"/>
              <w:left w:val="nil"/>
              <w:bottom w:val="nil"/>
              <w:right w:val="nil"/>
            </w:tcBorders>
            <w:shd w:val="clear" w:color="auto" w:fill="auto"/>
            <w:hideMark/>
          </w:tcPr>
          <w:p w14:paraId="7457E953" w14:textId="77777777" w:rsidR="008B6F2A" w:rsidRPr="003D56F0" w:rsidRDefault="008B6F2A" w:rsidP="003D56F0">
            <w:pPr>
              <w:rPr>
                <w:sz w:val="18"/>
                <w:szCs w:val="18"/>
              </w:rPr>
            </w:pPr>
          </w:p>
        </w:tc>
        <w:tc>
          <w:tcPr>
            <w:tcW w:w="504" w:type="pct"/>
            <w:tcBorders>
              <w:top w:val="nil"/>
              <w:left w:val="nil"/>
              <w:bottom w:val="nil"/>
              <w:right w:val="nil"/>
            </w:tcBorders>
            <w:shd w:val="clear" w:color="auto" w:fill="auto"/>
            <w:hideMark/>
          </w:tcPr>
          <w:p w14:paraId="6B9EF9EE" w14:textId="77777777" w:rsidR="008B6F2A" w:rsidRPr="003D56F0" w:rsidRDefault="008B6F2A" w:rsidP="003D56F0">
            <w:pPr>
              <w:rPr>
                <w:sz w:val="18"/>
                <w:szCs w:val="18"/>
              </w:rPr>
            </w:pPr>
          </w:p>
        </w:tc>
        <w:tc>
          <w:tcPr>
            <w:tcW w:w="584" w:type="pct"/>
            <w:gridSpan w:val="2"/>
            <w:tcBorders>
              <w:top w:val="nil"/>
              <w:left w:val="single" w:sz="4" w:space="0" w:color="auto"/>
              <w:bottom w:val="single" w:sz="4" w:space="0" w:color="auto"/>
              <w:right w:val="single" w:sz="4" w:space="0" w:color="auto"/>
            </w:tcBorders>
            <w:shd w:val="clear" w:color="000000" w:fill="FF0000"/>
            <w:hideMark/>
          </w:tcPr>
          <w:p w14:paraId="4CE70523" w14:textId="77777777" w:rsidR="008B6F2A" w:rsidRPr="003D56F0" w:rsidRDefault="008B6F2A" w:rsidP="003D56F0">
            <w:pPr>
              <w:rPr>
                <w:rFonts w:eastAsia="Times New Roman"/>
                <w:color w:val="000000"/>
                <w:sz w:val="18"/>
                <w:szCs w:val="18"/>
              </w:rPr>
            </w:pPr>
            <w:r w:rsidRPr="003D56F0">
              <w:rPr>
                <w:sz w:val="18"/>
                <w:szCs w:val="18"/>
              </w:rPr>
              <w:t> </w:t>
            </w:r>
          </w:p>
        </w:tc>
        <w:tc>
          <w:tcPr>
            <w:tcW w:w="2387" w:type="pct"/>
            <w:gridSpan w:val="9"/>
            <w:tcBorders>
              <w:top w:val="nil"/>
              <w:left w:val="nil"/>
              <w:bottom w:val="nil"/>
              <w:right w:val="nil"/>
            </w:tcBorders>
            <w:shd w:val="clear" w:color="auto" w:fill="auto"/>
            <w:hideMark/>
          </w:tcPr>
          <w:p w14:paraId="79E50E10" w14:textId="5EEA0432" w:rsidR="008B6F2A" w:rsidRPr="003D56F0" w:rsidRDefault="008B6F2A" w:rsidP="003D56F0">
            <w:pPr>
              <w:rPr>
                <w:rFonts w:eastAsia="Times New Roman"/>
                <w:color w:val="000000"/>
                <w:sz w:val="18"/>
                <w:szCs w:val="18"/>
              </w:rPr>
            </w:pPr>
            <w:r w:rsidRPr="003D56F0">
              <w:rPr>
                <w:sz w:val="18"/>
                <w:szCs w:val="18"/>
              </w:rPr>
              <w:t>=</w:t>
            </w:r>
            <w:r w:rsidR="006A655A" w:rsidRPr="003D56F0">
              <w:rPr>
                <w:sz w:val="18"/>
                <w:szCs w:val="18"/>
              </w:rPr>
              <w:t xml:space="preserve"> </w:t>
            </w:r>
            <w:r w:rsidRPr="003D56F0">
              <w:rPr>
                <w:sz w:val="18"/>
                <w:szCs w:val="18"/>
              </w:rPr>
              <w:t>Not cost effective</w:t>
            </w:r>
          </w:p>
        </w:tc>
        <w:tc>
          <w:tcPr>
            <w:tcW w:w="905" w:type="pct"/>
            <w:gridSpan w:val="3"/>
            <w:tcBorders>
              <w:top w:val="nil"/>
              <w:left w:val="nil"/>
              <w:bottom w:val="nil"/>
              <w:right w:val="nil"/>
            </w:tcBorders>
            <w:shd w:val="clear" w:color="auto" w:fill="auto"/>
            <w:hideMark/>
          </w:tcPr>
          <w:p w14:paraId="63596FE0" w14:textId="77777777" w:rsidR="008B6F2A" w:rsidRPr="003D56F0" w:rsidRDefault="008B6F2A" w:rsidP="003D56F0">
            <w:pPr>
              <w:rPr>
                <w:sz w:val="18"/>
                <w:szCs w:val="18"/>
              </w:rPr>
            </w:pPr>
          </w:p>
        </w:tc>
      </w:tr>
    </w:tbl>
    <w:p w14:paraId="1D8270CD" w14:textId="6EFC2241" w:rsidR="00F56C53" w:rsidRDefault="007F2A06" w:rsidP="003D56F0">
      <w:pPr>
        <w:rPr>
          <w:sz w:val="18"/>
          <w:szCs w:val="18"/>
        </w:rPr>
      </w:pPr>
      <w:r>
        <w:rPr>
          <w:sz w:val="18"/>
          <w:szCs w:val="18"/>
        </w:rPr>
        <w:t xml:space="preserve">                                                               </w:t>
      </w:r>
      <w:r w:rsidR="006A655A" w:rsidRPr="003D56F0">
        <w:rPr>
          <w:sz w:val="18"/>
          <w:szCs w:val="18"/>
        </w:rPr>
        <w:t>DR = discount rate</w:t>
      </w:r>
    </w:p>
    <w:p w14:paraId="29A970A6" w14:textId="59BB022A" w:rsidR="007F2A06" w:rsidRPr="003D56F0" w:rsidRDefault="007F2A06" w:rsidP="003D56F0">
      <w:pPr>
        <w:rPr>
          <w:sz w:val="18"/>
          <w:szCs w:val="18"/>
        </w:rPr>
      </w:pPr>
      <w:r>
        <w:rPr>
          <w:sz w:val="18"/>
          <w:szCs w:val="18"/>
        </w:rPr>
        <w:t xml:space="preserve">                                                                IC = intervention cost</w:t>
      </w:r>
    </w:p>
    <w:p w14:paraId="302E2F5B" w14:textId="40497DB8" w:rsidR="005B3045" w:rsidRDefault="005B3045" w:rsidP="00AD2788">
      <w:r>
        <w:br w:type="page"/>
      </w:r>
    </w:p>
    <w:p w14:paraId="72C9EB06" w14:textId="5C2127AE" w:rsidR="006D622C" w:rsidRDefault="006D622C" w:rsidP="00AD2788">
      <w:pPr>
        <w:pStyle w:val="Heading3"/>
      </w:pPr>
      <w:bookmarkStart w:id="72" w:name="_Toc452035651"/>
      <w:r>
        <w:lastRenderedPageBreak/>
        <w:t>6.2 Evidence Statements</w:t>
      </w:r>
      <w:bookmarkEnd w:id="72"/>
    </w:p>
    <w:p w14:paraId="7EFC29E1" w14:textId="77777777" w:rsidR="00243469" w:rsidRPr="00243469" w:rsidRDefault="00243469"/>
    <w:p w14:paraId="332F47B8" w14:textId="77777777" w:rsidR="00A901B2" w:rsidRDefault="00A901B2">
      <w:r>
        <w:t>Evidence statement 1</w:t>
      </w:r>
    </w:p>
    <w:p w14:paraId="37DF3044" w14:textId="77777777" w:rsidR="00A901B2" w:rsidRDefault="00A901B2"/>
    <w:p w14:paraId="084B730E" w14:textId="528152F8" w:rsidR="00A901B2" w:rsidRDefault="00A901B2">
      <w:r>
        <w:t xml:space="preserve">An economic model was built based on an experimental intervention with families of substance users by Catalano et al (1999) and a follow-up study by Haggerty et al (2008). </w:t>
      </w:r>
      <w:r w:rsidRPr="00391C0A">
        <w:t xml:space="preserve">The economic and health </w:t>
      </w:r>
      <w:r>
        <w:t xml:space="preserve">benefits </w:t>
      </w:r>
      <w:r w:rsidRPr="00391C0A">
        <w:t>are limited to 12 months in the model</w:t>
      </w:r>
      <w:r>
        <w:t xml:space="preserve"> as</w:t>
      </w:r>
      <w:r w:rsidRPr="00391C0A">
        <w:t xml:space="preserve"> beyond 12 months of the study, each individual in the intervention or control cohorts ha</w:t>
      </w:r>
      <w:r>
        <w:t>d</w:t>
      </w:r>
      <w:r w:rsidRPr="00391C0A">
        <w:t xml:space="preserve"> the same probability of using cannabis.</w:t>
      </w:r>
      <w:r>
        <w:t xml:space="preserve"> The model found that this intervention was unlikely to be cost effective at a willingness to pay threshold of £20,000 per QALY due to the restricted duration of benefits and </w:t>
      </w:r>
      <w:r w:rsidR="006A655A">
        <w:t>high intervention costs (£3,367</w:t>
      </w:r>
      <w:r>
        <w:t>) of ‘Focus on Families’ for one year. The ICER (incremental cost effectiveness ratio) in the base case scenario was around £99m per QALY gained. The intervention would have to cost less than £4 per person to be considered cost-effective, based on results being limited to 12 months.</w:t>
      </w:r>
    </w:p>
    <w:p w14:paraId="5189851A" w14:textId="77777777" w:rsidR="00A901B2" w:rsidRDefault="00A901B2"/>
    <w:p w14:paraId="23C405F2" w14:textId="77777777" w:rsidR="00A901B2" w:rsidRDefault="00A901B2">
      <w:r>
        <w:t>Evidence statement 2</w:t>
      </w:r>
    </w:p>
    <w:p w14:paraId="3224E40A" w14:textId="77777777" w:rsidR="00A901B2" w:rsidRDefault="00A901B2"/>
    <w:p w14:paraId="4C4D2647" w14:textId="77777777" w:rsidR="00A901B2" w:rsidRPr="004925FE" w:rsidRDefault="00A901B2">
      <w:r w:rsidRPr="004925FE">
        <w:t>An economic model was informed by results from Lee et al (2010) based on a brief, web-based personalized feedback selective intervention for college student cannabis use. Subgroup analysis found promising effects for those with a family history of drug problems and therefore supported selective targeting of the intervention which was applied in the model. Based on a cost of £15 the intervention would not be cost effective but if the intervention could be provided at a low cost of £1 or less then it would be dominant, i.e. less costly and more effective than a ‘do nothing’ alternative, as it provides resource savings and reductions in cannabis use. The ICER (incremental cost effectiveness ratio) in the base case scenario was around £329,000 per QALY gained.</w:t>
      </w:r>
    </w:p>
    <w:p w14:paraId="46C2590B" w14:textId="77777777" w:rsidR="00A901B2" w:rsidRPr="006C2AB0" w:rsidRDefault="00A901B2"/>
    <w:p w14:paraId="28DEE060" w14:textId="77777777" w:rsidR="00A901B2" w:rsidRDefault="00A901B2">
      <w:r>
        <w:t>Evidence statement 3</w:t>
      </w:r>
    </w:p>
    <w:p w14:paraId="09529380" w14:textId="77777777" w:rsidR="00A901B2" w:rsidRDefault="00A901B2"/>
    <w:p w14:paraId="3FF15A0F" w14:textId="64F77E47" w:rsidR="00A901B2" w:rsidRPr="00155457" w:rsidRDefault="00A901B2">
      <w:r>
        <w:t xml:space="preserve">An economic model was informed by Prado et al (2012) based on an intervention </w:t>
      </w:r>
      <w:r w:rsidRPr="004925FE">
        <w:t>called Familias Unidas to reduce drug use (in particular, cannabis) and alcohol use. Familias Unidas is most effective for adolescents with parents exhibiting high stress and lower levels of social support. Familias Unidas includes eight 2-hour multi-parent group sessions and four 1-hour family visits</w:t>
      </w:r>
      <w:r w:rsidR="00940B3D">
        <w:t xml:space="preserve">. </w:t>
      </w:r>
      <w:r w:rsidRPr="004925FE">
        <w:t>The model found that this intervention was unlikely to be cost effective at a willingness to pay threshold of £20,000 per QALY due to restricted benefits of the intervention and the costs of delivery (£154.25 per family). The ICER (incremental cost effectiveness ratio) in the base case scenario was around £241,000 per QALY gained. The intervention would have to cost less than £135 and the effects extrapolated to an additional 12 months to be considered cost-effective.</w:t>
      </w:r>
    </w:p>
    <w:p w14:paraId="2918D302" w14:textId="77777777" w:rsidR="00A901B2" w:rsidRDefault="00A901B2"/>
    <w:p w14:paraId="3863BA3C" w14:textId="77777777" w:rsidR="00A901B2" w:rsidRDefault="00A901B2">
      <w:r>
        <w:lastRenderedPageBreak/>
        <w:t>Evidence statement 4</w:t>
      </w:r>
    </w:p>
    <w:p w14:paraId="64EC66B6" w14:textId="77777777" w:rsidR="00A901B2" w:rsidRPr="00155457" w:rsidRDefault="00A901B2"/>
    <w:p w14:paraId="5053B31E" w14:textId="5DD4D37D" w:rsidR="00A901B2" w:rsidRDefault="00C73461">
      <w:r w:rsidRPr="00C73461">
        <w:t>An economic model based on a study of motivational interviewing to reduce ecstasy use in those attending nightclubs, based on Martin et al. 2010, found that the intervention was not likely to be cost effective at a willingness to pay threshold of £20,000 per QALY gained. The ICER (incremental cost effectiveness ratio) in the base case scenario was around £48</w:t>
      </w:r>
      <w:r w:rsidR="003A4C15">
        <w:t xml:space="preserve">5,000 </w:t>
      </w:r>
      <w:r w:rsidRPr="00C73461">
        <w:t>per QALY gained. Even if the effect of reducing drug use was maintained for at least two years, the cost halved to £32 and a discount rate of 1.5% applied, the ICER was still £70,</w:t>
      </w:r>
      <w:r w:rsidR="003A4C15">
        <w:t>000</w:t>
      </w:r>
      <w:r w:rsidRPr="00C73461">
        <w:t>. In fact, the intervention could only be cost effective if delivered at a cost of £4.20 per hour or less in the base case scenario.</w:t>
      </w:r>
    </w:p>
    <w:p w14:paraId="5B09B10D" w14:textId="77777777" w:rsidR="00C73461" w:rsidRDefault="00C73461"/>
    <w:p w14:paraId="360B6BE0" w14:textId="77777777" w:rsidR="00A901B2" w:rsidRPr="00155457" w:rsidRDefault="00A901B2">
      <w:r>
        <w:t>Evidence Statement 5</w:t>
      </w:r>
    </w:p>
    <w:p w14:paraId="6F365261" w14:textId="77777777" w:rsidR="00A901B2" w:rsidRPr="00155457" w:rsidRDefault="00A901B2"/>
    <w:p w14:paraId="1203438F" w14:textId="77777777" w:rsidR="00A901B2" w:rsidRDefault="00A901B2">
      <w:r w:rsidRPr="00155457">
        <w:t xml:space="preserve">An economic model based on a study of motivational interviewing to reduce drug use in young gay and bisexual men, based on </w:t>
      </w:r>
      <w:r w:rsidRPr="00155457">
        <w:fldChar w:fldCharType="begin" w:fldLock="1"/>
      </w:r>
      <w:r w:rsidRPr="00155457">
        <w:instrText>ADDIN CSL_CITATION { "citationItems" : [ { "id" : "ITEM-1", "itemData" : { "DOI" : "10.1037/a0035311", "ISBN" : "1939-2117(Electronic);0022-006X(Print)", "ISSN" : "1939-2117", "PMID" : "24364800", "abstract" : "OBJECTIVE: Young gay and bisexual men (YGBM) are disproportionally at risk of HIV infection due to sexual risk behaviors, which are often exacerbated by recreational drug use. However, there have been no evidence-based interventions targeting substance-using YGBM. This study was designed to test a brief motivational interviewing (MI) intervention to reduce both risky sex and drug use among HIV-negative YGBM.\\n\\nMETHOD: A total of 143 non-treatment-seeking YGBM (ages 18-29 years) who reported recent unprotected anal intercourse (UAI) and recreational drug use were randomized to 4 sessions of MI or 4 sessions of content-matched education. Participants were followed every 3 months for 1 year, and behavior change was examined across conditions and time for aggregated and day-level drug use and UAI.\\n\\nRESULTS: Regardless of condition, participants reported significant reductions in UAI and substance use over time. However, YGBM in the MI condition were 18% less likely to use drugs and 24% less likely to engage in UAI than YGBM in the education condition.\\n\\nCONCLUSIONS: The results support the utility of MI, compared with a content-matched education condition, to significantly reduce both UAI and drug use among YGBM. Interventions may benefit from an emphasis on substance use reductions, which might indirectly lead to less frequent UAI. Future research efforts should examine whether this type of brief MI intervention is effective when delivered by clinic or community settings utilized by YGBM.", "author" : [ { "dropping-particle" : "", "family" : "Parsons", "given" : "Jeffrey T.;", "non-dropping-particle" : "", "parse-names" : false, "suffix" : "" }, { "dropping-particle" : "", "family" : "Lelutiu-Weinberger", "given" : "Corina", "non-dropping-particle" : "", "parse-names" : false, "suffix" : "" }, { "dropping-particle" : "", "family" : "Michael", "given" : "Botsko.;", "non-dropping-particle" : "", "parse-names" : false, "suffix" : "" }, { "dropping-particle" : "", "family" : "Golub", "given" : "Sarit A.", "non-dropping-particle" : "", "parse-names" : false, "suffix" : "" } ], "container-title" : "Journal of consulting and clinical psychology", "id" : "ITEM-1", "issue" : "1", "issued" : { "date-parts" : [ [ "2014" ] ] }, "page" : "9-18", "title" : "A randomized controlled trial utilizing motivational interviewing to reduce HIV risk and drug use in young gay and bisexual men.", "type" : "article-journal", "volume" : "82" }, "uris" : [ "http://www.mendeley.com/documents/?uuid=79b0e7e0-d531-429c-ab47-a6973bfb2e73" ] } ], "mendeley" : { "formattedCitation" : "(J. T. . Parsons et al. 2014)", "manualFormatting" : "Parsons et al., (2014)", "plainTextFormattedCitation" : "(J. T. . Parsons et al. 2014)", "previouslyFormattedCitation" : "(J. T. . Parsons et al. 2014)" }, "properties" : { "noteIndex" : 0 }, "schema" : "https://github.com/citation-style-language/schema/raw/master/csl-citation.json" }</w:instrText>
      </w:r>
      <w:r w:rsidRPr="00155457">
        <w:fldChar w:fldCharType="separate"/>
      </w:r>
      <w:r w:rsidRPr="00155457">
        <w:rPr>
          <w:noProof/>
        </w:rPr>
        <w:t>Parsons et al., (2014)</w:t>
      </w:r>
      <w:r w:rsidRPr="00155457">
        <w:fldChar w:fldCharType="end"/>
      </w:r>
      <w:r w:rsidRPr="00155457">
        <w:t xml:space="preserve"> found that the intervention was not likely to be cost effective at a willingness to pay threshold of £20,000 per QALY gained. </w:t>
      </w:r>
      <w:r>
        <w:t xml:space="preserve">The ICER (incremental cost effectiveness ratio) in the base case scenario was around £301,000 per QALY gained. </w:t>
      </w:r>
      <w:r w:rsidRPr="00155457">
        <w:t>This</w:t>
      </w:r>
      <w:r w:rsidRPr="00622755">
        <w:t xml:space="preserve"> intervention would only be cost effective if the effect of reducing drug use was maintained for at least two years, and if the intervention could be provided at a cost of less than £88.</w:t>
      </w:r>
    </w:p>
    <w:p w14:paraId="22438337" w14:textId="77777777" w:rsidR="00A901B2" w:rsidRDefault="00A901B2"/>
    <w:p w14:paraId="130DACA6" w14:textId="77777777" w:rsidR="00A901B2" w:rsidRPr="00622755" w:rsidRDefault="00A901B2">
      <w:r>
        <w:t>Evidence Statement 6</w:t>
      </w:r>
    </w:p>
    <w:p w14:paraId="0EA523B7" w14:textId="77777777" w:rsidR="00A901B2" w:rsidRPr="00622755" w:rsidRDefault="00A901B2"/>
    <w:p w14:paraId="7057DAED" w14:textId="77777777" w:rsidR="00A901B2" w:rsidRDefault="00A901B2">
      <w:r w:rsidRPr="00622755">
        <w:t xml:space="preserve">An economic model based on a study of a motivational interviewing intervention to reduce club drug use and HIV risk behaviours among men who have sex with men by Morgenstern et al. (2009) found that the intervention was not likely to be cost effective at a willingness to pay threshold of £20,000 per QALY gained. </w:t>
      </w:r>
      <w:r>
        <w:t xml:space="preserve">The ICER (incremental cost effectiveness ratio) in the base case scenario was around £131,000 per QALY gained. </w:t>
      </w:r>
      <w:r w:rsidRPr="00622755">
        <w:t>This intervention would only be cost effective if the effect of reducing drug use was maintained for at least two years, and if the intervention could be provided at a cost of less than £190. The intervention was targeted to men with an average age of 38 but if it could be provided to younger men then it would be m</w:t>
      </w:r>
      <w:r>
        <w:t>ore likely to be cost effective as younger people are more likely to become drug dependent and to lose more years of life through early death associated with drug use.</w:t>
      </w:r>
    </w:p>
    <w:p w14:paraId="75769FD2" w14:textId="77777777" w:rsidR="00A901B2" w:rsidRDefault="00A901B2"/>
    <w:p w14:paraId="62DE2084" w14:textId="77777777" w:rsidR="00A901B2" w:rsidRPr="00622755" w:rsidRDefault="00A901B2">
      <w:r>
        <w:t>Evidence Statement 7</w:t>
      </w:r>
    </w:p>
    <w:p w14:paraId="7E925113" w14:textId="77777777" w:rsidR="00A901B2" w:rsidRPr="00622755" w:rsidRDefault="00A901B2"/>
    <w:p w14:paraId="4E3D4009" w14:textId="77777777" w:rsidR="00A901B2" w:rsidRDefault="00A901B2">
      <w:r w:rsidRPr="00622755">
        <w:t>An economic model based on a study of a family intervention called STRIVE (Support to Reunite, Involve and Value Each Other)</w:t>
      </w:r>
      <w:r>
        <w:t xml:space="preserve"> by Milburn et al (2012)</w:t>
      </w:r>
      <w:r w:rsidRPr="00622755">
        <w:t xml:space="preserve"> found that this intervention was not likely to be cost effective at a willingness to pay threshold of £20,000 per QALY. </w:t>
      </w:r>
      <w:r>
        <w:t xml:space="preserve">The ICER (incremental cost effectiveness ratio) in the base case scenario was around £117,000 per QALY gained. </w:t>
      </w:r>
      <w:r w:rsidRPr="00622755">
        <w:t xml:space="preserve">If the intervention </w:t>
      </w:r>
      <w:r w:rsidRPr="00622755">
        <w:lastRenderedPageBreak/>
        <w:t>cost was less than £500, and the intervention had a longer term effect over two years or more</w:t>
      </w:r>
      <w:r>
        <w:t>,</w:t>
      </w:r>
      <w:r w:rsidRPr="00622755">
        <w:t xml:space="preserve"> then it </w:t>
      </w:r>
      <w:r>
        <w:t>would</w:t>
      </w:r>
      <w:r w:rsidRPr="00622755">
        <w:t xml:space="preserve"> be cost effective.</w:t>
      </w:r>
    </w:p>
    <w:p w14:paraId="1ECE75F5" w14:textId="77777777" w:rsidR="00A901B2" w:rsidRDefault="00A901B2" w:rsidP="003D56F0"/>
    <w:p w14:paraId="719005ED" w14:textId="77777777" w:rsidR="00A901B2" w:rsidRDefault="00A901B2" w:rsidP="00CC7EC2">
      <w:r w:rsidRPr="004925FE">
        <w:t>Evidence Statement 8</w:t>
      </w:r>
    </w:p>
    <w:p w14:paraId="3D4051B4" w14:textId="77777777" w:rsidR="00A901B2" w:rsidRPr="004925FE" w:rsidRDefault="00A901B2" w:rsidP="00AD2788"/>
    <w:p w14:paraId="678B42ED" w14:textId="77777777" w:rsidR="00A901B2" w:rsidRPr="004925FE" w:rsidRDefault="00A901B2">
      <w:r w:rsidRPr="004925FE">
        <w:t xml:space="preserve">The results of the economic modelling suggest that, to be cost effective, drug use prevention interventions would need to cost less than £100 per person, and would need to reduce drug use by at least five percentage points, maintained over two years (for example to reduce drug use from 20% to 15% of a population). Targeting interventions at individuals who are at high risk of drug use or harmful consequences of drug use, or at individuals who are already drug users, would most likely make interventions more efficient. If interventions can prevent more harmful forms of drug use like opiate use then they will be more likely to be cost effective. </w:t>
      </w:r>
    </w:p>
    <w:p w14:paraId="64936473" w14:textId="77777777" w:rsidR="00A901B2" w:rsidRPr="004925FE" w:rsidRDefault="00A901B2"/>
    <w:p w14:paraId="05816E44" w14:textId="77777777" w:rsidR="00A901B2" w:rsidRPr="004925FE" w:rsidRDefault="00A901B2">
      <w:r w:rsidRPr="004925FE">
        <w:t>Evidence Statement 9</w:t>
      </w:r>
    </w:p>
    <w:p w14:paraId="516FDC0D" w14:textId="77777777" w:rsidR="00A901B2" w:rsidRPr="004925FE" w:rsidRDefault="00A901B2"/>
    <w:p w14:paraId="4FA1AECC" w14:textId="66797D44" w:rsidR="0006595A" w:rsidRPr="002006E5" w:rsidRDefault="0006595A">
      <w:r w:rsidRPr="002006E5">
        <w:t xml:space="preserve">If drug prevention interventions </w:t>
      </w:r>
      <w:r>
        <w:t xml:space="preserve">that are effective over a period of time </w:t>
      </w:r>
      <w:r w:rsidRPr="002006E5">
        <w:t xml:space="preserve">can be provided as part of multicomponent interventions at </w:t>
      </w:r>
      <w:r>
        <w:t>an additional</w:t>
      </w:r>
      <w:r w:rsidRPr="004925FE">
        <w:t xml:space="preserve"> cost </w:t>
      </w:r>
      <w:r w:rsidRPr="002006E5">
        <w:t xml:space="preserve">of less than </w:t>
      </w:r>
      <w:r>
        <w:t xml:space="preserve">around </w:t>
      </w:r>
      <w:r w:rsidRPr="002006E5">
        <w:t xml:space="preserve">£100, then they </w:t>
      </w:r>
      <w:r>
        <w:t>may</w:t>
      </w:r>
      <w:r w:rsidRPr="002006E5">
        <w:t xml:space="preserve"> represent a cost effective component of these programmes. </w:t>
      </w:r>
    </w:p>
    <w:p w14:paraId="4FF8D8BC" w14:textId="0F5CED06" w:rsidR="00773901" w:rsidRDefault="00A901B2">
      <w:r w:rsidDel="00773901">
        <w:t xml:space="preserve"> </w:t>
      </w:r>
    </w:p>
    <w:p w14:paraId="5B316F53" w14:textId="6A57B5E7" w:rsidR="006D622C" w:rsidRDefault="006D622C">
      <w:pPr>
        <w:pStyle w:val="Heading3"/>
      </w:pPr>
      <w:bookmarkStart w:id="73" w:name="_Toc452035652"/>
      <w:r>
        <w:t>6.3 Discussion</w:t>
      </w:r>
      <w:bookmarkEnd w:id="73"/>
    </w:p>
    <w:p w14:paraId="058E66C9" w14:textId="77777777" w:rsidR="006D622C" w:rsidRDefault="006D622C"/>
    <w:p w14:paraId="41FD730C" w14:textId="77777777" w:rsidR="00C242F8" w:rsidRDefault="006D622C">
      <w:r>
        <w:t xml:space="preserve">The </w:t>
      </w:r>
      <w:r w:rsidR="00461255">
        <w:t xml:space="preserve">economic modelling </w:t>
      </w:r>
      <w:r>
        <w:t xml:space="preserve">results </w:t>
      </w:r>
      <w:r w:rsidR="00461255">
        <w:t>indicate</w:t>
      </w:r>
      <w:r>
        <w:t xml:space="preserve"> that </w:t>
      </w:r>
      <w:r w:rsidR="009736BE">
        <w:t>few</w:t>
      </w:r>
      <w:r>
        <w:t xml:space="preserve"> of these interventions are likely to be</w:t>
      </w:r>
      <w:r w:rsidR="00F56C53">
        <w:t xml:space="preserve"> cost effective. This is because</w:t>
      </w:r>
      <w:r w:rsidR="00C242F8">
        <w:t>:</w:t>
      </w:r>
    </w:p>
    <w:p w14:paraId="2E703E20" w14:textId="15BEB8E7" w:rsidR="00C242F8" w:rsidRDefault="00C242F8" w:rsidP="003D56F0">
      <w:pPr>
        <w:pStyle w:val="ListParagraph"/>
        <w:numPr>
          <w:ilvl w:val="0"/>
          <w:numId w:val="49"/>
        </w:numPr>
      </w:pPr>
      <w:r>
        <w:t>s</w:t>
      </w:r>
      <w:r w:rsidR="00F56C53" w:rsidRPr="00DA3868">
        <w:t>ome</w:t>
      </w:r>
      <w:r>
        <w:t xml:space="preserve"> interventions</w:t>
      </w:r>
      <w:r w:rsidR="00F56C53" w:rsidRPr="00DA3868">
        <w:t xml:space="preserve"> only have a marginal effect</w:t>
      </w:r>
      <w:r w:rsidR="00F56C53">
        <w:t xml:space="preserve"> on drug use</w:t>
      </w:r>
      <w:r w:rsidR="00F56C53" w:rsidRPr="00DA3868">
        <w:t xml:space="preserve"> (</w:t>
      </w:r>
      <w:r w:rsidR="00AA557B">
        <w:t>for example</w:t>
      </w:r>
      <w:r w:rsidR="00F56C53" w:rsidRPr="00DA3868">
        <w:t>. reduc</w:t>
      </w:r>
      <w:r w:rsidR="00F56C53" w:rsidRPr="00AA557B">
        <w:t>ing drug use by 2 percentage points)</w:t>
      </w:r>
      <w:r>
        <w:t>,</w:t>
      </w:r>
    </w:p>
    <w:p w14:paraId="03B72A0F" w14:textId="2D63F146" w:rsidR="00C242F8" w:rsidRDefault="00C242F8" w:rsidP="003D56F0">
      <w:pPr>
        <w:pStyle w:val="ListParagraph"/>
        <w:numPr>
          <w:ilvl w:val="0"/>
          <w:numId w:val="49"/>
        </w:numPr>
      </w:pPr>
      <w:r>
        <w:t>the</w:t>
      </w:r>
      <w:r w:rsidR="00F56C53" w:rsidRPr="00AA557B">
        <w:t xml:space="preserve"> interventions don’t have evidence</w:t>
      </w:r>
      <w:r w:rsidR="00F56C53">
        <w:t xml:space="preserve"> of having a long term</w:t>
      </w:r>
      <w:r>
        <w:t>,</w:t>
      </w:r>
    </w:p>
    <w:p w14:paraId="0B349C93" w14:textId="6E2BD847" w:rsidR="00C242F8" w:rsidRDefault="00C242F8" w:rsidP="003D56F0">
      <w:pPr>
        <w:pStyle w:val="ListParagraph"/>
        <w:numPr>
          <w:ilvl w:val="0"/>
          <w:numId w:val="49"/>
        </w:numPr>
      </w:pPr>
      <w:r>
        <w:t>s</w:t>
      </w:r>
      <w:r w:rsidR="00F56C53" w:rsidRPr="00DA3868">
        <w:t xml:space="preserve">ome </w:t>
      </w:r>
      <w:r w:rsidR="00F56C53">
        <w:t xml:space="preserve">interventions </w:t>
      </w:r>
      <w:r w:rsidR="00F56C53" w:rsidRPr="00DA3868">
        <w:t xml:space="preserve">are </w:t>
      </w:r>
      <w:r w:rsidR="00F56C53">
        <w:t>relatively</w:t>
      </w:r>
      <w:r w:rsidR="00F56C53" w:rsidRPr="00DA3868">
        <w:t xml:space="preserve"> high cost </w:t>
      </w:r>
      <w:r w:rsidR="00983EF8">
        <w:t>for</w:t>
      </w:r>
      <w:r w:rsidR="00F56C53">
        <w:t xml:space="preserve"> preventative interventions</w:t>
      </w:r>
      <w:r>
        <w:t>, and</w:t>
      </w:r>
    </w:p>
    <w:p w14:paraId="31F9590E" w14:textId="188B7882" w:rsidR="00C242F8" w:rsidRDefault="00F56C53" w:rsidP="003D56F0">
      <w:pPr>
        <w:pStyle w:val="ListParagraph"/>
        <w:numPr>
          <w:ilvl w:val="0"/>
          <w:numId w:val="49"/>
        </w:numPr>
      </w:pPr>
      <w:r>
        <w:t>the s</w:t>
      </w:r>
      <w:r w:rsidRPr="00DA3868">
        <w:t xml:space="preserve">ocial costs per user of cannabis and ecstasy are lower than other </w:t>
      </w:r>
      <w:r>
        <w:t xml:space="preserve">more harmful </w:t>
      </w:r>
      <w:r w:rsidRPr="00DA3868">
        <w:t xml:space="preserve">drugs so </w:t>
      </w:r>
      <w:r>
        <w:t xml:space="preserve">the </w:t>
      </w:r>
      <w:r w:rsidRPr="00DA3868">
        <w:t>opportunity</w:t>
      </w:r>
      <w:r w:rsidR="00C242F8">
        <w:t xml:space="preserve"> for cost savings</w:t>
      </w:r>
      <w:r w:rsidRPr="00DA3868">
        <w:t xml:space="preserve"> is smaller</w:t>
      </w:r>
      <w:r>
        <w:t xml:space="preserve">. </w:t>
      </w:r>
    </w:p>
    <w:p w14:paraId="1A1F76B0" w14:textId="77777777" w:rsidR="00C242F8" w:rsidRDefault="00C242F8" w:rsidP="00CC7EC2"/>
    <w:p w14:paraId="5DB7484B" w14:textId="399AD2FE" w:rsidR="00F56C53" w:rsidRDefault="00F56C53" w:rsidP="00AD2788">
      <w:r>
        <w:t xml:space="preserve">It may </w:t>
      </w:r>
      <w:r w:rsidRPr="00DA3868">
        <w:t>be that if more outcomes were included</w:t>
      </w:r>
      <w:r>
        <w:t>, for example</w:t>
      </w:r>
      <w:r w:rsidRPr="00DA3868">
        <w:t xml:space="preserve"> productivity, then interventions</w:t>
      </w:r>
      <w:r w:rsidR="00983EF8">
        <w:t xml:space="preserve"> would become</w:t>
      </w:r>
      <w:r w:rsidRPr="00DA3868">
        <w:t xml:space="preserve"> cost effective, but we could not find good quality evidence to quantify other outcomes. </w:t>
      </w:r>
      <w:r w:rsidR="00983EF8" w:rsidRPr="00983EF8">
        <w:t>Some studies included sexual health outcomes which could increase cost effectiveness; we modelled drug related outcomes only.</w:t>
      </w:r>
      <w:r w:rsidR="00983EF8">
        <w:t xml:space="preserve"> </w:t>
      </w:r>
      <w:r>
        <w:t xml:space="preserve">There are issues with attributing outcomes to drug use or to interventions, so drug use may be associated with a range of negative outcomes but the evidence for causation is not as strong. For example there is some evidence linking ecstasy use with depression but this </w:t>
      </w:r>
      <w:r w:rsidR="006A655A">
        <w:t>is not consensus in the literature about this</w:t>
      </w:r>
      <w:r>
        <w:t xml:space="preserve">, as people who are prone to depression may also be predisposed to continuing drug use. Also the outcomes associated with drug use may be in part confounded by the fact that </w:t>
      </w:r>
      <w:r w:rsidRPr="00AC2C72">
        <w:t>the drug</w:t>
      </w:r>
      <w:r>
        <w:t xml:space="preserve"> used by</w:t>
      </w:r>
      <w:r w:rsidRPr="00AC2C72">
        <w:t xml:space="preserve"> individuals </w:t>
      </w:r>
      <w:r>
        <w:t>may not be what they believe</w:t>
      </w:r>
      <w:r w:rsidRPr="00AC2C72">
        <w:t xml:space="preserve"> they are using, for instance </w:t>
      </w:r>
      <w:r w:rsidRPr="00AC2C72">
        <w:lastRenderedPageBreak/>
        <w:t>many tablets sold as ecstasy do not actually contain any MDMA, so there may be a lot of uncertainty in</w:t>
      </w:r>
      <w:r w:rsidR="00983EF8">
        <w:t xml:space="preserve"> </w:t>
      </w:r>
      <w:r w:rsidR="00983EF8" w:rsidRPr="003D56F0">
        <w:t>estimating outcomes. Some harm</w:t>
      </w:r>
      <w:r w:rsidRPr="003D56F0">
        <w:t xml:space="preserve"> may ar</w:t>
      </w:r>
      <w:r w:rsidR="00983EF8" w:rsidRPr="003D56F0">
        <w:t xml:space="preserve">ise from </w:t>
      </w:r>
      <w:r w:rsidR="008372D5" w:rsidRPr="003D56F0">
        <w:t xml:space="preserve">the </w:t>
      </w:r>
      <w:r w:rsidR="00983EF8" w:rsidRPr="003D56F0">
        <w:t xml:space="preserve">agents that drugs are </w:t>
      </w:r>
      <w:r w:rsidR="008372D5" w:rsidRPr="003D56F0">
        <w:t>c</w:t>
      </w:r>
      <w:r w:rsidRPr="003D56F0">
        <w:t>ut with rather than the drugs themselves.</w:t>
      </w:r>
      <w:r>
        <w:t xml:space="preserve"> </w:t>
      </w:r>
    </w:p>
    <w:p w14:paraId="0FFE1C3A" w14:textId="77777777" w:rsidR="00343081" w:rsidRDefault="00343081" w:rsidP="00AD2788"/>
    <w:p w14:paraId="228D9A5D" w14:textId="4A76C33B" w:rsidR="00343081" w:rsidRDefault="00343081">
      <w:r>
        <w:t xml:space="preserve">The key difference between the results of this economic modelling and the modelling that was carried out for NICE Guidance PH4 </w:t>
      </w:r>
      <w:r w:rsidR="00D17778">
        <w:t>is</w:t>
      </w:r>
      <w:r>
        <w:t xml:space="preserve"> that the PH4 modelling assumed that preventing drug use initiation would prevent more harmful problematic drug use like heroin and crack co</w:t>
      </w:r>
      <w:r w:rsidR="00D17778">
        <w:t>caine use further down the line. In this analysis,</w:t>
      </w:r>
      <w:r>
        <w:t xml:space="preserve"> on the advice of the committee, the present modelling did not include any of this ‘Gateway theory’. If it is the case that using drugs like cannabis or ecstasy does increase the risk of heroin or crack cocaine use and dependence by even a small amount, then the interventions modelled may become </w:t>
      </w:r>
      <w:r w:rsidR="00D17778">
        <w:t>much</w:t>
      </w:r>
      <w:r>
        <w:t xml:space="preserve"> more cost effective.</w:t>
      </w:r>
    </w:p>
    <w:p w14:paraId="60F04E76" w14:textId="77777777" w:rsidR="00F56C53" w:rsidRDefault="00F56C53"/>
    <w:p w14:paraId="7DFEFE8C" w14:textId="039D23DB" w:rsidR="00F56C53" w:rsidRPr="000B6FDD" w:rsidRDefault="00F56C53">
      <w:r w:rsidRPr="000B6FDD">
        <w:t xml:space="preserve">The results of the economic modelling </w:t>
      </w:r>
      <w:r w:rsidR="00243469" w:rsidRPr="000B6FDD">
        <w:t>suggest</w:t>
      </w:r>
      <w:r w:rsidRPr="000B6FDD">
        <w:t xml:space="preserve"> that based on the information in these studies, </w:t>
      </w:r>
      <w:r>
        <w:t>drug misuse prevention</w:t>
      </w:r>
      <w:r w:rsidRPr="000B6FDD">
        <w:t xml:space="preserve"> interventions may not be cost effective unless they</w:t>
      </w:r>
      <w:r w:rsidR="00D17778">
        <w:t>:</w:t>
      </w:r>
    </w:p>
    <w:p w14:paraId="3A784077" w14:textId="77777777" w:rsidR="00F56C53" w:rsidRPr="000B6FDD" w:rsidRDefault="00F56C53" w:rsidP="003D56F0">
      <w:pPr>
        <w:pStyle w:val="ListParagraph"/>
        <w:numPr>
          <w:ilvl w:val="0"/>
          <w:numId w:val="50"/>
        </w:numPr>
      </w:pPr>
      <w:r w:rsidRPr="000B6FDD">
        <w:t>Have a long duration of effect on reducing drug use – by two years</w:t>
      </w:r>
      <w:r>
        <w:t xml:space="preserve"> or more</w:t>
      </w:r>
    </w:p>
    <w:p w14:paraId="324DD598" w14:textId="77777777" w:rsidR="00F56C53" w:rsidRPr="000B6FDD" w:rsidRDefault="00F56C53" w:rsidP="003D56F0">
      <w:pPr>
        <w:pStyle w:val="ListParagraph"/>
        <w:numPr>
          <w:ilvl w:val="0"/>
          <w:numId w:val="50"/>
        </w:numPr>
      </w:pPr>
      <w:r w:rsidRPr="000B6FDD">
        <w:t>Reduce drug use by at least 5 percentage points</w:t>
      </w:r>
    </w:p>
    <w:p w14:paraId="6F08032E" w14:textId="77777777" w:rsidR="00F56C53" w:rsidRPr="000B6FDD" w:rsidRDefault="00F56C53" w:rsidP="003D56F0">
      <w:pPr>
        <w:pStyle w:val="ListParagraph"/>
        <w:numPr>
          <w:ilvl w:val="0"/>
          <w:numId w:val="50"/>
        </w:numPr>
      </w:pPr>
      <w:r w:rsidRPr="000B6FDD">
        <w:t>Have a low cost – less than £100 per participant</w:t>
      </w:r>
    </w:p>
    <w:p w14:paraId="216EE92F" w14:textId="3D2CEC2B" w:rsidR="00F56C53" w:rsidRDefault="00F56C53" w:rsidP="003D56F0">
      <w:pPr>
        <w:pStyle w:val="ListParagraph"/>
        <w:numPr>
          <w:ilvl w:val="0"/>
          <w:numId w:val="50"/>
        </w:numPr>
      </w:pPr>
      <w:r w:rsidRPr="000B6FDD">
        <w:t>Act on drug use that has more severe consequences</w:t>
      </w:r>
      <w:r w:rsidR="00DF08BF">
        <w:t xml:space="preserve">, </w:t>
      </w:r>
      <w:r w:rsidR="00D17778">
        <w:t xml:space="preserve">for example crack </w:t>
      </w:r>
      <w:r w:rsidR="00DF08BF">
        <w:t>cocaine use</w:t>
      </w:r>
      <w:r w:rsidR="00D17778">
        <w:t xml:space="preserve"> or opiates.</w:t>
      </w:r>
    </w:p>
    <w:p w14:paraId="65FCD915" w14:textId="36BCACE5" w:rsidR="00D17778" w:rsidRDefault="00D17778" w:rsidP="003D56F0">
      <w:r>
        <w:t>(Some combination of these factors may be required).</w:t>
      </w:r>
    </w:p>
    <w:p w14:paraId="36F47216" w14:textId="77777777" w:rsidR="00F56C53" w:rsidRPr="000B6FDD" w:rsidRDefault="00F56C53" w:rsidP="00CC7EC2"/>
    <w:p w14:paraId="4BABAB34" w14:textId="1AFECDA3" w:rsidR="00F56C53" w:rsidRPr="002006E5" w:rsidRDefault="00F56C53" w:rsidP="00AD2788">
      <w:pPr>
        <w:rPr>
          <w:u w:val="single"/>
        </w:rPr>
      </w:pPr>
      <w:r>
        <w:t>The idea of targeting interventions to the most vulnerable groups makes sense as individuals experiencing multiple disadvantage</w:t>
      </w:r>
      <w:r w:rsidR="00983EF8">
        <w:t>s</w:t>
      </w:r>
      <w:r>
        <w:t xml:space="preserve"> are more likely to be</w:t>
      </w:r>
      <w:r w:rsidR="00281FD0">
        <w:t>come</w:t>
      </w:r>
      <w:r>
        <w:t xml:space="preserve"> drug users and </w:t>
      </w:r>
      <w:r w:rsidRPr="0021566A">
        <w:t>experience harmful consequences of their drug use; however the evidence base, particu</w:t>
      </w:r>
      <w:r w:rsidR="00983EF8">
        <w:t>larly around cost effectiveness</w:t>
      </w:r>
      <w:r w:rsidR="00E806A4">
        <w:t>,</w:t>
      </w:r>
      <w:r w:rsidRPr="0021566A">
        <w:t xml:space="preserve"> </w:t>
      </w:r>
      <w:r w:rsidR="00983EF8">
        <w:t>remains</w:t>
      </w:r>
      <w:r w:rsidRPr="0021566A">
        <w:t xml:space="preserve"> limited for these groups.</w:t>
      </w:r>
      <w:r w:rsidR="00E806A4">
        <w:t xml:space="preserve"> Drug use prevention interventions do happen in a UK context but the evidence </w:t>
      </w:r>
      <w:r w:rsidR="005F1BD1">
        <w:t xml:space="preserve"> for current practice is not well established and</w:t>
      </w:r>
      <w:r w:rsidR="00E806A4">
        <w:t xml:space="preserve"> there is a lack of good quality evidence aro</w:t>
      </w:r>
      <w:r w:rsidR="00B50FFB">
        <w:t>und preventative interventions that can be used to estimate their cost effectiveness.</w:t>
      </w:r>
    </w:p>
    <w:p w14:paraId="13D3C2E9" w14:textId="77777777" w:rsidR="00F56C53" w:rsidRPr="0021566A" w:rsidRDefault="00F56C53"/>
    <w:p w14:paraId="08375AF9" w14:textId="77777777" w:rsidR="00F56C53" w:rsidRPr="00057AA4" w:rsidRDefault="00F56C53">
      <w:r w:rsidRPr="00057AA4">
        <w:t>Several challenges exist in conducting an economic evaluation of public health interventions:</w:t>
      </w:r>
    </w:p>
    <w:p w14:paraId="4EA9C525" w14:textId="407DA26D" w:rsidR="00F56C53" w:rsidRPr="00057AA4" w:rsidRDefault="008D463C">
      <w:pPr>
        <w:pStyle w:val="ListParagraph"/>
        <w:numPr>
          <w:ilvl w:val="0"/>
          <w:numId w:val="21"/>
        </w:numPr>
      </w:pPr>
      <w:r w:rsidRPr="00057AA4">
        <w:t>M</w:t>
      </w:r>
      <w:r w:rsidR="00F56C53" w:rsidRPr="00057AA4">
        <w:t>ultiple outcomes: drug misuse interventions aimed at vulnerable populations have a range of outcomes and outcome measures</w:t>
      </w:r>
      <w:r w:rsidR="00940B3D" w:rsidRPr="00057AA4">
        <w:t xml:space="preserve">. </w:t>
      </w:r>
      <w:r w:rsidR="00F56C53" w:rsidRPr="00057AA4">
        <w:t xml:space="preserve">It is difficult to determine which intervention is the most efficient when each intervention is measured using a different parameter. </w:t>
      </w:r>
    </w:p>
    <w:p w14:paraId="61FCE93E" w14:textId="2D7E18E8" w:rsidR="00F56C53" w:rsidRPr="00057AA4" w:rsidRDefault="008D463C">
      <w:pPr>
        <w:pStyle w:val="ListParagraph"/>
        <w:numPr>
          <w:ilvl w:val="0"/>
          <w:numId w:val="21"/>
        </w:numPr>
      </w:pPr>
      <w:r w:rsidRPr="00057AA4">
        <w:t>N</w:t>
      </w:r>
      <w:r w:rsidR="00F56C53" w:rsidRPr="00057AA4">
        <w:t>atural units: it is difficult to conclude whether a policy is value for money using natural units, such as the number of young people at risk of using cannabis, as it is difficult to know how much money we can justify spending in achieving this outcome.</w:t>
      </w:r>
    </w:p>
    <w:p w14:paraId="3E8CD055" w14:textId="40B960E8" w:rsidR="00F56C53" w:rsidRPr="00057AA4" w:rsidRDefault="008D463C">
      <w:pPr>
        <w:pStyle w:val="ListParagraph"/>
        <w:numPr>
          <w:ilvl w:val="0"/>
          <w:numId w:val="21"/>
        </w:numPr>
      </w:pPr>
      <w:r w:rsidRPr="00057AA4">
        <w:lastRenderedPageBreak/>
        <w:t>I</w:t>
      </w:r>
      <w:r w:rsidR="00F56C53" w:rsidRPr="00057AA4">
        <w:t>ntermediate outcomes: the timeframe of evaluations are generally much shorter than the timeframe over which the impact of policies are felt. For instance, a drug misuse prevention programme may reduce the risk of cannabis use in the timeframe of the effectiveness study. This impact will in turn reduce the chance that the young person will experience negative health outcomes, commit crimes and be unemployed. However, this longer-term impact will not be measured in the timefra</w:t>
      </w:r>
      <w:r w:rsidRPr="00057AA4">
        <w:t>me of the effectiveness study as m</w:t>
      </w:r>
      <w:r w:rsidR="00F56C53" w:rsidRPr="00057AA4">
        <w:t xml:space="preserve">any public health interventions have a long payback time. </w:t>
      </w:r>
    </w:p>
    <w:p w14:paraId="490A4DEC" w14:textId="2ECCFBE0" w:rsidR="005F1BD1" w:rsidRPr="00057AA4" w:rsidRDefault="005F1BD1">
      <w:pPr>
        <w:pStyle w:val="ListParagraph"/>
        <w:numPr>
          <w:ilvl w:val="0"/>
          <w:numId w:val="21"/>
        </w:numPr>
      </w:pPr>
      <w:r w:rsidRPr="00057AA4">
        <w:t>Many public health interventions have cross sector effects where investment in one sector of the economy produces savings in other sectors.</w:t>
      </w:r>
    </w:p>
    <w:p w14:paraId="3B211A6E" w14:textId="77777777" w:rsidR="00F56C53" w:rsidRPr="0021566A" w:rsidRDefault="00F56C53"/>
    <w:p w14:paraId="1A4CA2DB" w14:textId="08E796C5" w:rsidR="004B7E47" w:rsidRPr="0021566A" w:rsidRDefault="00884E8C">
      <w:r w:rsidRPr="0021566A">
        <w:t>F</w:t>
      </w:r>
      <w:r w:rsidR="004B7E47" w:rsidRPr="0021566A">
        <w:t xml:space="preserve">rom the analysis undertaken it is </w:t>
      </w:r>
      <w:r w:rsidR="004B7E47" w:rsidRPr="0021566A">
        <w:rPr>
          <w:bCs/>
          <w:iCs/>
        </w:rPr>
        <w:t>possible to make only limited recommendations</w:t>
      </w:r>
      <w:r w:rsidR="004B7E47" w:rsidRPr="0021566A">
        <w:t xml:space="preserve"> regarding the cost-effectiveness of interventions to prevent or reduce drug misuse in vulnerable populations. We were unable to find conclusive evidence regarding the cost-effectiveness of the interventions </w:t>
      </w:r>
      <w:r w:rsidR="005F1BD1">
        <w:t>because of the following issues:</w:t>
      </w:r>
    </w:p>
    <w:p w14:paraId="09106D6D" w14:textId="576F9D44" w:rsidR="004B7E47" w:rsidRPr="0021566A" w:rsidRDefault="008D463C">
      <w:pPr>
        <w:pStyle w:val="ListParagraph"/>
        <w:numPr>
          <w:ilvl w:val="0"/>
          <w:numId w:val="32"/>
        </w:numPr>
      </w:pPr>
      <w:r>
        <w:rPr>
          <w:b/>
          <w:bCs/>
          <w:i/>
          <w:iCs/>
        </w:rPr>
        <w:t>M</w:t>
      </w:r>
      <w:r w:rsidR="004B7E47" w:rsidRPr="005006EE">
        <w:rPr>
          <w:b/>
          <w:bCs/>
          <w:i/>
          <w:iCs/>
        </w:rPr>
        <w:t>odelling of the long-term impacts of the interventions</w:t>
      </w:r>
      <w:r w:rsidR="004B7E47" w:rsidRPr="0021566A">
        <w:t xml:space="preserve">: the complexity of the relationship between people’s risk factors and longer-term drug misuse, the limited scope of the analysis, and the limited availability of data combined to require the modelling of longer-terms effects to make to a number of important assumptions. These are summarised in the box below. Two features of these assumptions result in uncertainty regarding the conclusions drawn by the model: </w:t>
      </w:r>
    </w:p>
    <w:p w14:paraId="5642951C" w14:textId="77777777" w:rsidR="004B7E47" w:rsidRPr="0021566A" w:rsidRDefault="004B7E47">
      <w:pPr>
        <w:pStyle w:val="ListParagraph"/>
        <w:numPr>
          <w:ilvl w:val="1"/>
          <w:numId w:val="32"/>
        </w:numPr>
      </w:pPr>
      <w:r w:rsidRPr="0021566A">
        <w:t xml:space="preserve">it is difficult to determine the combined impact of these assumptions on the outcome of the model; and </w:t>
      </w:r>
    </w:p>
    <w:p w14:paraId="535F3AF2" w14:textId="77777777" w:rsidR="004B7E47" w:rsidRPr="00C321D1" w:rsidRDefault="004B7E47">
      <w:pPr>
        <w:pStyle w:val="ListParagraph"/>
        <w:numPr>
          <w:ilvl w:val="1"/>
          <w:numId w:val="32"/>
        </w:numPr>
      </w:pPr>
      <w:r w:rsidRPr="0021566A">
        <w:t xml:space="preserve">the sensitivity analysis suggests that relatively small changes in these </w:t>
      </w:r>
      <w:r w:rsidRPr="00C321D1">
        <w:t>assumptions will impact the conclusions drawn by the model.</w:t>
      </w:r>
    </w:p>
    <w:p w14:paraId="0E5F803E" w14:textId="21E93617" w:rsidR="008D463C" w:rsidRPr="005006EE" w:rsidRDefault="008D463C">
      <w:pPr>
        <w:pStyle w:val="ListParagraph"/>
        <w:numPr>
          <w:ilvl w:val="0"/>
          <w:numId w:val="32"/>
        </w:numPr>
        <w:rPr>
          <w:color w:val="FF0000"/>
        </w:rPr>
      </w:pPr>
      <w:r>
        <w:rPr>
          <w:b/>
          <w:i/>
        </w:rPr>
        <w:t>Quality of studies</w:t>
      </w:r>
      <w:r w:rsidR="005F1BD1">
        <w:rPr>
          <w:b/>
          <w:i/>
        </w:rPr>
        <w:t>:</w:t>
      </w:r>
      <w:r w:rsidR="00CF15C4" w:rsidRPr="00CF15C4">
        <w:t xml:space="preserve"> they were not sufficiently powered as an insufficient number of participants were included in the control and intervention arms to for significant treatment effect size to be determined. Studies were largely single centre and sometimes of limited quality.</w:t>
      </w:r>
      <w:r w:rsidR="00CF15C4">
        <w:rPr>
          <w:i/>
        </w:rPr>
        <w:t xml:space="preserve"> </w:t>
      </w:r>
    </w:p>
    <w:p w14:paraId="076545B6" w14:textId="0DA19784" w:rsidR="004B7E47" w:rsidRDefault="008D463C">
      <w:pPr>
        <w:pStyle w:val="ListParagraph"/>
        <w:numPr>
          <w:ilvl w:val="0"/>
          <w:numId w:val="32"/>
        </w:numPr>
        <w:rPr>
          <w:color w:val="FF0000"/>
        </w:rPr>
      </w:pPr>
      <w:r>
        <w:rPr>
          <w:b/>
          <w:bCs/>
          <w:i/>
          <w:iCs/>
        </w:rPr>
        <w:t>G</w:t>
      </w:r>
      <w:r w:rsidR="004B7E47" w:rsidRPr="00C321D1">
        <w:rPr>
          <w:b/>
          <w:bCs/>
          <w:i/>
          <w:iCs/>
        </w:rPr>
        <w:t>eneralising to the UK context</w:t>
      </w:r>
      <w:r w:rsidR="004B7E47" w:rsidRPr="00C321D1">
        <w:t xml:space="preserve"> </w:t>
      </w:r>
      <w:r w:rsidR="004B7E47" w:rsidRPr="0021566A">
        <w:t>from the studies identified. Public health interventions face a number of factors that can confound the impact of the intervention. Interventions effects will vary with socio-demographic context, with programme fidelity and with the baseline characteristics of participants. It is difficult to generalise to the UK context from the specific populations and locations from the studies identified.</w:t>
      </w:r>
      <w:r w:rsidR="004B7E47" w:rsidRPr="005006EE">
        <w:rPr>
          <w:color w:val="FF0000"/>
        </w:rPr>
        <w:t xml:space="preserve"> </w:t>
      </w:r>
    </w:p>
    <w:p w14:paraId="53300AE4" w14:textId="77777777" w:rsidR="004B7E47" w:rsidRPr="0021566A" w:rsidRDefault="004B7E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4B7E47" w:rsidRPr="00AC2C72" w14:paraId="58565A23" w14:textId="77777777" w:rsidTr="003D56F0">
        <w:tc>
          <w:tcPr>
            <w:tcW w:w="9039" w:type="dxa"/>
            <w:tcBorders>
              <w:top w:val="single" w:sz="4" w:space="0" w:color="auto"/>
              <w:left w:val="single" w:sz="4" w:space="0" w:color="auto"/>
              <w:bottom w:val="single" w:sz="4" w:space="0" w:color="auto"/>
              <w:right w:val="single" w:sz="4" w:space="0" w:color="auto"/>
            </w:tcBorders>
            <w:shd w:val="clear" w:color="auto" w:fill="E6E6E6"/>
            <w:hideMark/>
          </w:tcPr>
          <w:p w14:paraId="66DD7174" w14:textId="52FE4290" w:rsidR="004B7E47" w:rsidRPr="00D21C25" w:rsidRDefault="004B7E47">
            <w:r w:rsidRPr="00D21C25">
              <w:t>Assumptions that cause the model</w:t>
            </w:r>
            <w:r w:rsidR="005F1BD1">
              <w:t>s</w:t>
            </w:r>
            <w:r w:rsidRPr="00D21C25">
              <w:t xml:space="preserve"> to </w:t>
            </w:r>
            <w:r w:rsidRPr="00D21C25">
              <w:rPr>
                <w:b/>
                <w:bCs/>
              </w:rPr>
              <w:t>underestimate</w:t>
            </w:r>
            <w:r w:rsidRPr="00D21C25">
              <w:t xml:space="preserve"> the cost per QALY gained (i.e. make interventions seem more cost effective than they are)</w:t>
            </w:r>
          </w:p>
        </w:tc>
      </w:tr>
      <w:tr w:rsidR="004B7E47" w:rsidRPr="00AC2C72" w14:paraId="64B6E1E8" w14:textId="77777777" w:rsidTr="003D56F0">
        <w:tc>
          <w:tcPr>
            <w:tcW w:w="9039" w:type="dxa"/>
            <w:tcBorders>
              <w:top w:val="single" w:sz="4" w:space="0" w:color="auto"/>
              <w:left w:val="single" w:sz="4" w:space="0" w:color="auto"/>
              <w:bottom w:val="single" w:sz="4" w:space="0" w:color="auto"/>
              <w:right w:val="single" w:sz="4" w:space="0" w:color="auto"/>
            </w:tcBorders>
            <w:hideMark/>
          </w:tcPr>
          <w:p w14:paraId="03CCD93E" w14:textId="77777777" w:rsidR="004B7E47" w:rsidRPr="00D21C25" w:rsidRDefault="004B7E47" w:rsidP="00CC7EC2">
            <w:r w:rsidRPr="00D21C25">
              <w:t>It is assumed that the effects of the interventions on the vulnerable population risk factors identified by the effectiveness studies are maintained. As it is likely that some of these effects will not be maintained, this will overestimate the impact of the intervention and underestimate the cost per QALY gained.</w:t>
            </w:r>
          </w:p>
        </w:tc>
      </w:tr>
      <w:tr w:rsidR="004B7E47" w:rsidRPr="00AC2C72" w14:paraId="08E3881F" w14:textId="77777777" w:rsidTr="003D56F0">
        <w:tc>
          <w:tcPr>
            <w:tcW w:w="9039" w:type="dxa"/>
            <w:tcBorders>
              <w:top w:val="single" w:sz="4" w:space="0" w:color="auto"/>
              <w:left w:val="single" w:sz="4" w:space="0" w:color="auto"/>
              <w:bottom w:val="single" w:sz="4" w:space="0" w:color="auto"/>
              <w:right w:val="single" w:sz="4" w:space="0" w:color="auto"/>
            </w:tcBorders>
            <w:shd w:val="clear" w:color="auto" w:fill="E6E6E6"/>
            <w:hideMark/>
          </w:tcPr>
          <w:p w14:paraId="57057EEF" w14:textId="77777777" w:rsidR="004B7E47" w:rsidRPr="00D21C25" w:rsidRDefault="004B7E47" w:rsidP="00CC7EC2">
            <w:r w:rsidRPr="00D21C25">
              <w:lastRenderedPageBreak/>
              <w:t xml:space="preserve">Assumptions that cause the model to </w:t>
            </w:r>
            <w:r w:rsidRPr="00D21C25">
              <w:rPr>
                <w:b/>
                <w:bCs/>
              </w:rPr>
              <w:t>overestimate</w:t>
            </w:r>
            <w:r w:rsidRPr="00D21C25">
              <w:t xml:space="preserve"> the cost per QALY gained (i.e. make interventions seem less cost effective than they are)</w:t>
            </w:r>
          </w:p>
        </w:tc>
      </w:tr>
      <w:tr w:rsidR="004B7E47" w:rsidRPr="00AC2C72" w14:paraId="6F82FC20" w14:textId="77777777" w:rsidTr="003D56F0">
        <w:tc>
          <w:tcPr>
            <w:tcW w:w="9039" w:type="dxa"/>
            <w:tcBorders>
              <w:top w:val="single" w:sz="4" w:space="0" w:color="auto"/>
              <w:left w:val="single" w:sz="4" w:space="0" w:color="auto"/>
              <w:bottom w:val="single" w:sz="4" w:space="0" w:color="auto"/>
              <w:right w:val="single" w:sz="4" w:space="0" w:color="auto"/>
            </w:tcBorders>
            <w:hideMark/>
          </w:tcPr>
          <w:p w14:paraId="1BE9B2F4" w14:textId="77777777" w:rsidR="004B7E47" w:rsidRPr="00D21C25" w:rsidRDefault="004B7E47" w:rsidP="00CC7EC2">
            <w:r w:rsidRPr="00D21C25">
              <w:t xml:space="preserve">Only the impact of the interventions on drug use have been included in the model. Intervention impacts on educational attainment, family relationship, alcohol use, peer relationships, attitudes and other behavioural measures have not been modelled. </w:t>
            </w:r>
          </w:p>
        </w:tc>
      </w:tr>
      <w:tr w:rsidR="004B7E47" w:rsidRPr="00AC2C72" w14:paraId="593F020E" w14:textId="77777777" w:rsidTr="003D56F0">
        <w:tc>
          <w:tcPr>
            <w:tcW w:w="9039" w:type="dxa"/>
            <w:tcBorders>
              <w:top w:val="single" w:sz="4" w:space="0" w:color="auto"/>
              <w:left w:val="single" w:sz="4" w:space="0" w:color="auto"/>
              <w:bottom w:val="single" w:sz="4" w:space="0" w:color="auto"/>
              <w:right w:val="single" w:sz="4" w:space="0" w:color="auto"/>
            </w:tcBorders>
            <w:hideMark/>
          </w:tcPr>
          <w:p w14:paraId="0F0F4E64" w14:textId="77777777" w:rsidR="004B7E47" w:rsidRPr="00D21C25" w:rsidRDefault="004B7E47" w:rsidP="00CC7EC2">
            <w:r w:rsidRPr="00D21C25">
              <w:t>It is assumed that the participants in the interventions have the same baseline risk of drug use as the general population. As the risk of drug use may be higher among the participants, this assumption underestimates the impact of the intervention and thus overestimate the cost per QALY gained.</w:t>
            </w:r>
          </w:p>
        </w:tc>
      </w:tr>
      <w:tr w:rsidR="004B7E47" w:rsidRPr="00AC2C72" w14:paraId="408A8315" w14:textId="77777777" w:rsidTr="003D56F0">
        <w:tc>
          <w:tcPr>
            <w:tcW w:w="9039" w:type="dxa"/>
            <w:tcBorders>
              <w:top w:val="single" w:sz="4" w:space="0" w:color="auto"/>
              <w:left w:val="single" w:sz="4" w:space="0" w:color="auto"/>
              <w:bottom w:val="single" w:sz="4" w:space="0" w:color="auto"/>
              <w:right w:val="single" w:sz="4" w:space="0" w:color="auto"/>
            </w:tcBorders>
            <w:hideMark/>
          </w:tcPr>
          <w:p w14:paraId="613EC7F9" w14:textId="77777777" w:rsidR="004B7E47" w:rsidRPr="00D21C25" w:rsidRDefault="004B7E47" w:rsidP="00CC7EC2">
            <w:r w:rsidRPr="00D21C25">
              <w:t xml:space="preserve">The models generally assume that individuals have the same risk of harmful consequences resulting from drug use as the general population, and that these risks are uniformly distributed in the population of drug users. It may be more likely that people from disadvantaged groups are more likely to have harmful consequences of their drug use. </w:t>
            </w:r>
          </w:p>
        </w:tc>
      </w:tr>
      <w:tr w:rsidR="004B7E47" w:rsidRPr="00AC2C72" w14:paraId="7D73DD6D" w14:textId="77777777" w:rsidTr="003D56F0">
        <w:tc>
          <w:tcPr>
            <w:tcW w:w="9039" w:type="dxa"/>
            <w:tcBorders>
              <w:top w:val="single" w:sz="4" w:space="0" w:color="auto"/>
              <w:left w:val="single" w:sz="4" w:space="0" w:color="auto"/>
              <w:bottom w:val="single" w:sz="4" w:space="0" w:color="auto"/>
              <w:right w:val="single" w:sz="4" w:space="0" w:color="auto"/>
            </w:tcBorders>
            <w:hideMark/>
          </w:tcPr>
          <w:p w14:paraId="1CD39E7D" w14:textId="77777777" w:rsidR="004B7E47" w:rsidRPr="00D21C25" w:rsidRDefault="004B7E47" w:rsidP="00CC7EC2">
            <w:r w:rsidRPr="00D21C25">
              <w:t xml:space="preserve">Data is only available to measure and value the impact of drug use on a number of the consequences associated with it. This will cause the model to underestimate the value of the impact of the intervention and thus overestimate the cost per QALY gained. So for many people, drug use may cause family, financial, social and relationship problems that may cause a QALY loss but we have not found evidence to quantify this. </w:t>
            </w:r>
          </w:p>
        </w:tc>
      </w:tr>
      <w:tr w:rsidR="004B7E47" w:rsidRPr="00AC2C72" w14:paraId="39AA71A4" w14:textId="77777777" w:rsidTr="003D56F0">
        <w:tc>
          <w:tcPr>
            <w:tcW w:w="9039" w:type="dxa"/>
            <w:tcBorders>
              <w:top w:val="single" w:sz="4" w:space="0" w:color="auto"/>
              <w:left w:val="single" w:sz="4" w:space="0" w:color="auto"/>
              <w:bottom w:val="single" w:sz="4" w:space="0" w:color="auto"/>
              <w:right w:val="single" w:sz="4" w:space="0" w:color="auto"/>
            </w:tcBorders>
          </w:tcPr>
          <w:p w14:paraId="61028B64" w14:textId="0ACCCD5A" w:rsidR="004B7E47" w:rsidRPr="00D21C25" w:rsidRDefault="004B7E47" w:rsidP="00CC7EC2">
            <w:r w:rsidRPr="00D21C25">
              <w:t xml:space="preserve">The crime costs were for possession offences only; in reality there will be an overlap between individuals arrested for possession and individuals arrested for supply offences which have a higher cost. In addition, drug users contribute </w:t>
            </w:r>
            <w:r w:rsidRPr="00AC2C72">
              <w:t xml:space="preserve">to </w:t>
            </w:r>
            <w:r w:rsidRPr="00D21C25">
              <w:t>the maintenance of the drugs market so there is an argument for including the cost of possession offences</w:t>
            </w:r>
            <w:r w:rsidR="00940B3D">
              <w:t xml:space="preserve">. </w:t>
            </w:r>
          </w:p>
        </w:tc>
      </w:tr>
      <w:tr w:rsidR="004B7E47" w:rsidRPr="00AC2C72" w14:paraId="700C5916" w14:textId="77777777" w:rsidTr="003D56F0">
        <w:tc>
          <w:tcPr>
            <w:tcW w:w="9039" w:type="dxa"/>
            <w:tcBorders>
              <w:top w:val="single" w:sz="4" w:space="0" w:color="auto"/>
              <w:left w:val="single" w:sz="4" w:space="0" w:color="auto"/>
              <w:bottom w:val="single" w:sz="4" w:space="0" w:color="auto"/>
              <w:right w:val="single" w:sz="4" w:space="0" w:color="auto"/>
            </w:tcBorders>
            <w:shd w:val="clear" w:color="auto" w:fill="E6E6E6"/>
            <w:hideMark/>
          </w:tcPr>
          <w:p w14:paraId="5AD67326" w14:textId="77777777" w:rsidR="004B7E47" w:rsidRPr="00D21C25" w:rsidRDefault="004B7E47" w:rsidP="00CC7EC2">
            <w:r w:rsidRPr="00D21C25">
              <w:t xml:space="preserve">Assumptions that cause the model to have an </w:t>
            </w:r>
            <w:r w:rsidRPr="00D21C25">
              <w:rPr>
                <w:b/>
                <w:bCs/>
              </w:rPr>
              <w:t>indeterminate impact</w:t>
            </w:r>
            <w:r w:rsidRPr="00D21C25">
              <w:t xml:space="preserve"> on the cost per QALY gained</w:t>
            </w:r>
          </w:p>
        </w:tc>
      </w:tr>
      <w:tr w:rsidR="004B7E47" w:rsidRPr="00AC2C72" w14:paraId="5647D405" w14:textId="77777777" w:rsidTr="003D56F0">
        <w:tc>
          <w:tcPr>
            <w:tcW w:w="9039" w:type="dxa"/>
            <w:tcBorders>
              <w:top w:val="single" w:sz="4" w:space="0" w:color="auto"/>
              <w:left w:val="single" w:sz="4" w:space="0" w:color="auto"/>
              <w:bottom w:val="single" w:sz="4" w:space="0" w:color="auto"/>
              <w:right w:val="single" w:sz="4" w:space="0" w:color="auto"/>
            </w:tcBorders>
            <w:hideMark/>
          </w:tcPr>
          <w:p w14:paraId="24C28A7E" w14:textId="6DEEA3A0" w:rsidR="004B7E47" w:rsidRPr="00D21C25" w:rsidRDefault="004B7E47" w:rsidP="00CC7EC2">
            <w:r w:rsidRPr="00D21C25">
              <w:t>The analysis uses estimates of the average change in risk factors for the people in the effectiveness studies. It is not known who among the young people receiving the intervention experienced a change in these risk factors</w:t>
            </w:r>
            <w:r w:rsidR="00940B3D">
              <w:t xml:space="preserve">. </w:t>
            </w:r>
            <w:r w:rsidRPr="00D21C25">
              <w:t xml:space="preserve">Furthermore, it is difficult to say how an effect concentrated in the less or more at risk groups of young people would impact the longer-term benefits of the intervention. </w:t>
            </w:r>
          </w:p>
        </w:tc>
      </w:tr>
      <w:tr w:rsidR="004B7E47" w:rsidRPr="00AC2C72" w14:paraId="68CC8423" w14:textId="77777777" w:rsidTr="003D56F0">
        <w:tc>
          <w:tcPr>
            <w:tcW w:w="9039" w:type="dxa"/>
            <w:tcBorders>
              <w:top w:val="single" w:sz="4" w:space="0" w:color="auto"/>
              <w:left w:val="single" w:sz="4" w:space="0" w:color="auto"/>
              <w:bottom w:val="single" w:sz="4" w:space="0" w:color="auto"/>
              <w:right w:val="single" w:sz="4" w:space="0" w:color="auto"/>
            </w:tcBorders>
          </w:tcPr>
          <w:p w14:paraId="1C9DB243" w14:textId="77777777" w:rsidR="004B7E47" w:rsidRPr="00D21C25" w:rsidRDefault="004B7E47" w:rsidP="00CC7EC2">
            <w:r w:rsidRPr="00D21C25">
              <w:t xml:space="preserve">Because people from disadvantaged backgrounds are more likely to use drugs, they may be more likely to have harmful outcomes associated with drug use, but it is difficult to unpick which outcomes are caused by drug use along, and which outcomes are caused by other types of disadvantage or other risk factors. Drug use will be associated with negative outcomes but association is not causation. </w:t>
            </w:r>
          </w:p>
        </w:tc>
      </w:tr>
    </w:tbl>
    <w:p w14:paraId="2B0BD19E" w14:textId="77777777" w:rsidR="00E57E3C" w:rsidRDefault="00E57E3C" w:rsidP="00CC7EC2"/>
    <w:p w14:paraId="0553C07D" w14:textId="77777777" w:rsidR="007F2A06" w:rsidRDefault="007F2A06">
      <w:pPr>
        <w:spacing w:after="200"/>
        <w:rPr>
          <w:rFonts w:asciiTheme="majorHAnsi" w:eastAsia="Times New Roman" w:hAnsiTheme="majorHAnsi" w:cstheme="majorBidi"/>
          <w:b/>
          <w:bCs/>
          <w:color w:val="4F81BD" w:themeColor="accent1"/>
          <w:sz w:val="28"/>
          <w:szCs w:val="28"/>
        </w:rPr>
      </w:pPr>
      <w:r>
        <w:br w:type="page"/>
      </w:r>
    </w:p>
    <w:p w14:paraId="75E7BE0D" w14:textId="5A4ADED7" w:rsidR="0079131F" w:rsidRDefault="0079131F" w:rsidP="00AD2788">
      <w:pPr>
        <w:pStyle w:val="Heading3"/>
      </w:pPr>
      <w:bookmarkStart w:id="74" w:name="_Toc452035653"/>
      <w:r>
        <w:lastRenderedPageBreak/>
        <w:t>6.3 Conclusion</w:t>
      </w:r>
      <w:bookmarkEnd w:id="74"/>
    </w:p>
    <w:p w14:paraId="6DC712B8" w14:textId="77777777" w:rsidR="0079131F" w:rsidRDefault="0079131F"/>
    <w:p w14:paraId="6B768C6D" w14:textId="77081839" w:rsidR="001E29E2" w:rsidRDefault="001E29E2">
      <w:r>
        <w:t>This modelling report has reinforced the lack of economic evidence around targeted interventions to prevent drug use in vulnerable groups.</w:t>
      </w:r>
      <w:r w:rsidR="00CF40BF">
        <w:t xml:space="preserve"> The only intervention that </w:t>
      </w:r>
      <w:r w:rsidR="001D41B2">
        <w:t>had a reasonable chance of being</w:t>
      </w:r>
      <w:r w:rsidR="00CF40BF">
        <w:t xml:space="preserve"> cost effective</w:t>
      </w:r>
      <w:r>
        <w:t xml:space="preserve"> was a brief web-based intervention that had a very low cost</w:t>
      </w:r>
      <w:r w:rsidR="00940B3D">
        <w:t xml:space="preserve">. </w:t>
      </w:r>
      <w:r>
        <w:t xml:space="preserve">More long term follow up of interventions, testing lower cost interventions that use new technologies, and demonstrating the effectiveness of interventions in preventing the most harmful types of drug use, would increase the chance that future evidence reviews and models could identify cost effective interventions. The social cost of drug use is considerable so there is an opportunity for preventative interventions to be cost effective. </w:t>
      </w:r>
    </w:p>
    <w:p w14:paraId="246C2A7D" w14:textId="77777777" w:rsidR="001E29E2" w:rsidRDefault="001E29E2" w:rsidP="003D56F0">
      <w:pPr>
        <w:rPr>
          <w:rFonts w:eastAsiaTheme="majorEastAsia"/>
          <w:sz w:val="26"/>
          <w:szCs w:val="26"/>
        </w:rPr>
      </w:pPr>
      <w:r>
        <w:br w:type="page"/>
      </w:r>
    </w:p>
    <w:p w14:paraId="369A3497" w14:textId="40035A55" w:rsidR="00F56C53" w:rsidRDefault="00BE6B23" w:rsidP="00CC7EC2">
      <w:pPr>
        <w:pStyle w:val="Heading2"/>
      </w:pPr>
      <w:bookmarkStart w:id="75" w:name="_Toc452035654"/>
      <w:r w:rsidRPr="00D21C25">
        <w:lastRenderedPageBreak/>
        <w:t>Appendi</w:t>
      </w:r>
      <w:r w:rsidR="00F56C53">
        <w:t>x 1. Model Assumption Tables</w:t>
      </w:r>
      <w:r w:rsidR="008327CD">
        <w:t xml:space="preserve"> &amp; Input Parameters for Univariate Sensitivity Analyses</w:t>
      </w:r>
      <w:bookmarkEnd w:id="75"/>
    </w:p>
    <w:p w14:paraId="21DF0360" w14:textId="77777777" w:rsidR="008327CD" w:rsidRDefault="008327CD" w:rsidP="00AD2788"/>
    <w:p w14:paraId="7E0651D6" w14:textId="0F4EBD19" w:rsidR="00F56C53" w:rsidRDefault="00F56C53">
      <w:r w:rsidRPr="002725AE">
        <w:t>These tables present the assumptions used in each of the economic models. Each of the models has a two year time horizon.</w:t>
      </w:r>
      <w:r>
        <w:t xml:space="preserve"> </w:t>
      </w:r>
    </w:p>
    <w:p w14:paraId="45D812F1" w14:textId="77777777" w:rsidR="00480506" w:rsidRDefault="00480506"/>
    <w:p w14:paraId="799756EF" w14:textId="1026956B" w:rsidR="00F56C53" w:rsidRPr="005006EE" w:rsidRDefault="000476E3">
      <w:pPr>
        <w:pStyle w:val="Heading3"/>
      </w:pPr>
      <w:bookmarkStart w:id="76" w:name="_Toc452035655"/>
      <w:r>
        <w:t xml:space="preserve">7.1 </w:t>
      </w:r>
      <w:r w:rsidRPr="000476E3">
        <w:t>Model based on Catalano, et al. "An experimental intervention with families of substance abusers: one-year follow-up of the focus on families project."</w:t>
      </w:r>
      <w:bookmarkEnd w:id="76"/>
    </w:p>
    <w:p w14:paraId="77B61D5B" w14:textId="77777777" w:rsidR="00F56C53" w:rsidRPr="005006EE" w:rsidRDefault="00F56C53"/>
    <w:tbl>
      <w:tblPr>
        <w:tblW w:w="0" w:type="auto"/>
        <w:jc w:val="center"/>
        <w:tblLook w:val="04A0" w:firstRow="1" w:lastRow="0" w:firstColumn="1" w:lastColumn="0" w:noHBand="0" w:noVBand="1"/>
      </w:tblPr>
      <w:tblGrid>
        <w:gridCol w:w="2334"/>
        <w:gridCol w:w="2448"/>
        <w:gridCol w:w="4460"/>
      </w:tblGrid>
      <w:tr w:rsidR="00F56C53" w:rsidRPr="003D56F0" w14:paraId="76DEBB7A" w14:textId="77777777" w:rsidTr="00CC76A6">
        <w:trPr>
          <w:trHeight w:val="300"/>
          <w:jc w:val="center"/>
        </w:trPr>
        <w:tc>
          <w:tcPr>
            <w:tcW w:w="0" w:type="auto"/>
            <w:tcBorders>
              <w:top w:val="nil"/>
              <w:left w:val="nil"/>
              <w:bottom w:val="nil"/>
              <w:right w:val="nil"/>
            </w:tcBorders>
            <w:shd w:val="clear" w:color="auto" w:fill="auto"/>
            <w:noWrap/>
            <w:vAlign w:val="bottom"/>
            <w:hideMark/>
          </w:tcPr>
          <w:p w14:paraId="24A0A2CD" w14:textId="77777777" w:rsidR="00F56C53" w:rsidRPr="003D56F0" w:rsidRDefault="00F56C53">
            <w:pPr>
              <w:rPr>
                <w:sz w:val="20"/>
                <w:szCs w:val="20"/>
                <w:lang w:val="en-US"/>
              </w:rPr>
            </w:pPr>
          </w:p>
        </w:tc>
        <w:tc>
          <w:tcPr>
            <w:tcW w:w="0" w:type="auto"/>
            <w:tcBorders>
              <w:top w:val="nil"/>
              <w:left w:val="nil"/>
              <w:bottom w:val="nil"/>
              <w:right w:val="nil"/>
            </w:tcBorders>
            <w:shd w:val="clear" w:color="auto" w:fill="auto"/>
            <w:noWrap/>
            <w:vAlign w:val="bottom"/>
            <w:hideMark/>
          </w:tcPr>
          <w:p w14:paraId="41926857" w14:textId="77777777" w:rsidR="00F56C53" w:rsidRPr="003D56F0" w:rsidRDefault="00F56C53">
            <w:pPr>
              <w:rPr>
                <w:sz w:val="20"/>
                <w:szCs w:val="20"/>
                <w:lang w:val="en-US"/>
              </w:rPr>
            </w:pPr>
          </w:p>
        </w:tc>
        <w:tc>
          <w:tcPr>
            <w:tcW w:w="0" w:type="auto"/>
            <w:tcBorders>
              <w:top w:val="nil"/>
              <w:left w:val="nil"/>
              <w:bottom w:val="nil"/>
              <w:right w:val="nil"/>
            </w:tcBorders>
            <w:shd w:val="clear" w:color="auto" w:fill="auto"/>
            <w:noWrap/>
            <w:vAlign w:val="bottom"/>
            <w:hideMark/>
          </w:tcPr>
          <w:p w14:paraId="28B9B197" w14:textId="77777777" w:rsidR="00F56C53" w:rsidRPr="003D56F0" w:rsidRDefault="00F56C53">
            <w:pPr>
              <w:rPr>
                <w:sz w:val="20"/>
                <w:szCs w:val="20"/>
                <w:lang w:val="en-US"/>
              </w:rPr>
            </w:pPr>
          </w:p>
        </w:tc>
      </w:tr>
      <w:tr w:rsidR="00F56C53" w:rsidRPr="003D56F0" w14:paraId="03AB3DC4" w14:textId="77777777" w:rsidTr="00CC76A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9CB3E6A" w14:textId="77777777" w:rsidR="00F56C53" w:rsidRPr="003D56F0" w:rsidRDefault="00F56C53" w:rsidP="00CC7EC2">
            <w:pPr>
              <w:rPr>
                <w:sz w:val="20"/>
                <w:szCs w:val="20"/>
                <w:lang w:val="en-US"/>
              </w:rPr>
            </w:pPr>
            <w:r w:rsidRPr="003D56F0">
              <w:rPr>
                <w:sz w:val="20"/>
                <w:szCs w:val="20"/>
                <w:lang w:val="en-US"/>
              </w:rPr>
              <w:t>Input/Outcome</w:t>
            </w:r>
          </w:p>
        </w:tc>
        <w:tc>
          <w:tcPr>
            <w:tcW w:w="0" w:type="auto"/>
            <w:tcBorders>
              <w:top w:val="single" w:sz="4" w:space="0" w:color="auto"/>
              <w:left w:val="nil"/>
              <w:bottom w:val="single" w:sz="4" w:space="0" w:color="auto"/>
              <w:right w:val="single" w:sz="4" w:space="0" w:color="auto"/>
            </w:tcBorders>
            <w:shd w:val="clear" w:color="auto" w:fill="auto"/>
            <w:hideMark/>
          </w:tcPr>
          <w:p w14:paraId="65265587" w14:textId="77777777" w:rsidR="00F56C53" w:rsidRPr="003D56F0" w:rsidRDefault="00F56C53" w:rsidP="00AD2788">
            <w:pPr>
              <w:rPr>
                <w:sz w:val="20"/>
                <w:szCs w:val="20"/>
                <w:lang w:val="en-US"/>
              </w:rPr>
            </w:pPr>
            <w:r w:rsidRPr="003D56F0">
              <w:rPr>
                <w:sz w:val="20"/>
                <w:szCs w:val="20"/>
                <w:lang w:val="en-US"/>
              </w:rPr>
              <w:t>Assumption</w:t>
            </w:r>
          </w:p>
        </w:tc>
        <w:tc>
          <w:tcPr>
            <w:tcW w:w="0" w:type="auto"/>
            <w:tcBorders>
              <w:top w:val="single" w:sz="4" w:space="0" w:color="auto"/>
              <w:left w:val="nil"/>
              <w:bottom w:val="single" w:sz="4" w:space="0" w:color="auto"/>
              <w:right w:val="single" w:sz="4" w:space="0" w:color="auto"/>
            </w:tcBorders>
            <w:shd w:val="clear" w:color="auto" w:fill="auto"/>
            <w:hideMark/>
          </w:tcPr>
          <w:p w14:paraId="0AAC00E6" w14:textId="77777777" w:rsidR="00F56C53" w:rsidRPr="003D56F0" w:rsidRDefault="00F56C53" w:rsidP="003D56F0">
            <w:pPr>
              <w:rPr>
                <w:rFonts w:eastAsia="Times New Roman"/>
                <w:color w:val="000000"/>
                <w:sz w:val="20"/>
                <w:szCs w:val="20"/>
                <w:lang w:val="en-US"/>
              </w:rPr>
            </w:pPr>
            <w:r w:rsidRPr="003D56F0">
              <w:rPr>
                <w:sz w:val="20"/>
                <w:szCs w:val="20"/>
                <w:lang w:val="en-US"/>
              </w:rPr>
              <w:t>Data source</w:t>
            </w:r>
          </w:p>
        </w:tc>
      </w:tr>
      <w:tr w:rsidR="00F56C53" w:rsidRPr="003D56F0" w14:paraId="1B74FA7B" w14:textId="77777777" w:rsidTr="00CC76A6">
        <w:trPr>
          <w:trHeight w:val="300"/>
          <w:jc w:val="center"/>
        </w:trPr>
        <w:tc>
          <w:tcPr>
            <w:tcW w:w="0" w:type="auto"/>
            <w:tcBorders>
              <w:top w:val="nil"/>
              <w:left w:val="single" w:sz="4" w:space="0" w:color="auto"/>
              <w:bottom w:val="single" w:sz="4" w:space="0" w:color="auto"/>
              <w:right w:val="single" w:sz="4" w:space="0" w:color="auto"/>
            </w:tcBorders>
            <w:shd w:val="clear" w:color="auto" w:fill="auto"/>
            <w:hideMark/>
          </w:tcPr>
          <w:p w14:paraId="5B6D433F" w14:textId="77777777" w:rsidR="00F56C53" w:rsidRPr="003D56F0" w:rsidRDefault="00F56C53" w:rsidP="00CC7EC2">
            <w:pPr>
              <w:rPr>
                <w:sz w:val="20"/>
                <w:szCs w:val="20"/>
              </w:rPr>
            </w:pPr>
            <w:r w:rsidRPr="003D56F0">
              <w:rPr>
                <w:sz w:val="20"/>
                <w:szCs w:val="20"/>
              </w:rPr>
              <w:t>Target population</w:t>
            </w:r>
          </w:p>
        </w:tc>
        <w:tc>
          <w:tcPr>
            <w:tcW w:w="0" w:type="auto"/>
            <w:tcBorders>
              <w:top w:val="nil"/>
              <w:left w:val="nil"/>
              <w:bottom w:val="single" w:sz="4" w:space="0" w:color="auto"/>
              <w:right w:val="single" w:sz="4" w:space="0" w:color="auto"/>
            </w:tcBorders>
            <w:shd w:val="clear" w:color="auto" w:fill="auto"/>
            <w:hideMark/>
          </w:tcPr>
          <w:p w14:paraId="09B9A6D3" w14:textId="77777777" w:rsidR="00F56C53" w:rsidRPr="003D56F0" w:rsidRDefault="00F56C53" w:rsidP="00AD2788">
            <w:pPr>
              <w:rPr>
                <w:sz w:val="20"/>
                <w:szCs w:val="20"/>
              </w:rPr>
            </w:pPr>
            <w:r w:rsidRPr="003D56F0">
              <w:rPr>
                <w:sz w:val="20"/>
                <w:szCs w:val="20"/>
              </w:rPr>
              <w:t>85,354</w:t>
            </w:r>
          </w:p>
        </w:tc>
        <w:tc>
          <w:tcPr>
            <w:tcW w:w="0" w:type="auto"/>
            <w:tcBorders>
              <w:top w:val="nil"/>
              <w:left w:val="nil"/>
              <w:bottom w:val="single" w:sz="4" w:space="0" w:color="auto"/>
              <w:right w:val="single" w:sz="4" w:space="0" w:color="auto"/>
            </w:tcBorders>
            <w:shd w:val="clear" w:color="auto" w:fill="auto"/>
            <w:hideMark/>
          </w:tcPr>
          <w:p w14:paraId="3241A573" w14:textId="77777777" w:rsidR="00F56C53" w:rsidRPr="003D56F0" w:rsidRDefault="00F56C53" w:rsidP="003D56F0">
            <w:pPr>
              <w:rPr>
                <w:rFonts w:eastAsia="Times New Roman"/>
                <w:color w:val="000000"/>
                <w:sz w:val="20"/>
                <w:szCs w:val="20"/>
              </w:rPr>
            </w:pPr>
            <w:r w:rsidRPr="003D56F0">
              <w:rPr>
                <w:sz w:val="20"/>
                <w:szCs w:val="20"/>
              </w:rPr>
              <w:t>Based on proportion of young people aged 10-15 whose parents use drugs from Hidden Harm (2003).</w:t>
            </w:r>
          </w:p>
        </w:tc>
      </w:tr>
      <w:tr w:rsidR="00F56C53" w:rsidRPr="003D56F0" w14:paraId="5B49E431" w14:textId="77777777" w:rsidTr="00CC76A6">
        <w:trPr>
          <w:trHeight w:val="300"/>
          <w:jc w:val="center"/>
        </w:trPr>
        <w:tc>
          <w:tcPr>
            <w:tcW w:w="0" w:type="auto"/>
            <w:tcBorders>
              <w:top w:val="nil"/>
              <w:left w:val="single" w:sz="4" w:space="0" w:color="auto"/>
              <w:bottom w:val="single" w:sz="4" w:space="0" w:color="auto"/>
              <w:right w:val="single" w:sz="4" w:space="0" w:color="auto"/>
            </w:tcBorders>
            <w:shd w:val="clear" w:color="auto" w:fill="auto"/>
            <w:hideMark/>
          </w:tcPr>
          <w:p w14:paraId="71BA0205" w14:textId="77777777" w:rsidR="00F56C53" w:rsidRPr="003D56F0" w:rsidRDefault="00F56C53" w:rsidP="00CC7EC2">
            <w:pPr>
              <w:rPr>
                <w:sz w:val="20"/>
                <w:szCs w:val="20"/>
              </w:rPr>
            </w:pPr>
            <w:r w:rsidRPr="003D56F0">
              <w:rPr>
                <w:sz w:val="20"/>
                <w:szCs w:val="20"/>
              </w:rPr>
              <w:t>Intervention cost</w:t>
            </w:r>
          </w:p>
        </w:tc>
        <w:tc>
          <w:tcPr>
            <w:tcW w:w="0" w:type="auto"/>
            <w:tcBorders>
              <w:top w:val="nil"/>
              <w:left w:val="nil"/>
              <w:bottom w:val="single" w:sz="4" w:space="0" w:color="auto"/>
              <w:right w:val="single" w:sz="4" w:space="0" w:color="auto"/>
            </w:tcBorders>
            <w:shd w:val="clear" w:color="auto" w:fill="auto"/>
            <w:hideMark/>
          </w:tcPr>
          <w:p w14:paraId="07EC62A5" w14:textId="77777777" w:rsidR="00F56C53" w:rsidRPr="003D56F0" w:rsidRDefault="00F56C53" w:rsidP="00AD2788">
            <w:pPr>
              <w:rPr>
                <w:sz w:val="20"/>
                <w:szCs w:val="20"/>
              </w:rPr>
            </w:pPr>
            <w:r w:rsidRPr="003D56F0">
              <w:rPr>
                <w:sz w:val="20"/>
                <w:szCs w:val="20"/>
              </w:rPr>
              <w:t> £3,367</w:t>
            </w:r>
          </w:p>
        </w:tc>
        <w:tc>
          <w:tcPr>
            <w:tcW w:w="0" w:type="auto"/>
            <w:tcBorders>
              <w:top w:val="nil"/>
              <w:left w:val="nil"/>
              <w:bottom w:val="single" w:sz="4" w:space="0" w:color="auto"/>
              <w:right w:val="single" w:sz="4" w:space="0" w:color="auto"/>
            </w:tcBorders>
            <w:shd w:val="clear" w:color="auto" w:fill="auto"/>
            <w:hideMark/>
          </w:tcPr>
          <w:p w14:paraId="12910BEA" w14:textId="7B3471F8" w:rsidR="00F56C53" w:rsidRPr="003D56F0" w:rsidRDefault="00F56C53" w:rsidP="003D56F0">
            <w:pPr>
              <w:rPr>
                <w:rFonts w:eastAsia="Times New Roman"/>
                <w:color w:val="000000"/>
                <w:sz w:val="20"/>
                <w:szCs w:val="20"/>
              </w:rPr>
            </w:pPr>
            <w:r w:rsidRPr="003D56F0">
              <w:rPr>
                <w:rFonts w:eastAsia="Times New Roman"/>
                <w:color w:val="000000"/>
                <w:sz w:val="20"/>
                <w:szCs w:val="20"/>
              </w:rPr>
              <w:t> </w:t>
            </w:r>
            <w:r w:rsidRPr="003D56F0">
              <w:rPr>
                <w:sz w:val="20"/>
                <w:szCs w:val="20"/>
              </w:rPr>
              <w:t>p. 13 of a monograph on Focus on Families said “The average cost of delivering Focus on Families was $3,444 per client family.”</w:t>
            </w:r>
            <w:r w:rsidR="00783AD3" w:rsidRPr="003D56F0">
              <w:rPr>
                <w:sz w:val="20"/>
                <w:szCs w:val="20"/>
              </w:rPr>
              <w:t xml:space="preserve"> </w:t>
            </w:r>
          </w:p>
          <w:p w14:paraId="74833053" w14:textId="6693AB78" w:rsidR="00F56C53" w:rsidRPr="003D56F0" w:rsidRDefault="00783AD3">
            <w:pPr>
              <w:rPr>
                <w:sz w:val="20"/>
                <w:szCs w:val="20"/>
              </w:rPr>
            </w:pPr>
            <w:r w:rsidRPr="003D56F0">
              <w:rPr>
                <w:sz w:val="20"/>
                <w:szCs w:val="20"/>
              </w:rPr>
              <w:fldChar w:fldCharType="begin" w:fldLock="1"/>
            </w:r>
            <w:r w:rsidRPr="003D56F0">
              <w:rPr>
                <w:sz w:val="20"/>
                <w:szCs w:val="20"/>
              </w:rPr>
              <w:instrText>ADDIN CSL_CITATION { "citationItems" : [ { "id" : "ITEM-1", "itemData" : { "author" : [ { "dropping-particle" : "", "family" : "Plotnick", "given" : "Robert D", "non-dropping-particle" : "", "parse-names" : false, "suffix" : "" }, { "dropping-particle" : "", "family" : "Young", "given" : "Diane S", "non-dropping-particle" : "", "parse-names" : false, "suffix" : "" }, { "dropping-particle" : "", "family" : "Catalano", "given" : "Richard F", "non-dropping-particle" : "", "parse-names" : false, "suffix" : "" }, { "dropping-particle" : "", "family" : "Haggerty", "given" : "Kevin P", "non-dropping-particle" : "", "parse-names" : false, "suffix" : "" } ], "container-title" : "NIDA monograph", "id" : "ITEM-1", "issue" : "1989", "issued" : { "date-parts" : [ [ "1996" ] ] }, "number-of-pages" : "161-184", "title" : "Benefits and Costs of a Family- Focused Methadone Treatment and Drug Abuse Prevention Program : Preliminary Findings", "type" : "report" }, "uris" : [ "http://www.mendeley.com/documents/?uuid=a77c3d33-7194-4ce3-af72-623b99b7169e" ] } ], "mendeley" : { "formattedCitation" : "(Plotnick et al. 1996)", "plainTextFormattedCitation" : "(Plotnick et al. 1996)", "previouslyFormattedCitation" : "(Plotnick et al. 1996)" }, "properties" : { "noteIndex" : 0 }, "schema" : "https://github.com/citation-style-language/schema/raw/master/csl-citation.json" }</w:instrText>
            </w:r>
            <w:r w:rsidRPr="003D56F0">
              <w:rPr>
                <w:sz w:val="20"/>
                <w:szCs w:val="20"/>
              </w:rPr>
              <w:fldChar w:fldCharType="separate"/>
            </w:r>
            <w:r w:rsidRPr="003D56F0">
              <w:rPr>
                <w:noProof/>
                <w:sz w:val="20"/>
                <w:szCs w:val="20"/>
              </w:rPr>
              <w:t>(Plotnick et al. 1996)</w:t>
            </w:r>
            <w:r w:rsidRPr="003D56F0">
              <w:rPr>
                <w:sz w:val="20"/>
                <w:szCs w:val="20"/>
              </w:rPr>
              <w:fldChar w:fldCharType="end"/>
            </w:r>
          </w:p>
          <w:p w14:paraId="67E1C4DB" w14:textId="77777777" w:rsidR="00F56C53" w:rsidRPr="003D56F0" w:rsidRDefault="00F56C53">
            <w:pPr>
              <w:rPr>
                <w:rFonts w:eastAsia="Times New Roman"/>
                <w:color w:val="000000"/>
                <w:sz w:val="20"/>
                <w:szCs w:val="20"/>
              </w:rPr>
            </w:pPr>
            <w:r w:rsidRPr="003D56F0">
              <w:rPr>
                <w:sz w:val="20"/>
                <w:szCs w:val="20"/>
              </w:rPr>
              <w:t>The average cost was $3,444 per family in 1996 US dollars which converts to £3,367 in 2015 GBP.</w:t>
            </w:r>
          </w:p>
        </w:tc>
      </w:tr>
      <w:tr w:rsidR="00F56C53" w:rsidRPr="003D56F0" w14:paraId="387B9296" w14:textId="77777777" w:rsidTr="00CC76A6">
        <w:trPr>
          <w:trHeight w:val="900"/>
          <w:jc w:val="center"/>
        </w:trPr>
        <w:tc>
          <w:tcPr>
            <w:tcW w:w="0" w:type="auto"/>
            <w:tcBorders>
              <w:top w:val="nil"/>
              <w:left w:val="single" w:sz="4" w:space="0" w:color="auto"/>
              <w:bottom w:val="single" w:sz="4" w:space="0" w:color="auto"/>
              <w:right w:val="single" w:sz="4" w:space="0" w:color="auto"/>
            </w:tcBorders>
            <w:shd w:val="clear" w:color="auto" w:fill="auto"/>
            <w:hideMark/>
          </w:tcPr>
          <w:p w14:paraId="3CC41573" w14:textId="77777777" w:rsidR="00F56C53" w:rsidRPr="003D56F0" w:rsidRDefault="00F56C53" w:rsidP="00CC7EC2">
            <w:pPr>
              <w:rPr>
                <w:sz w:val="20"/>
                <w:szCs w:val="20"/>
              </w:rPr>
            </w:pPr>
            <w:r w:rsidRPr="003D56F0">
              <w:rPr>
                <w:sz w:val="20"/>
                <w:szCs w:val="20"/>
              </w:rPr>
              <w:t>Proportion of young people aged 10-15 whose parents use drugs</w:t>
            </w:r>
          </w:p>
        </w:tc>
        <w:tc>
          <w:tcPr>
            <w:tcW w:w="0" w:type="auto"/>
            <w:tcBorders>
              <w:top w:val="nil"/>
              <w:left w:val="nil"/>
              <w:bottom w:val="single" w:sz="4" w:space="0" w:color="auto"/>
              <w:right w:val="single" w:sz="4" w:space="0" w:color="auto"/>
            </w:tcBorders>
            <w:shd w:val="clear" w:color="auto" w:fill="auto"/>
            <w:hideMark/>
          </w:tcPr>
          <w:p w14:paraId="4977BAF6" w14:textId="77777777" w:rsidR="00F56C53" w:rsidRPr="003D56F0" w:rsidRDefault="00F56C53" w:rsidP="00AD2788">
            <w:pPr>
              <w:rPr>
                <w:sz w:val="20"/>
                <w:szCs w:val="20"/>
              </w:rPr>
            </w:pPr>
            <w:r w:rsidRPr="003D56F0">
              <w:rPr>
                <w:sz w:val="20"/>
                <w:szCs w:val="20"/>
              </w:rPr>
              <w:t>2.0%</w:t>
            </w:r>
          </w:p>
        </w:tc>
        <w:tc>
          <w:tcPr>
            <w:tcW w:w="0" w:type="auto"/>
            <w:tcBorders>
              <w:top w:val="nil"/>
              <w:left w:val="nil"/>
              <w:bottom w:val="single" w:sz="4" w:space="0" w:color="auto"/>
              <w:right w:val="single" w:sz="4" w:space="0" w:color="auto"/>
            </w:tcBorders>
            <w:shd w:val="clear" w:color="auto" w:fill="auto"/>
            <w:hideMark/>
          </w:tcPr>
          <w:p w14:paraId="114C5593" w14:textId="7E64197B" w:rsidR="00F56C53" w:rsidRPr="003D56F0" w:rsidRDefault="00F56C53" w:rsidP="003D56F0">
            <w:pPr>
              <w:rPr>
                <w:rFonts w:eastAsia="Times New Roman"/>
                <w:color w:val="000000"/>
                <w:sz w:val="20"/>
                <w:szCs w:val="20"/>
              </w:rPr>
            </w:pPr>
            <w:r w:rsidRPr="003D56F0">
              <w:rPr>
                <w:sz w:val="20"/>
                <w:szCs w:val="20"/>
              </w:rPr>
              <w:t xml:space="preserve">Based on data from </w:t>
            </w:r>
            <w:r w:rsidR="00992CFC" w:rsidRPr="003D56F0">
              <w:rPr>
                <w:sz w:val="20"/>
                <w:szCs w:val="20"/>
              </w:rPr>
              <w:t>ACMD</w:t>
            </w:r>
            <w:r w:rsidRPr="003D56F0">
              <w:rPr>
                <w:sz w:val="20"/>
                <w:szCs w:val="20"/>
              </w:rPr>
              <w:t xml:space="preserve"> (2003). Hidden harm: Responding to the needs of children of problem drug users. London: Home Office.</w:t>
            </w:r>
          </w:p>
        </w:tc>
      </w:tr>
      <w:tr w:rsidR="00F56C53" w:rsidRPr="003D56F0" w14:paraId="47B0A681" w14:textId="77777777" w:rsidTr="00CC76A6">
        <w:trPr>
          <w:trHeight w:val="600"/>
          <w:jc w:val="center"/>
        </w:trPr>
        <w:tc>
          <w:tcPr>
            <w:tcW w:w="0" w:type="auto"/>
            <w:tcBorders>
              <w:top w:val="nil"/>
              <w:left w:val="single" w:sz="4" w:space="0" w:color="auto"/>
              <w:bottom w:val="single" w:sz="4" w:space="0" w:color="auto"/>
              <w:right w:val="single" w:sz="4" w:space="0" w:color="auto"/>
            </w:tcBorders>
            <w:shd w:val="clear" w:color="auto" w:fill="auto"/>
            <w:hideMark/>
          </w:tcPr>
          <w:p w14:paraId="77B36872" w14:textId="77777777" w:rsidR="00F56C53" w:rsidRPr="003D56F0" w:rsidRDefault="00F56C53" w:rsidP="00CC7EC2">
            <w:pPr>
              <w:rPr>
                <w:sz w:val="20"/>
                <w:szCs w:val="20"/>
              </w:rPr>
            </w:pPr>
            <w:r w:rsidRPr="003D56F0">
              <w:rPr>
                <w:sz w:val="20"/>
                <w:szCs w:val="20"/>
              </w:rPr>
              <w:t>Drug use - base case model</w:t>
            </w:r>
          </w:p>
        </w:tc>
        <w:tc>
          <w:tcPr>
            <w:tcW w:w="0" w:type="auto"/>
            <w:tcBorders>
              <w:top w:val="nil"/>
              <w:left w:val="nil"/>
              <w:bottom w:val="single" w:sz="4" w:space="0" w:color="auto"/>
              <w:right w:val="single" w:sz="4" w:space="0" w:color="auto"/>
            </w:tcBorders>
            <w:shd w:val="clear" w:color="auto" w:fill="auto"/>
            <w:hideMark/>
          </w:tcPr>
          <w:p w14:paraId="38BAC318" w14:textId="77777777" w:rsidR="00F56C53" w:rsidRPr="003D56F0" w:rsidRDefault="00F56C53" w:rsidP="00AD2788">
            <w:pPr>
              <w:rPr>
                <w:sz w:val="20"/>
                <w:szCs w:val="20"/>
              </w:rPr>
            </w:pPr>
            <w:r w:rsidRPr="003D56F0">
              <w:rPr>
                <w:sz w:val="20"/>
                <w:szCs w:val="20"/>
              </w:rPr>
              <w:t>7%</w:t>
            </w:r>
          </w:p>
        </w:tc>
        <w:tc>
          <w:tcPr>
            <w:tcW w:w="0" w:type="auto"/>
            <w:tcBorders>
              <w:top w:val="nil"/>
              <w:left w:val="nil"/>
              <w:bottom w:val="single" w:sz="4" w:space="0" w:color="auto"/>
              <w:right w:val="single" w:sz="4" w:space="0" w:color="auto"/>
            </w:tcBorders>
            <w:shd w:val="clear" w:color="auto" w:fill="auto"/>
            <w:hideMark/>
          </w:tcPr>
          <w:p w14:paraId="6FDB35ED" w14:textId="77777777" w:rsidR="00F56C53" w:rsidRPr="003D56F0" w:rsidRDefault="00F56C53" w:rsidP="003D56F0">
            <w:pPr>
              <w:rPr>
                <w:rFonts w:eastAsia="Times New Roman"/>
                <w:color w:val="000000"/>
                <w:sz w:val="20"/>
                <w:szCs w:val="20"/>
              </w:rPr>
            </w:pPr>
            <w:r w:rsidRPr="003D56F0">
              <w:rPr>
                <w:sz w:val="20"/>
                <w:szCs w:val="20"/>
              </w:rPr>
              <w:t>Catalano paper reports the prevalence of cannabis use among the children of drug user parents.</w:t>
            </w:r>
          </w:p>
        </w:tc>
      </w:tr>
      <w:tr w:rsidR="00F56C53" w:rsidRPr="003D56F0" w14:paraId="2AED98E8" w14:textId="77777777" w:rsidTr="00CC76A6">
        <w:trPr>
          <w:trHeight w:val="1200"/>
          <w:jc w:val="center"/>
        </w:trPr>
        <w:tc>
          <w:tcPr>
            <w:tcW w:w="0" w:type="auto"/>
            <w:tcBorders>
              <w:top w:val="nil"/>
              <w:left w:val="single" w:sz="4" w:space="0" w:color="auto"/>
              <w:bottom w:val="single" w:sz="4" w:space="0" w:color="auto"/>
              <w:right w:val="single" w:sz="4" w:space="0" w:color="auto"/>
            </w:tcBorders>
            <w:shd w:val="clear" w:color="auto" w:fill="auto"/>
            <w:hideMark/>
          </w:tcPr>
          <w:p w14:paraId="5EF081CC" w14:textId="77777777" w:rsidR="00F56C53" w:rsidRPr="003D56F0" w:rsidRDefault="00F56C53" w:rsidP="00CC7EC2">
            <w:pPr>
              <w:rPr>
                <w:sz w:val="20"/>
                <w:szCs w:val="20"/>
              </w:rPr>
            </w:pPr>
            <w:r w:rsidRPr="003D56F0">
              <w:rPr>
                <w:sz w:val="20"/>
                <w:szCs w:val="20"/>
              </w:rPr>
              <w:t>Drug use - maintained reduction scenario</w:t>
            </w:r>
          </w:p>
        </w:tc>
        <w:tc>
          <w:tcPr>
            <w:tcW w:w="0" w:type="auto"/>
            <w:tcBorders>
              <w:top w:val="nil"/>
              <w:left w:val="nil"/>
              <w:bottom w:val="single" w:sz="4" w:space="0" w:color="auto"/>
              <w:right w:val="single" w:sz="4" w:space="0" w:color="auto"/>
            </w:tcBorders>
            <w:shd w:val="clear" w:color="auto" w:fill="auto"/>
            <w:hideMark/>
          </w:tcPr>
          <w:p w14:paraId="4BB04E45" w14:textId="77777777" w:rsidR="00F56C53" w:rsidRPr="003D56F0" w:rsidRDefault="00F56C53" w:rsidP="00AD2788">
            <w:pPr>
              <w:rPr>
                <w:sz w:val="20"/>
                <w:szCs w:val="20"/>
              </w:rPr>
            </w:pPr>
            <w:r w:rsidRPr="003D56F0">
              <w:rPr>
                <w:sz w:val="20"/>
                <w:szCs w:val="20"/>
              </w:rPr>
              <w:t>2%,7% (intervention) and 9%,9% (control) in 6 months and 12 months follow up</w:t>
            </w:r>
          </w:p>
        </w:tc>
        <w:tc>
          <w:tcPr>
            <w:tcW w:w="0" w:type="auto"/>
            <w:tcBorders>
              <w:top w:val="nil"/>
              <w:left w:val="nil"/>
              <w:bottom w:val="single" w:sz="4" w:space="0" w:color="auto"/>
              <w:right w:val="single" w:sz="4" w:space="0" w:color="auto"/>
            </w:tcBorders>
            <w:shd w:val="clear" w:color="auto" w:fill="auto"/>
            <w:hideMark/>
          </w:tcPr>
          <w:p w14:paraId="45B77AC4" w14:textId="77777777" w:rsidR="00F56C53" w:rsidRPr="003D56F0" w:rsidRDefault="00F56C53" w:rsidP="003D56F0">
            <w:pPr>
              <w:rPr>
                <w:rFonts w:eastAsia="Times New Roman"/>
                <w:color w:val="000000"/>
                <w:sz w:val="20"/>
                <w:szCs w:val="20"/>
              </w:rPr>
            </w:pPr>
            <w:r w:rsidRPr="003D56F0">
              <w:rPr>
                <w:sz w:val="20"/>
                <w:szCs w:val="20"/>
              </w:rPr>
              <w:t>The model is restricted to available data for 6 months and 12 months follow ups.</w:t>
            </w:r>
          </w:p>
        </w:tc>
      </w:tr>
      <w:tr w:rsidR="00F56C53" w:rsidRPr="003D56F0" w14:paraId="7855A2AE" w14:textId="77777777" w:rsidTr="00CC76A6">
        <w:trPr>
          <w:trHeight w:val="600"/>
          <w:jc w:val="center"/>
        </w:trPr>
        <w:tc>
          <w:tcPr>
            <w:tcW w:w="0" w:type="auto"/>
            <w:tcBorders>
              <w:top w:val="nil"/>
              <w:left w:val="single" w:sz="4" w:space="0" w:color="auto"/>
              <w:bottom w:val="single" w:sz="4" w:space="0" w:color="auto"/>
              <w:right w:val="single" w:sz="4" w:space="0" w:color="auto"/>
            </w:tcBorders>
            <w:shd w:val="clear" w:color="auto" w:fill="auto"/>
            <w:hideMark/>
          </w:tcPr>
          <w:p w14:paraId="780FBEBD" w14:textId="77777777" w:rsidR="00F56C53" w:rsidRPr="003D56F0" w:rsidRDefault="00F56C53" w:rsidP="00CC7EC2">
            <w:pPr>
              <w:rPr>
                <w:sz w:val="20"/>
                <w:szCs w:val="20"/>
              </w:rPr>
            </w:pPr>
            <w:r w:rsidRPr="003D56F0">
              <w:rPr>
                <w:sz w:val="20"/>
                <w:szCs w:val="20"/>
              </w:rPr>
              <w:t xml:space="preserve">Risk of psychosis in cannabis users </w:t>
            </w:r>
          </w:p>
        </w:tc>
        <w:tc>
          <w:tcPr>
            <w:tcW w:w="0" w:type="auto"/>
            <w:tcBorders>
              <w:top w:val="nil"/>
              <w:left w:val="nil"/>
              <w:bottom w:val="single" w:sz="4" w:space="0" w:color="auto"/>
              <w:right w:val="single" w:sz="4" w:space="0" w:color="auto"/>
            </w:tcBorders>
            <w:shd w:val="clear" w:color="auto" w:fill="auto"/>
            <w:hideMark/>
          </w:tcPr>
          <w:p w14:paraId="0F155D49" w14:textId="77777777" w:rsidR="00F56C53" w:rsidRPr="003D56F0" w:rsidRDefault="00F56C53" w:rsidP="00AD2788">
            <w:pPr>
              <w:rPr>
                <w:sz w:val="20"/>
                <w:szCs w:val="20"/>
              </w:rPr>
            </w:pPr>
            <w:r w:rsidRPr="003D56F0">
              <w:rPr>
                <w:sz w:val="20"/>
                <w:szCs w:val="20"/>
              </w:rPr>
              <w:t>0.014</w:t>
            </w:r>
          </w:p>
        </w:tc>
        <w:tc>
          <w:tcPr>
            <w:tcW w:w="0" w:type="auto"/>
            <w:tcBorders>
              <w:top w:val="nil"/>
              <w:left w:val="nil"/>
              <w:bottom w:val="single" w:sz="4" w:space="0" w:color="auto"/>
              <w:right w:val="single" w:sz="4" w:space="0" w:color="auto"/>
            </w:tcBorders>
            <w:shd w:val="clear" w:color="auto" w:fill="auto"/>
            <w:hideMark/>
          </w:tcPr>
          <w:p w14:paraId="41A8807A" w14:textId="77777777" w:rsidR="00F56C53" w:rsidRPr="003D56F0" w:rsidRDefault="00F56C53" w:rsidP="003D56F0">
            <w:pPr>
              <w:rPr>
                <w:rFonts w:eastAsia="Times New Roman"/>
                <w:color w:val="000000"/>
                <w:sz w:val="20"/>
                <w:szCs w:val="20"/>
              </w:rPr>
            </w:pPr>
            <w:r w:rsidRPr="003D56F0">
              <w:rPr>
                <w:sz w:val="20"/>
                <w:szCs w:val="20"/>
              </w:rPr>
              <w:t>Based on Hall (2015) risk of psychosis is 7 in 1000 for non cannabis users and 14 in 1000 for cannabis users.</w:t>
            </w:r>
          </w:p>
        </w:tc>
      </w:tr>
      <w:tr w:rsidR="00F56C53" w:rsidRPr="003D56F0" w14:paraId="20C87EA5" w14:textId="77777777" w:rsidTr="00CC76A6">
        <w:trPr>
          <w:trHeight w:val="600"/>
          <w:jc w:val="center"/>
        </w:trPr>
        <w:tc>
          <w:tcPr>
            <w:tcW w:w="0" w:type="auto"/>
            <w:tcBorders>
              <w:top w:val="nil"/>
              <w:left w:val="single" w:sz="4" w:space="0" w:color="auto"/>
              <w:bottom w:val="single" w:sz="4" w:space="0" w:color="auto"/>
              <w:right w:val="single" w:sz="4" w:space="0" w:color="auto"/>
            </w:tcBorders>
            <w:shd w:val="clear" w:color="auto" w:fill="auto"/>
            <w:hideMark/>
          </w:tcPr>
          <w:p w14:paraId="084EEFAA" w14:textId="77777777" w:rsidR="00F56C53" w:rsidRPr="003D56F0" w:rsidRDefault="00F56C53" w:rsidP="00CC7EC2">
            <w:pPr>
              <w:rPr>
                <w:sz w:val="20"/>
                <w:szCs w:val="20"/>
              </w:rPr>
            </w:pPr>
            <w:r w:rsidRPr="003D56F0">
              <w:rPr>
                <w:sz w:val="20"/>
                <w:szCs w:val="20"/>
              </w:rPr>
              <w:t>Psychosis service costs</w:t>
            </w:r>
          </w:p>
        </w:tc>
        <w:tc>
          <w:tcPr>
            <w:tcW w:w="0" w:type="auto"/>
            <w:tcBorders>
              <w:top w:val="nil"/>
              <w:left w:val="nil"/>
              <w:bottom w:val="single" w:sz="4" w:space="0" w:color="auto"/>
              <w:right w:val="single" w:sz="4" w:space="0" w:color="auto"/>
            </w:tcBorders>
            <w:shd w:val="clear" w:color="auto" w:fill="auto"/>
            <w:hideMark/>
          </w:tcPr>
          <w:p w14:paraId="574D0960" w14:textId="77777777" w:rsidR="00F56C53" w:rsidRPr="003D56F0" w:rsidRDefault="00F56C53" w:rsidP="00AD2788">
            <w:pPr>
              <w:rPr>
                <w:sz w:val="20"/>
                <w:szCs w:val="20"/>
              </w:rPr>
            </w:pPr>
            <w:r w:rsidRPr="003D56F0">
              <w:rPr>
                <w:sz w:val="20"/>
                <w:szCs w:val="20"/>
              </w:rPr>
              <w:t>£13,136 per year</w:t>
            </w:r>
          </w:p>
        </w:tc>
        <w:tc>
          <w:tcPr>
            <w:tcW w:w="0" w:type="auto"/>
            <w:tcBorders>
              <w:top w:val="nil"/>
              <w:left w:val="nil"/>
              <w:bottom w:val="single" w:sz="4" w:space="0" w:color="auto"/>
              <w:right w:val="single" w:sz="4" w:space="0" w:color="auto"/>
            </w:tcBorders>
            <w:shd w:val="clear" w:color="auto" w:fill="auto"/>
            <w:hideMark/>
          </w:tcPr>
          <w:p w14:paraId="416D7FB1" w14:textId="77777777" w:rsidR="00F56C53" w:rsidRPr="003D56F0" w:rsidRDefault="00F56C53" w:rsidP="003D56F0">
            <w:pPr>
              <w:rPr>
                <w:rFonts w:eastAsia="Times New Roman"/>
                <w:color w:val="000000"/>
                <w:sz w:val="20"/>
                <w:szCs w:val="20"/>
              </w:rPr>
            </w:pPr>
            <w:r w:rsidRPr="003D56F0">
              <w:rPr>
                <w:sz w:val="20"/>
                <w:szCs w:val="20"/>
              </w:rPr>
              <w:t xml:space="preserve">Based on data on prevalence of psychosis for different age groups and annual costs for non-affective psychoses from Kirkbride et al (2012) </w:t>
            </w:r>
          </w:p>
        </w:tc>
      </w:tr>
      <w:tr w:rsidR="00F56C53" w:rsidRPr="003D56F0" w14:paraId="599860F3" w14:textId="77777777" w:rsidTr="00CC76A6">
        <w:trPr>
          <w:trHeight w:val="300"/>
          <w:jc w:val="center"/>
        </w:trPr>
        <w:tc>
          <w:tcPr>
            <w:tcW w:w="0" w:type="auto"/>
            <w:tcBorders>
              <w:top w:val="nil"/>
              <w:left w:val="single" w:sz="4" w:space="0" w:color="auto"/>
              <w:bottom w:val="single" w:sz="4" w:space="0" w:color="auto"/>
              <w:right w:val="single" w:sz="4" w:space="0" w:color="auto"/>
            </w:tcBorders>
            <w:shd w:val="clear" w:color="auto" w:fill="auto"/>
            <w:hideMark/>
          </w:tcPr>
          <w:p w14:paraId="46AF5582" w14:textId="77777777" w:rsidR="00F56C53" w:rsidRPr="003D56F0" w:rsidRDefault="00F56C53" w:rsidP="00CC7EC2">
            <w:pPr>
              <w:rPr>
                <w:sz w:val="20"/>
                <w:szCs w:val="20"/>
              </w:rPr>
            </w:pPr>
            <w:r w:rsidRPr="003D56F0">
              <w:rPr>
                <w:sz w:val="20"/>
                <w:szCs w:val="20"/>
              </w:rPr>
              <w:t>Psychosis informal care costs</w:t>
            </w:r>
          </w:p>
        </w:tc>
        <w:tc>
          <w:tcPr>
            <w:tcW w:w="0" w:type="auto"/>
            <w:tcBorders>
              <w:top w:val="nil"/>
              <w:left w:val="nil"/>
              <w:bottom w:val="single" w:sz="4" w:space="0" w:color="auto"/>
              <w:right w:val="single" w:sz="4" w:space="0" w:color="auto"/>
            </w:tcBorders>
            <w:shd w:val="clear" w:color="auto" w:fill="auto"/>
            <w:hideMark/>
          </w:tcPr>
          <w:p w14:paraId="4F7046B3" w14:textId="77777777" w:rsidR="00F56C53" w:rsidRPr="003D56F0" w:rsidRDefault="00F56C53" w:rsidP="00AD2788">
            <w:pPr>
              <w:rPr>
                <w:sz w:val="20"/>
                <w:szCs w:val="20"/>
              </w:rPr>
            </w:pPr>
            <w:r w:rsidRPr="003D56F0">
              <w:rPr>
                <w:sz w:val="20"/>
                <w:szCs w:val="20"/>
              </w:rPr>
              <w:t>£4,424 per year</w:t>
            </w:r>
          </w:p>
        </w:tc>
        <w:tc>
          <w:tcPr>
            <w:tcW w:w="0" w:type="auto"/>
            <w:tcBorders>
              <w:top w:val="nil"/>
              <w:left w:val="nil"/>
              <w:bottom w:val="single" w:sz="4" w:space="0" w:color="auto"/>
              <w:right w:val="single" w:sz="4" w:space="0" w:color="auto"/>
            </w:tcBorders>
            <w:shd w:val="clear" w:color="auto" w:fill="auto"/>
            <w:hideMark/>
          </w:tcPr>
          <w:p w14:paraId="21551F24" w14:textId="77777777" w:rsidR="00F56C53" w:rsidRPr="003D56F0" w:rsidRDefault="00F56C53" w:rsidP="003D56F0">
            <w:pPr>
              <w:rPr>
                <w:rFonts w:eastAsia="Times New Roman"/>
                <w:color w:val="000000"/>
                <w:sz w:val="20"/>
                <w:szCs w:val="20"/>
              </w:rPr>
            </w:pPr>
            <w:r w:rsidRPr="003D56F0">
              <w:rPr>
                <w:sz w:val="20"/>
                <w:szCs w:val="20"/>
              </w:rPr>
              <w:t xml:space="preserve">Based on data on average informal care costs reported by Kirkbride et al. (2012) </w:t>
            </w:r>
          </w:p>
        </w:tc>
      </w:tr>
      <w:tr w:rsidR="00F56C53" w:rsidRPr="003D56F0" w14:paraId="7889C231" w14:textId="77777777" w:rsidTr="00CC76A6">
        <w:trPr>
          <w:trHeight w:val="600"/>
          <w:jc w:val="center"/>
        </w:trPr>
        <w:tc>
          <w:tcPr>
            <w:tcW w:w="0" w:type="auto"/>
            <w:tcBorders>
              <w:top w:val="nil"/>
              <w:left w:val="single" w:sz="4" w:space="0" w:color="auto"/>
              <w:bottom w:val="single" w:sz="4" w:space="0" w:color="auto"/>
              <w:right w:val="single" w:sz="4" w:space="0" w:color="auto"/>
            </w:tcBorders>
            <w:shd w:val="clear" w:color="auto" w:fill="auto"/>
            <w:hideMark/>
          </w:tcPr>
          <w:p w14:paraId="45CC1EF2" w14:textId="77777777" w:rsidR="00F56C53" w:rsidRPr="003D56F0" w:rsidRDefault="00F56C53" w:rsidP="00CC7EC2">
            <w:pPr>
              <w:rPr>
                <w:sz w:val="20"/>
                <w:szCs w:val="20"/>
              </w:rPr>
            </w:pPr>
            <w:r w:rsidRPr="003D56F0">
              <w:rPr>
                <w:sz w:val="20"/>
                <w:szCs w:val="20"/>
              </w:rPr>
              <w:t>Utility scores of patients with psychosis</w:t>
            </w:r>
          </w:p>
        </w:tc>
        <w:tc>
          <w:tcPr>
            <w:tcW w:w="0" w:type="auto"/>
            <w:tcBorders>
              <w:top w:val="nil"/>
              <w:left w:val="nil"/>
              <w:bottom w:val="single" w:sz="4" w:space="0" w:color="auto"/>
              <w:right w:val="single" w:sz="4" w:space="0" w:color="auto"/>
            </w:tcBorders>
            <w:shd w:val="clear" w:color="auto" w:fill="auto"/>
            <w:hideMark/>
          </w:tcPr>
          <w:p w14:paraId="42CC0D7E" w14:textId="77777777" w:rsidR="00F56C53" w:rsidRPr="003D56F0" w:rsidRDefault="00F56C53" w:rsidP="00AD2788">
            <w:pPr>
              <w:rPr>
                <w:sz w:val="20"/>
                <w:szCs w:val="20"/>
              </w:rPr>
            </w:pPr>
            <w:r w:rsidRPr="003D56F0">
              <w:rPr>
                <w:sz w:val="20"/>
                <w:szCs w:val="20"/>
              </w:rPr>
              <w:t xml:space="preserve">0.68 </w:t>
            </w:r>
          </w:p>
        </w:tc>
        <w:tc>
          <w:tcPr>
            <w:tcW w:w="0" w:type="auto"/>
            <w:tcBorders>
              <w:top w:val="nil"/>
              <w:left w:val="nil"/>
              <w:bottom w:val="single" w:sz="4" w:space="0" w:color="auto"/>
              <w:right w:val="single" w:sz="4" w:space="0" w:color="auto"/>
            </w:tcBorders>
            <w:shd w:val="clear" w:color="auto" w:fill="auto"/>
            <w:hideMark/>
          </w:tcPr>
          <w:p w14:paraId="292E83F9" w14:textId="77777777" w:rsidR="00F56C53" w:rsidRPr="003D56F0" w:rsidRDefault="00F56C53" w:rsidP="003D56F0">
            <w:pPr>
              <w:rPr>
                <w:rFonts w:eastAsia="Times New Roman"/>
                <w:color w:val="000000"/>
                <w:sz w:val="20"/>
                <w:szCs w:val="20"/>
              </w:rPr>
            </w:pPr>
            <w:r w:rsidRPr="003D56F0">
              <w:rPr>
                <w:sz w:val="20"/>
                <w:szCs w:val="20"/>
              </w:rPr>
              <w:t>Based on EQ-5D scores for patients with schizophrenia (which were similar to SF-6D) reported in McCrone et al. (2012)</w:t>
            </w:r>
          </w:p>
        </w:tc>
      </w:tr>
      <w:tr w:rsidR="00F56C53" w:rsidRPr="003D56F0" w14:paraId="37E37BA6" w14:textId="77777777" w:rsidTr="00CC76A6">
        <w:trPr>
          <w:trHeight w:val="600"/>
          <w:jc w:val="center"/>
        </w:trPr>
        <w:tc>
          <w:tcPr>
            <w:tcW w:w="0" w:type="auto"/>
            <w:tcBorders>
              <w:top w:val="nil"/>
              <w:left w:val="single" w:sz="4" w:space="0" w:color="auto"/>
              <w:bottom w:val="single" w:sz="4" w:space="0" w:color="auto"/>
              <w:right w:val="single" w:sz="4" w:space="0" w:color="auto"/>
            </w:tcBorders>
            <w:shd w:val="clear" w:color="auto" w:fill="auto"/>
            <w:hideMark/>
          </w:tcPr>
          <w:p w14:paraId="57EBD0BA" w14:textId="77777777" w:rsidR="00F56C53" w:rsidRPr="003D56F0" w:rsidRDefault="00F56C53" w:rsidP="00CC7EC2">
            <w:pPr>
              <w:rPr>
                <w:sz w:val="20"/>
                <w:szCs w:val="20"/>
              </w:rPr>
            </w:pPr>
            <w:r w:rsidRPr="003D56F0">
              <w:rPr>
                <w:sz w:val="20"/>
                <w:szCs w:val="20"/>
              </w:rPr>
              <w:t>Cannabis arrest cost</w:t>
            </w:r>
          </w:p>
        </w:tc>
        <w:tc>
          <w:tcPr>
            <w:tcW w:w="0" w:type="auto"/>
            <w:tcBorders>
              <w:top w:val="nil"/>
              <w:left w:val="nil"/>
              <w:bottom w:val="single" w:sz="4" w:space="0" w:color="auto"/>
              <w:right w:val="single" w:sz="4" w:space="0" w:color="auto"/>
            </w:tcBorders>
            <w:shd w:val="clear" w:color="auto" w:fill="auto"/>
            <w:hideMark/>
          </w:tcPr>
          <w:p w14:paraId="0CB36463" w14:textId="77777777" w:rsidR="00F56C53" w:rsidRPr="003D56F0" w:rsidRDefault="00F56C53" w:rsidP="00AD2788">
            <w:pPr>
              <w:rPr>
                <w:sz w:val="20"/>
                <w:szCs w:val="20"/>
              </w:rPr>
            </w:pPr>
            <w:r w:rsidRPr="003D56F0">
              <w:rPr>
                <w:sz w:val="20"/>
                <w:szCs w:val="20"/>
              </w:rPr>
              <w:t>£500 per cannabis offence</w:t>
            </w:r>
          </w:p>
        </w:tc>
        <w:tc>
          <w:tcPr>
            <w:tcW w:w="0" w:type="auto"/>
            <w:tcBorders>
              <w:top w:val="nil"/>
              <w:left w:val="nil"/>
              <w:bottom w:val="single" w:sz="4" w:space="0" w:color="auto"/>
              <w:right w:val="single" w:sz="4" w:space="0" w:color="auto"/>
            </w:tcBorders>
            <w:shd w:val="clear" w:color="auto" w:fill="auto"/>
            <w:hideMark/>
          </w:tcPr>
          <w:p w14:paraId="591EE442" w14:textId="5741BE2F" w:rsidR="00F56C53" w:rsidRPr="003D56F0" w:rsidRDefault="00F56C53" w:rsidP="003D56F0">
            <w:pPr>
              <w:rPr>
                <w:rFonts w:eastAsia="Times New Roman"/>
                <w:color w:val="000000"/>
                <w:sz w:val="20"/>
                <w:szCs w:val="20"/>
              </w:rPr>
            </w:pPr>
            <w:r w:rsidRPr="003D56F0">
              <w:rPr>
                <w:sz w:val="20"/>
                <w:szCs w:val="20"/>
              </w:rPr>
              <w:t xml:space="preserve">Based on officers' time spent on investigating cannabis cases from </w:t>
            </w:r>
            <w:r w:rsidR="00783AD3" w:rsidRPr="003D56F0">
              <w:rPr>
                <w:sz w:val="20"/>
                <w:szCs w:val="20"/>
              </w:rPr>
              <w:fldChar w:fldCharType="begin" w:fldLock="1"/>
            </w:r>
            <w:r w:rsidR="00783AD3" w:rsidRPr="003D56F0">
              <w:rPr>
                <w:sz w:val="20"/>
                <w:szCs w:val="20"/>
              </w:rPr>
              <w:instrText>ADDIN CSL_CITATION { "citationItems" : [ { "id" : "ITEM-1", "itemData" : { "author" : [ { "dropping-particle" : "", "family" : "May", "given" : "Tiggey", "non-dropping-particle" : "", "parse-names" : false, "suffix" : "" }, { "dropping-particle" : "", "family" : "Warburton", "given" : "Hamish", "non-dropping-particle" : "", "parse-names" : false, "suffix" : "" }, { "dropping-particle" : "", "family" : "Turnbull", "given" : "Paul J", "non-dropping-particle" : "", "parse-names" : false, "suffix" : "" }, { "dropping-particle" : "", "family" : "Hough", "given" : "Mike", "non-dropping-particle" : "", "parse-names" : false, "suffix" : "" } ], "id" : "ITEM-1", "issued" : { "date-parts" : [ [ "2002" ] ] }, "title" : "Times they are a-changing Policing of cannabis", "type" : "report" }, "uris" : [ "http://www.mendeley.com/documents/?uuid=2f8462f6-3a03-4229-9251-dd772373d8e4" ] } ], "mendeley" : { "formattedCitation" : "(May et al. 2002)", "manualFormatting" : "May et al. (2002)", "plainTextFormattedCitation" : "(May et al. 2002)", "previouslyFormattedCitation" : "(May et al. 2002)" }, "properties" : { "noteIndex" : 0 }, "schema" : "https://github.com/citation-style-language/schema/raw/master/csl-citation.json" }</w:instrText>
            </w:r>
            <w:r w:rsidR="00783AD3" w:rsidRPr="003D56F0">
              <w:rPr>
                <w:sz w:val="20"/>
                <w:szCs w:val="20"/>
              </w:rPr>
              <w:fldChar w:fldCharType="separate"/>
            </w:r>
            <w:r w:rsidR="00783AD3" w:rsidRPr="003D56F0">
              <w:rPr>
                <w:noProof/>
                <w:sz w:val="20"/>
                <w:szCs w:val="20"/>
              </w:rPr>
              <w:t>May et al. (2002)</w:t>
            </w:r>
            <w:r w:rsidR="00783AD3" w:rsidRPr="003D56F0">
              <w:rPr>
                <w:sz w:val="20"/>
                <w:szCs w:val="20"/>
              </w:rPr>
              <w:fldChar w:fldCharType="end"/>
            </w:r>
            <w:r w:rsidRPr="003D56F0">
              <w:rPr>
                <w:sz w:val="20"/>
                <w:szCs w:val="20"/>
              </w:rPr>
              <w:t xml:space="preserve"> </w:t>
            </w:r>
          </w:p>
          <w:p w14:paraId="11279DF5" w14:textId="34BE1251" w:rsidR="00F56C53" w:rsidRPr="003D56F0" w:rsidRDefault="00F56C53" w:rsidP="003D56F0">
            <w:pPr>
              <w:rPr>
                <w:rFonts w:eastAsia="Times New Roman"/>
                <w:color w:val="000000"/>
                <w:sz w:val="20"/>
                <w:szCs w:val="20"/>
              </w:rPr>
            </w:pPr>
            <w:r w:rsidRPr="003D56F0">
              <w:rPr>
                <w:sz w:val="20"/>
                <w:szCs w:val="20"/>
              </w:rPr>
              <w:t xml:space="preserve">Sensitivity analysis was used to adjust crime </w:t>
            </w:r>
            <w:r w:rsidRPr="003D56F0">
              <w:rPr>
                <w:sz w:val="20"/>
                <w:szCs w:val="20"/>
              </w:rPr>
              <w:lastRenderedPageBreak/>
              <w:t xml:space="preserve">cost to account for average yearly cost per young offender who did not receive any custodial sentence to £5,677 from </w:t>
            </w:r>
            <w:r w:rsidR="00783AD3" w:rsidRPr="003D56F0">
              <w:rPr>
                <w:sz w:val="20"/>
                <w:szCs w:val="20"/>
              </w:rPr>
              <w:fldChar w:fldCharType="begin" w:fldLock="1"/>
            </w:r>
            <w:r w:rsidR="00783AD3" w:rsidRPr="003D56F0">
              <w:rPr>
                <w:sz w:val="20"/>
                <w:szCs w:val="20"/>
              </w:rPr>
              <w:instrText>ADDIN CSL_CITATION { "citationItems" : [ { "id" : "ITEM-1", "itemData" : { "author" : [ { "dropping-particle" : "", "family" : "National Audit Office", "given" : "", "non-dropping-particle" : "", "parse-names" : false, "suffix" : "" } ], "id" : "ITEM-1", "issue" : "June", "issued" : { "date-parts" : [ [ "2011" ] ] }, "number-of-pages" : "0-36", "title" : "The cost of a cohort of young offenders to the criminal justice system", "type" : "report" }, "uris" : [ "http://www.mendeley.com/documents/?uuid=23d54ffd-b0f0-47df-b28d-f7c517c29447" ] } ], "mendeley" : { "formattedCitation" : "(National Audit Office 2011)", "manualFormatting" : "National Audit Office (2011)", "plainTextFormattedCitation" : "(National Audit Office 2011)", "previouslyFormattedCitation" : "(National Audit Office 2011)" }, "properties" : { "noteIndex" : 0 }, "schema" : "https://github.com/citation-style-language/schema/raw/master/csl-citation.json" }</w:instrText>
            </w:r>
            <w:r w:rsidR="00783AD3" w:rsidRPr="003D56F0">
              <w:rPr>
                <w:sz w:val="20"/>
                <w:szCs w:val="20"/>
              </w:rPr>
              <w:fldChar w:fldCharType="separate"/>
            </w:r>
            <w:r w:rsidR="00783AD3" w:rsidRPr="003D56F0">
              <w:rPr>
                <w:noProof/>
                <w:sz w:val="20"/>
                <w:szCs w:val="20"/>
              </w:rPr>
              <w:t>National Audit Office (2011)</w:t>
            </w:r>
            <w:r w:rsidR="00783AD3" w:rsidRPr="003D56F0">
              <w:rPr>
                <w:sz w:val="20"/>
                <w:szCs w:val="20"/>
              </w:rPr>
              <w:fldChar w:fldCharType="end"/>
            </w:r>
            <w:r w:rsidRPr="003D56F0">
              <w:rPr>
                <w:sz w:val="20"/>
                <w:szCs w:val="20"/>
              </w:rPr>
              <w:t xml:space="preserve"> (figure 15)</w:t>
            </w:r>
          </w:p>
        </w:tc>
      </w:tr>
      <w:tr w:rsidR="00F56C53" w:rsidRPr="003D56F0" w14:paraId="4BD7C656" w14:textId="77777777" w:rsidTr="00CC76A6">
        <w:trPr>
          <w:trHeight w:val="900"/>
          <w:jc w:val="center"/>
        </w:trPr>
        <w:tc>
          <w:tcPr>
            <w:tcW w:w="0" w:type="auto"/>
            <w:tcBorders>
              <w:top w:val="nil"/>
              <w:left w:val="single" w:sz="4" w:space="0" w:color="auto"/>
              <w:bottom w:val="single" w:sz="4" w:space="0" w:color="auto"/>
              <w:right w:val="single" w:sz="4" w:space="0" w:color="auto"/>
            </w:tcBorders>
            <w:shd w:val="clear" w:color="auto" w:fill="auto"/>
            <w:hideMark/>
          </w:tcPr>
          <w:p w14:paraId="2D0B5943" w14:textId="77777777" w:rsidR="00F56C53" w:rsidRPr="003D56F0" w:rsidRDefault="00F56C53" w:rsidP="00CC7EC2">
            <w:pPr>
              <w:rPr>
                <w:sz w:val="20"/>
                <w:szCs w:val="20"/>
              </w:rPr>
            </w:pPr>
            <w:r w:rsidRPr="003D56F0">
              <w:rPr>
                <w:sz w:val="20"/>
                <w:szCs w:val="20"/>
              </w:rPr>
              <w:lastRenderedPageBreak/>
              <w:t>Number of cannabis offences per 1000</w:t>
            </w:r>
            <w:r w:rsidRPr="003D56F0">
              <w:rPr>
                <w:sz w:val="20"/>
                <w:szCs w:val="20"/>
              </w:rPr>
              <w:br/>
              <w:t xml:space="preserve">cannabis users in the UK </w:t>
            </w:r>
          </w:p>
        </w:tc>
        <w:tc>
          <w:tcPr>
            <w:tcW w:w="0" w:type="auto"/>
            <w:tcBorders>
              <w:top w:val="nil"/>
              <w:left w:val="nil"/>
              <w:bottom w:val="single" w:sz="4" w:space="0" w:color="auto"/>
              <w:right w:val="single" w:sz="4" w:space="0" w:color="auto"/>
            </w:tcBorders>
            <w:shd w:val="clear" w:color="auto" w:fill="auto"/>
            <w:noWrap/>
            <w:hideMark/>
          </w:tcPr>
          <w:p w14:paraId="276C1D88" w14:textId="77777777" w:rsidR="00F56C53" w:rsidRPr="003D56F0" w:rsidRDefault="00F56C53" w:rsidP="00AD2788">
            <w:pPr>
              <w:rPr>
                <w:sz w:val="20"/>
                <w:szCs w:val="20"/>
              </w:rPr>
            </w:pPr>
            <w:r w:rsidRPr="003D56F0">
              <w:rPr>
                <w:sz w:val="20"/>
                <w:szCs w:val="20"/>
              </w:rPr>
              <w:t xml:space="preserve">50.27 </w:t>
            </w:r>
          </w:p>
        </w:tc>
        <w:tc>
          <w:tcPr>
            <w:tcW w:w="0" w:type="auto"/>
            <w:tcBorders>
              <w:top w:val="nil"/>
              <w:left w:val="nil"/>
              <w:bottom w:val="single" w:sz="4" w:space="0" w:color="auto"/>
              <w:right w:val="single" w:sz="4" w:space="0" w:color="auto"/>
            </w:tcBorders>
            <w:shd w:val="clear" w:color="auto" w:fill="auto"/>
            <w:hideMark/>
          </w:tcPr>
          <w:p w14:paraId="79B5BB1A" w14:textId="77777777" w:rsidR="00F56C53" w:rsidRPr="003D56F0" w:rsidRDefault="00F56C53" w:rsidP="003D56F0">
            <w:pPr>
              <w:rPr>
                <w:rFonts w:eastAsia="Times New Roman"/>
                <w:color w:val="000000"/>
                <w:sz w:val="20"/>
                <w:szCs w:val="20"/>
              </w:rPr>
            </w:pPr>
            <w:r w:rsidRPr="003D56F0">
              <w:rPr>
                <w:sz w:val="20"/>
                <w:szCs w:val="20"/>
              </w:rPr>
              <w:t>Based on data for all drug offences in England and Wales (2014-2015) and possession of cannabis offences of all police recorded drug offences from Office for National Statistics</w:t>
            </w:r>
          </w:p>
        </w:tc>
      </w:tr>
      <w:tr w:rsidR="00F56C53" w:rsidRPr="003D56F0" w14:paraId="67D704BE" w14:textId="77777777" w:rsidTr="00CC76A6">
        <w:trPr>
          <w:trHeight w:val="900"/>
          <w:jc w:val="center"/>
        </w:trPr>
        <w:tc>
          <w:tcPr>
            <w:tcW w:w="0" w:type="auto"/>
            <w:tcBorders>
              <w:top w:val="nil"/>
              <w:left w:val="single" w:sz="4" w:space="0" w:color="auto"/>
              <w:bottom w:val="single" w:sz="4" w:space="0" w:color="auto"/>
              <w:right w:val="single" w:sz="4" w:space="0" w:color="auto"/>
            </w:tcBorders>
            <w:shd w:val="clear" w:color="auto" w:fill="auto"/>
            <w:hideMark/>
          </w:tcPr>
          <w:p w14:paraId="2FE0AEAE" w14:textId="77777777" w:rsidR="00F56C53" w:rsidRPr="003D56F0" w:rsidRDefault="00F56C53" w:rsidP="00CC7EC2">
            <w:pPr>
              <w:rPr>
                <w:sz w:val="20"/>
                <w:szCs w:val="20"/>
              </w:rPr>
            </w:pPr>
            <w:r w:rsidRPr="003D56F0">
              <w:rPr>
                <w:sz w:val="20"/>
                <w:szCs w:val="20"/>
              </w:rPr>
              <w:t>Total social costs per user per year</w:t>
            </w:r>
          </w:p>
        </w:tc>
        <w:tc>
          <w:tcPr>
            <w:tcW w:w="0" w:type="auto"/>
            <w:tcBorders>
              <w:top w:val="nil"/>
              <w:left w:val="nil"/>
              <w:bottom w:val="single" w:sz="4" w:space="0" w:color="auto"/>
              <w:right w:val="single" w:sz="4" w:space="0" w:color="auto"/>
            </w:tcBorders>
            <w:shd w:val="clear" w:color="auto" w:fill="auto"/>
            <w:noWrap/>
            <w:hideMark/>
          </w:tcPr>
          <w:p w14:paraId="599A1018" w14:textId="77777777" w:rsidR="00F56C53" w:rsidRPr="003D56F0" w:rsidRDefault="00F56C53" w:rsidP="00AD2788">
            <w:pPr>
              <w:rPr>
                <w:sz w:val="20"/>
                <w:szCs w:val="20"/>
              </w:rPr>
            </w:pPr>
            <w:r w:rsidRPr="003D56F0">
              <w:rPr>
                <w:sz w:val="20"/>
                <w:szCs w:val="20"/>
              </w:rPr>
              <w:t>£103</w:t>
            </w:r>
          </w:p>
        </w:tc>
        <w:tc>
          <w:tcPr>
            <w:tcW w:w="0" w:type="auto"/>
            <w:tcBorders>
              <w:top w:val="nil"/>
              <w:left w:val="nil"/>
              <w:bottom w:val="single" w:sz="4" w:space="0" w:color="auto"/>
              <w:right w:val="single" w:sz="4" w:space="0" w:color="auto"/>
            </w:tcBorders>
            <w:shd w:val="clear" w:color="auto" w:fill="auto"/>
            <w:hideMark/>
          </w:tcPr>
          <w:p w14:paraId="06683C1E" w14:textId="77777777" w:rsidR="00F56C53" w:rsidRPr="003D56F0" w:rsidRDefault="00F56C53" w:rsidP="003D56F0">
            <w:pPr>
              <w:rPr>
                <w:rFonts w:eastAsia="Times New Roman"/>
                <w:color w:val="000000"/>
                <w:sz w:val="20"/>
                <w:szCs w:val="20"/>
              </w:rPr>
            </w:pPr>
            <w:r w:rsidRPr="003D56F0">
              <w:rPr>
                <w:sz w:val="20"/>
                <w:szCs w:val="20"/>
              </w:rPr>
              <w:t>Summed from above</w:t>
            </w:r>
          </w:p>
        </w:tc>
      </w:tr>
      <w:tr w:rsidR="00F56C53" w:rsidRPr="003D56F0" w14:paraId="169A1D71" w14:textId="77777777" w:rsidTr="00CC76A6">
        <w:trPr>
          <w:trHeight w:val="900"/>
          <w:jc w:val="center"/>
        </w:trPr>
        <w:tc>
          <w:tcPr>
            <w:tcW w:w="0" w:type="auto"/>
            <w:tcBorders>
              <w:top w:val="nil"/>
              <w:left w:val="single" w:sz="4" w:space="0" w:color="auto"/>
              <w:bottom w:val="single" w:sz="4" w:space="0" w:color="auto"/>
              <w:right w:val="single" w:sz="4" w:space="0" w:color="auto"/>
            </w:tcBorders>
            <w:shd w:val="clear" w:color="auto" w:fill="auto"/>
            <w:hideMark/>
          </w:tcPr>
          <w:p w14:paraId="3EDDCF8E" w14:textId="77777777" w:rsidR="00F56C53" w:rsidRPr="003D56F0" w:rsidRDefault="00F56C53" w:rsidP="00CC7EC2">
            <w:pPr>
              <w:rPr>
                <w:sz w:val="20"/>
                <w:szCs w:val="20"/>
              </w:rPr>
            </w:pPr>
            <w:r w:rsidRPr="003D56F0">
              <w:rPr>
                <w:sz w:val="20"/>
                <w:szCs w:val="20"/>
              </w:rPr>
              <w:t>Total QALYs lost per user per year</w:t>
            </w:r>
          </w:p>
        </w:tc>
        <w:tc>
          <w:tcPr>
            <w:tcW w:w="0" w:type="auto"/>
            <w:tcBorders>
              <w:top w:val="nil"/>
              <w:left w:val="nil"/>
              <w:bottom w:val="single" w:sz="4" w:space="0" w:color="auto"/>
              <w:right w:val="single" w:sz="4" w:space="0" w:color="auto"/>
            </w:tcBorders>
            <w:shd w:val="clear" w:color="auto" w:fill="auto"/>
            <w:noWrap/>
            <w:hideMark/>
          </w:tcPr>
          <w:p w14:paraId="5E704EF4" w14:textId="77777777" w:rsidR="00F56C53" w:rsidRPr="003D56F0" w:rsidRDefault="00F56C53" w:rsidP="00AD2788">
            <w:pPr>
              <w:rPr>
                <w:sz w:val="20"/>
                <w:szCs w:val="20"/>
              </w:rPr>
            </w:pPr>
            <w:r w:rsidRPr="003D56F0">
              <w:rPr>
                <w:sz w:val="20"/>
                <w:szCs w:val="20"/>
              </w:rPr>
              <w:t xml:space="preserve">0.0013 </w:t>
            </w:r>
          </w:p>
        </w:tc>
        <w:tc>
          <w:tcPr>
            <w:tcW w:w="0" w:type="auto"/>
            <w:tcBorders>
              <w:top w:val="nil"/>
              <w:left w:val="nil"/>
              <w:bottom w:val="single" w:sz="4" w:space="0" w:color="auto"/>
              <w:right w:val="single" w:sz="4" w:space="0" w:color="auto"/>
            </w:tcBorders>
            <w:shd w:val="clear" w:color="auto" w:fill="auto"/>
            <w:hideMark/>
          </w:tcPr>
          <w:p w14:paraId="1591D4B7" w14:textId="77777777" w:rsidR="00F56C53" w:rsidRPr="003D56F0" w:rsidRDefault="00F56C53" w:rsidP="003D56F0">
            <w:pPr>
              <w:rPr>
                <w:rFonts w:eastAsia="Times New Roman"/>
                <w:color w:val="000000"/>
                <w:sz w:val="20"/>
                <w:szCs w:val="20"/>
              </w:rPr>
            </w:pPr>
            <w:r w:rsidRPr="003D56F0">
              <w:rPr>
                <w:sz w:val="20"/>
                <w:szCs w:val="20"/>
              </w:rPr>
              <w:t>Summed from above</w:t>
            </w:r>
          </w:p>
        </w:tc>
      </w:tr>
    </w:tbl>
    <w:p w14:paraId="31682AEE" w14:textId="77777777" w:rsidR="00F56C53" w:rsidRPr="003D56F0" w:rsidRDefault="00F56C53" w:rsidP="00CC7EC2">
      <w:pPr>
        <w:rPr>
          <w:sz w:val="20"/>
          <w:szCs w:val="20"/>
        </w:rPr>
      </w:pPr>
    </w:p>
    <w:p w14:paraId="2818FEE7" w14:textId="77777777" w:rsidR="00F56C53" w:rsidRPr="003D56F0" w:rsidRDefault="00F56C53" w:rsidP="00CC7EC2">
      <w:pPr>
        <w:rPr>
          <w:sz w:val="20"/>
          <w:szCs w:val="20"/>
        </w:rPr>
      </w:pPr>
    </w:p>
    <w:p w14:paraId="61F79AD7" w14:textId="2432C917" w:rsidR="00F56C53" w:rsidRPr="003D56F0" w:rsidRDefault="00646E27" w:rsidP="00AD2788">
      <w:pPr>
        <w:pStyle w:val="Heading4"/>
        <w:rPr>
          <w:sz w:val="20"/>
          <w:szCs w:val="20"/>
        </w:rPr>
      </w:pPr>
      <w:r w:rsidRPr="003D56F0">
        <w:rPr>
          <w:sz w:val="20"/>
          <w:szCs w:val="20"/>
        </w:rPr>
        <w:t>Sensitivity Analysis Parameters</w:t>
      </w:r>
    </w:p>
    <w:tbl>
      <w:tblPr>
        <w:tblW w:w="44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26"/>
        <w:gridCol w:w="1273"/>
        <w:gridCol w:w="1276"/>
        <w:gridCol w:w="1133"/>
      </w:tblGrid>
      <w:tr w:rsidR="0060664A" w:rsidRPr="003D56F0" w14:paraId="08A75C84" w14:textId="77777777" w:rsidTr="00CF40BF">
        <w:trPr>
          <w:trHeight w:val="663"/>
        </w:trPr>
        <w:tc>
          <w:tcPr>
            <w:tcW w:w="2729" w:type="pct"/>
            <w:shd w:val="clear" w:color="auto" w:fill="auto"/>
            <w:noWrap/>
            <w:tcMar>
              <w:top w:w="28" w:type="dxa"/>
              <w:left w:w="28" w:type="dxa"/>
              <w:bottom w:w="28" w:type="dxa"/>
              <w:right w:w="28" w:type="dxa"/>
            </w:tcMar>
            <w:hideMark/>
          </w:tcPr>
          <w:p w14:paraId="316ED72B" w14:textId="77777777" w:rsidR="0060664A" w:rsidRPr="003D56F0" w:rsidRDefault="0060664A" w:rsidP="003D56F0">
            <w:pPr>
              <w:rPr>
                <w:rFonts w:eastAsia="Times New Roman"/>
                <w:color w:val="000000"/>
                <w:sz w:val="20"/>
                <w:szCs w:val="20"/>
              </w:rPr>
            </w:pPr>
            <w:r w:rsidRPr="003D56F0">
              <w:rPr>
                <w:sz w:val="20"/>
                <w:szCs w:val="20"/>
              </w:rPr>
              <w:t>Variable description</w:t>
            </w:r>
          </w:p>
        </w:tc>
        <w:tc>
          <w:tcPr>
            <w:tcW w:w="785" w:type="pct"/>
            <w:shd w:val="clear" w:color="auto" w:fill="auto"/>
            <w:noWrap/>
            <w:tcMar>
              <w:top w:w="28" w:type="dxa"/>
              <w:left w:w="28" w:type="dxa"/>
              <w:bottom w:w="28" w:type="dxa"/>
              <w:right w:w="28" w:type="dxa"/>
            </w:tcMar>
            <w:hideMark/>
          </w:tcPr>
          <w:p w14:paraId="044166B0" w14:textId="77777777" w:rsidR="0060664A" w:rsidRPr="003D56F0" w:rsidRDefault="0060664A" w:rsidP="003D56F0">
            <w:pPr>
              <w:rPr>
                <w:sz w:val="20"/>
                <w:szCs w:val="20"/>
              </w:rPr>
            </w:pPr>
            <w:r w:rsidRPr="003D56F0">
              <w:rPr>
                <w:sz w:val="20"/>
                <w:szCs w:val="20"/>
              </w:rPr>
              <w:t>Parameters</w:t>
            </w:r>
          </w:p>
        </w:tc>
        <w:tc>
          <w:tcPr>
            <w:tcW w:w="787" w:type="pct"/>
            <w:shd w:val="clear" w:color="auto" w:fill="auto"/>
            <w:noWrap/>
            <w:tcMar>
              <w:top w:w="28" w:type="dxa"/>
              <w:left w:w="28" w:type="dxa"/>
              <w:bottom w:w="28" w:type="dxa"/>
              <w:right w:w="28" w:type="dxa"/>
            </w:tcMar>
            <w:hideMark/>
          </w:tcPr>
          <w:p w14:paraId="5C0D2E26" w14:textId="77777777" w:rsidR="0060664A" w:rsidRPr="003D56F0" w:rsidRDefault="0060664A" w:rsidP="003D56F0">
            <w:pPr>
              <w:rPr>
                <w:sz w:val="20"/>
                <w:szCs w:val="20"/>
              </w:rPr>
            </w:pPr>
            <w:r w:rsidRPr="003D56F0">
              <w:rPr>
                <w:sz w:val="20"/>
                <w:szCs w:val="20"/>
              </w:rPr>
              <w:t xml:space="preserve">Low </w:t>
            </w:r>
          </w:p>
        </w:tc>
        <w:tc>
          <w:tcPr>
            <w:tcW w:w="699" w:type="pct"/>
            <w:shd w:val="clear" w:color="auto" w:fill="auto"/>
            <w:noWrap/>
            <w:tcMar>
              <w:top w:w="28" w:type="dxa"/>
              <w:left w:w="28" w:type="dxa"/>
              <w:bottom w:w="28" w:type="dxa"/>
              <w:right w:w="28" w:type="dxa"/>
            </w:tcMar>
            <w:hideMark/>
          </w:tcPr>
          <w:p w14:paraId="00B05B33" w14:textId="77777777" w:rsidR="0060664A" w:rsidRPr="003D56F0" w:rsidRDefault="0060664A" w:rsidP="003D56F0">
            <w:pPr>
              <w:rPr>
                <w:sz w:val="20"/>
                <w:szCs w:val="20"/>
              </w:rPr>
            </w:pPr>
            <w:r w:rsidRPr="003D56F0">
              <w:rPr>
                <w:sz w:val="20"/>
                <w:szCs w:val="20"/>
              </w:rPr>
              <w:t>High</w:t>
            </w:r>
          </w:p>
        </w:tc>
      </w:tr>
      <w:tr w:rsidR="0060664A" w:rsidRPr="003D56F0" w14:paraId="35FFFD2A" w14:textId="77777777" w:rsidTr="002006E5">
        <w:trPr>
          <w:trHeight w:val="300"/>
        </w:trPr>
        <w:tc>
          <w:tcPr>
            <w:tcW w:w="2729" w:type="pct"/>
            <w:shd w:val="clear" w:color="auto" w:fill="auto"/>
            <w:noWrap/>
            <w:tcMar>
              <w:top w:w="28" w:type="dxa"/>
              <w:left w:w="28" w:type="dxa"/>
              <w:bottom w:w="28" w:type="dxa"/>
              <w:right w:w="28" w:type="dxa"/>
            </w:tcMar>
            <w:vAlign w:val="bottom"/>
          </w:tcPr>
          <w:p w14:paraId="1794F525" w14:textId="53463877" w:rsidR="0060664A" w:rsidRPr="003D56F0" w:rsidRDefault="0060664A" w:rsidP="003D56F0">
            <w:pPr>
              <w:rPr>
                <w:sz w:val="20"/>
                <w:szCs w:val="20"/>
              </w:rPr>
            </w:pPr>
            <w:r w:rsidRPr="003D56F0">
              <w:rPr>
                <w:sz w:val="20"/>
                <w:szCs w:val="20"/>
              </w:rPr>
              <w:t>Proportion of young people aged 10-15 whose parents use drugs</w:t>
            </w:r>
          </w:p>
        </w:tc>
        <w:tc>
          <w:tcPr>
            <w:tcW w:w="785" w:type="pct"/>
            <w:shd w:val="clear" w:color="auto" w:fill="auto"/>
            <w:noWrap/>
            <w:tcMar>
              <w:top w:w="28" w:type="dxa"/>
              <w:left w:w="28" w:type="dxa"/>
              <w:bottom w:w="28" w:type="dxa"/>
              <w:right w:w="28" w:type="dxa"/>
            </w:tcMar>
            <w:vAlign w:val="bottom"/>
          </w:tcPr>
          <w:p w14:paraId="488D4C78" w14:textId="47F11CCC" w:rsidR="0060664A" w:rsidRPr="003D56F0" w:rsidRDefault="0060664A" w:rsidP="003D56F0">
            <w:pPr>
              <w:rPr>
                <w:rFonts w:eastAsia="Times New Roman"/>
                <w:color w:val="000000"/>
                <w:sz w:val="20"/>
                <w:szCs w:val="20"/>
              </w:rPr>
            </w:pPr>
            <w:r w:rsidRPr="003D56F0">
              <w:rPr>
                <w:sz w:val="20"/>
                <w:szCs w:val="20"/>
              </w:rPr>
              <w:t>2.00%</w:t>
            </w:r>
          </w:p>
        </w:tc>
        <w:tc>
          <w:tcPr>
            <w:tcW w:w="787" w:type="pct"/>
            <w:shd w:val="clear" w:color="auto" w:fill="auto"/>
            <w:noWrap/>
            <w:tcMar>
              <w:top w:w="28" w:type="dxa"/>
              <w:left w:w="28" w:type="dxa"/>
              <w:bottom w:w="28" w:type="dxa"/>
              <w:right w:w="28" w:type="dxa"/>
            </w:tcMar>
            <w:vAlign w:val="bottom"/>
          </w:tcPr>
          <w:p w14:paraId="6FBB6661" w14:textId="7D899500" w:rsidR="0060664A" w:rsidRPr="003D56F0" w:rsidRDefault="0060664A" w:rsidP="003D56F0">
            <w:pPr>
              <w:rPr>
                <w:rFonts w:eastAsia="Times New Roman"/>
                <w:color w:val="000000"/>
                <w:sz w:val="20"/>
                <w:szCs w:val="20"/>
              </w:rPr>
            </w:pPr>
            <w:r w:rsidRPr="003D56F0">
              <w:rPr>
                <w:sz w:val="20"/>
                <w:szCs w:val="20"/>
              </w:rPr>
              <w:t>1.50%</w:t>
            </w:r>
          </w:p>
        </w:tc>
        <w:tc>
          <w:tcPr>
            <w:tcW w:w="699" w:type="pct"/>
            <w:shd w:val="clear" w:color="auto" w:fill="auto"/>
            <w:noWrap/>
            <w:tcMar>
              <w:top w:w="28" w:type="dxa"/>
              <w:left w:w="28" w:type="dxa"/>
              <w:bottom w:w="28" w:type="dxa"/>
              <w:right w:w="28" w:type="dxa"/>
            </w:tcMar>
            <w:vAlign w:val="bottom"/>
          </w:tcPr>
          <w:p w14:paraId="0353841D" w14:textId="22261E35" w:rsidR="0060664A" w:rsidRPr="003D56F0" w:rsidRDefault="0060664A" w:rsidP="003D56F0">
            <w:pPr>
              <w:rPr>
                <w:rFonts w:eastAsia="Times New Roman"/>
                <w:color w:val="000000"/>
                <w:sz w:val="20"/>
                <w:szCs w:val="20"/>
              </w:rPr>
            </w:pPr>
            <w:r w:rsidRPr="003D56F0">
              <w:rPr>
                <w:sz w:val="20"/>
                <w:szCs w:val="20"/>
              </w:rPr>
              <w:t>2.50%</w:t>
            </w:r>
          </w:p>
        </w:tc>
      </w:tr>
      <w:tr w:rsidR="0060664A" w:rsidRPr="003D56F0" w14:paraId="55C14B75" w14:textId="77777777" w:rsidTr="002006E5">
        <w:trPr>
          <w:trHeight w:val="300"/>
        </w:trPr>
        <w:tc>
          <w:tcPr>
            <w:tcW w:w="2729" w:type="pct"/>
            <w:shd w:val="clear" w:color="auto" w:fill="auto"/>
            <w:noWrap/>
            <w:tcMar>
              <w:top w:w="28" w:type="dxa"/>
              <w:left w:w="28" w:type="dxa"/>
              <w:bottom w:w="28" w:type="dxa"/>
              <w:right w:w="28" w:type="dxa"/>
            </w:tcMar>
            <w:vAlign w:val="bottom"/>
          </w:tcPr>
          <w:p w14:paraId="38A009AE" w14:textId="07EAA9B6" w:rsidR="0060664A" w:rsidRPr="003D56F0" w:rsidRDefault="0060664A" w:rsidP="003D56F0">
            <w:pPr>
              <w:rPr>
                <w:rFonts w:eastAsia="Times New Roman"/>
                <w:color w:val="000000"/>
                <w:sz w:val="20"/>
                <w:szCs w:val="20"/>
              </w:rPr>
            </w:pPr>
            <w:r w:rsidRPr="003D56F0">
              <w:rPr>
                <w:sz w:val="20"/>
                <w:szCs w:val="20"/>
              </w:rPr>
              <w:t>Psychosis among regular cannabis users (assume causal relationship)</w:t>
            </w:r>
          </w:p>
        </w:tc>
        <w:tc>
          <w:tcPr>
            <w:tcW w:w="785" w:type="pct"/>
            <w:shd w:val="clear" w:color="auto" w:fill="auto"/>
            <w:noWrap/>
            <w:tcMar>
              <w:top w:w="28" w:type="dxa"/>
              <w:left w:w="28" w:type="dxa"/>
              <w:bottom w:w="28" w:type="dxa"/>
              <w:right w:w="28" w:type="dxa"/>
            </w:tcMar>
            <w:vAlign w:val="bottom"/>
          </w:tcPr>
          <w:p w14:paraId="6EA02562" w14:textId="507D584C" w:rsidR="0060664A" w:rsidRPr="003D56F0" w:rsidRDefault="0060664A" w:rsidP="003D56F0">
            <w:pPr>
              <w:rPr>
                <w:rFonts w:eastAsia="Times New Roman"/>
                <w:color w:val="000000"/>
                <w:sz w:val="20"/>
                <w:szCs w:val="20"/>
              </w:rPr>
            </w:pPr>
            <w:r w:rsidRPr="003D56F0">
              <w:rPr>
                <w:sz w:val="20"/>
                <w:szCs w:val="20"/>
              </w:rPr>
              <w:t>0.014</w:t>
            </w:r>
          </w:p>
        </w:tc>
        <w:tc>
          <w:tcPr>
            <w:tcW w:w="787" w:type="pct"/>
            <w:shd w:val="clear" w:color="auto" w:fill="auto"/>
            <w:noWrap/>
            <w:tcMar>
              <w:top w:w="28" w:type="dxa"/>
              <w:left w:w="28" w:type="dxa"/>
              <w:bottom w:w="28" w:type="dxa"/>
              <w:right w:w="28" w:type="dxa"/>
            </w:tcMar>
            <w:vAlign w:val="bottom"/>
          </w:tcPr>
          <w:p w14:paraId="10C72441" w14:textId="2B619ED0" w:rsidR="0060664A" w:rsidRPr="003D56F0" w:rsidRDefault="0060664A" w:rsidP="003D56F0">
            <w:pPr>
              <w:rPr>
                <w:rFonts w:eastAsia="Times New Roman"/>
                <w:color w:val="000000"/>
                <w:sz w:val="20"/>
                <w:szCs w:val="20"/>
              </w:rPr>
            </w:pPr>
            <w:r w:rsidRPr="003D56F0">
              <w:rPr>
                <w:sz w:val="20"/>
                <w:szCs w:val="20"/>
              </w:rPr>
              <w:t>0.011</w:t>
            </w:r>
          </w:p>
        </w:tc>
        <w:tc>
          <w:tcPr>
            <w:tcW w:w="699" w:type="pct"/>
            <w:shd w:val="clear" w:color="auto" w:fill="auto"/>
            <w:noWrap/>
            <w:tcMar>
              <w:top w:w="28" w:type="dxa"/>
              <w:left w:w="28" w:type="dxa"/>
              <w:bottom w:w="28" w:type="dxa"/>
              <w:right w:w="28" w:type="dxa"/>
            </w:tcMar>
            <w:vAlign w:val="bottom"/>
          </w:tcPr>
          <w:p w14:paraId="42C68AA2" w14:textId="5B1656F2" w:rsidR="0060664A" w:rsidRPr="003D56F0" w:rsidRDefault="0060664A" w:rsidP="003D56F0">
            <w:pPr>
              <w:rPr>
                <w:rFonts w:eastAsia="Times New Roman"/>
                <w:color w:val="000000"/>
                <w:sz w:val="20"/>
                <w:szCs w:val="20"/>
              </w:rPr>
            </w:pPr>
            <w:r w:rsidRPr="003D56F0">
              <w:rPr>
                <w:sz w:val="20"/>
                <w:szCs w:val="20"/>
              </w:rPr>
              <w:t>0.018</w:t>
            </w:r>
          </w:p>
        </w:tc>
      </w:tr>
      <w:tr w:rsidR="0060664A" w:rsidRPr="003D56F0" w14:paraId="0A4E22CC" w14:textId="77777777" w:rsidTr="002006E5">
        <w:trPr>
          <w:trHeight w:val="300"/>
        </w:trPr>
        <w:tc>
          <w:tcPr>
            <w:tcW w:w="2729" w:type="pct"/>
            <w:shd w:val="clear" w:color="auto" w:fill="auto"/>
            <w:noWrap/>
            <w:tcMar>
              <w:top w:w="28" w:type="dxa"/>
              <w:left w:w="28" w:type="dxa"/>
              <w:bottom w:w="28" w:type="dxa"/>
              <w:right w:w="28" w:type="dxa"/>
            </w:tcMar>
            <w:vAlign w:val="bottom"/>
          </w:tcPr>
          <w:p w14:paraId="7378A2D7" w14:textId="73B149C0" w:rsidR="0060664A" w:rsidRPr="003D56F0" w:rsidRDefault="0060664A" w:rsidP="003D56F0">
            <w:pPr>
              <w:rPr>
                <w:rFonts w:eastAsia="Times New Roman"/>
                <w:color w:val="000000"/>
                <w:sz w:val="20"/>
                <w:szCs w:val="20"/>
              </w:rPr>
            </w:pPr>
            <w:r w:rsidRPr="003D56F0">
              <w:rPr>
                <w:sz w:val="20"/>
                <w:szCs w:val="20"/>
              </w:rPr>
              <w:t>Cannabis use control (reported at 12 months)</w:t>
            </w:r>
          </w:p>
        </w:tc>
        <w:tc>
          <w:tcPr>
            <w:tcW w:w="785" w:type="pct"/>
            <w:shd w:val="clear" w:color="auto" w:fill="auto"/>
            <w:noWrap/>
            <w:tcMar>
              <w:top w:w="28" w:type="dxa"/>
              <w:left w:w="28" w:type="dxa"/>
              <w:bottom w:w="28" w:type="dxa"/>
              <w:right w:w="28" w:type="dxa"/>
            </w:tcMar>
            <w:vAlign w:val="bottom"/>
          </w:tcPr>
          <w:p w14:paraId="760BFC0D" w14:textId="73674B66" w:rsidR="0060664A" w:rsidRPr="003D56F0" w:rsidRDefault="0060664A" w:rsidP="003D56F0">
            <w:pPr>
              <w:rPr>
                <w:rFonts w:eastAsia="Times New Roman"/>
                <w:color w:val="000000"/>
                <w:sz w:val="20"/>
                <w:szCs w:val="20"/>
              </w:rPr>
            </w:pPr>
            <w:r w:rsidRPr="003D56F0">
              <w:rPr>
                <w:sz w:val="20"/>
                <w:szCs w:val="20"/>
              </w:rPr>
              <w:t>9%</w:t>
            </w:r>
          </w:p>
        </w:tc>
        <w:tc>
          <w:tcPr>
            <w:tcW w:w="787" w:type="pct"/>
            <w:shd w:val="clear" w:color="auto" w:fill="auto"/>
            <w:noWrap/>
            <w:tcMar>
              <w:top w:w="28" w:type="dxa"/>
              <w:left w:w="28" w:type="dxa"/>
              <w:bottom w:w="28" w:type="dxa"/>
              <w:right w:w="28" w:type="dxa"/>
            </w:tcMar>
            <w:vAlign w:val="bottom"/>
          </w:tcPr>
          <w:p w14:paraId="44D178C8" w14:textId="03126366" w:rsidR="0060664A" w:rsidRPr="003D56F0" w:rsidRDefault="0060664A" w:rsidP="003D56F0">
            <w:pPr>
              <w:rPr>
                <w:rFonts w:eastAsia="Times New Roman"/>
                <w:color w:val="000000"/>
                <w:sz w:val="20"/>
                <w:szCs w:val="20"/>
              </w:rPr>
            </w:pPr>
            <w:r w:rsidRPr="003D56F0">
              <w:rPr>
                <w:sz w:val="20"/>
                <w:szCs w:val="20"/>
              </w:rPr>
              <w:t>7%</w:t>
            </w:r>
          </w:p>
        </w:tc>
        <w:tc>
          <w:tcPr>
            <w:tcW w:w="699" w:type="pct"/>
            <w:shd w:val="clear" w:color="auto" w:fill="auto"/>
            <w:noWrap/>
            <w:tcMar>
              <w:top w:w="28" w:type="dxa"/>
              <w:left w:w="28" w:type="dxa"/>
              <w:bottom w:w="28" w:type="dxa"/>
              <w:right w:w="28" w:type="dxa"/>
            </w:tcMar>
            <w:vAlign w:val="bottom"/>
          </w:tcPr>
          <w:p w14:paraId="33136673" w14:textId="737BFF97" w:rsidR="0060664A" w:rsidRPr="003D56F0" w:rsidRDefault="0060664A" w:rsidP="003D56F0">
            <w:pPr>
              <w:rPr>
                <w:rFonts w:eastAsia="Times New Roman"/>
                <w:color w:val="000000"/>
                <w:sz w:val="20"/>
                <w:szCs w:val="20"/>
              </w:rPr>
            </w:pPr>
            <w:r w:rsidRPr="003D56F0">
              <w:rPr>
                <w:sz w:val="20"/>
                <w:szCs w:val="20"/>
              </w:rPr>
              <w:t>11%</w:t>
            </w:r>
          </w:p>
        </w:tc>
      </w:tr>
      <w:tr w:rsidR="0060664A" w:rsidRPr="003D56F0" w14:paraId="00DA1650" w14:textId="77777777" w:rsidTr="002006E5">
        <w:trPr>
          <w:trHeight w:val="300"/>
        </w:trPr>
        <w:tc>
          <w:tcPr>
            <w:tcW w:w="2729" w:type="pct"/>
            <w:shd w:val="clear" w:color="auto" w:fill="auto"/>
            <w:noWrap/>
            <w:tcMar>
              <w:top w:w="28" w:type="dxa"/>
              <w:left w:w="28" w:type="dxa"/>
              <w:bottom w:w="28" w:type="dxa"/>
              <w:right w:w="28" w:type="dxa"/>
            </w:tcMar>
            <w:vAlign w:val="bottom"/>
          </w:tcPr>
          <w:p w14:paraId="7299977D" w14:textId="5CC4839C" w:rsidR="0060664A" w:rsidRPr="003D56F0" w:rsidRDefault="0060664A" w:rsidP="003D56F0">
            <w:pPr>
              <w:rPr>
                <w:rFonts w:eastAsia="Times New Roman"/>
                <w:color w:val="000000"/>
                <w:sz w:val="20"/>
                <w:szCs w:val="20"/>
              </w:rPr>
            </w:pPr>
            <w:r w:rsidRPr="003D56F0">
              <w:rPr>
                <w:sz w:val="20"/>
                <w:szCs w:val="20"/>
              </w:rPr>
              <w:t>Cannabis use FOF intervention (reported at 12 months)</w:t>
            </w:r>
          </w:p>
        </w:tc>
        <w:tc>
          <w:tcPr>
            <w:tcW w:w="785" w:type="pct"/>
            <w:shd w:val="clear" w:color="auto" w:fill="auto"/>
            <w:noWrap/>
            <w:tcMar>
              <w:top w:w="28" w:type="dxa"/>
              <w:left w:w="28" w:type="dxa"/>
              <w:bottom w:w="28" w:type="dxa"/>
              <w:right w:w="28" w:type="dxa"/>
            </w:tcMar>
            <w:vAlign w:val="bottom"/>
          </w:tcPr>
          <w:p w14:paraId="09559D23" w14:textId="79F9E5BD" w:rsidR="0060664A" w:rsidRPr="003D56F0" w:rsidRDefault="0060664A" w:rsidP="003D56F0">
            <w:pPr>
              <w:rPr>
                <w:rFonts w:eastAsia="Times New Roman"/>
                <w:color w:val="000000"/>
                <w:sz w:val="20"/>
                <w:szCs w:val="20"/>
              </w:rPr>
            </w:pPr>
            <w:r w:rsidRPr="003D56F0">
              <w:rPr>
                <w:sz w:val="20"/>
                <w:szCs w:val="20"/>
              </w:rPr>
              <w:t>7%</w:t>
            </w:r>
          </w:p>
        </w:tc>
        <w:tc>
          <w:tcPr>
            <w:tcW w:w="787" w:type="pct"/>
            <w:shd w:val="clear" w:color="auto" w:fill="auto"/>
            <w:noWrap/>
            <w:tcMar>
              <w:top w:w="28" w:type="dxa"/>
              <w:left w:w="28" w:type="dxa"/>
              <w:bottom w:w="28" w:type="dxa"/>
              <w:right w:w="28" w:type="dxa"/>
            </w:tcMar>
            <w:vAlign w:val="bottom"/>
          </w:tcPr>
          <w:p w14:paraId="3479EB75" w14:textId="77094542" w:rsidR="0060664A" w:rsidRPr="003D56F0" w:rsidRDefault="0060664A" w:rsidP="003D56F0">
            <w:pPr>
              <w:rPr>
                <w:rFonts w:eastAsia="Times New Roman"/>
                <w:color w:val="000000"/>
                <w:sz w:val="20"/>
                <w:szCs w:val="20"/>
              </w:rPr>
            </w:pPr>
            <w:r w:rsidRPr="003D56F0">
              <w:rPr>
                <w:sz w:val="20"/>
                <w:szCs w:val="20"/>
              </w:rPr>
              <w:t>5%</w:t>
            </w:r>
          </w:p>
        </w:tc>
        <w:tc>
          <w:tcPr>
            <w:tcW w:w="699" w:type="pct"/>
            <w:shd w:val="clear" w:color="auto" w:fill="auto"/>
            <w:noWrap/>
            <w:tcMar>
              <w:top w:w="28" w:type="dxa"/>
              <w:left w:w="28" w:type="dxa"/>
              <w:bottom w:w="28" w:type="dxa"/>
              <w:right w:w="28" w:type="dxa"/>
            </w:tcMar>
            <w:vAlign w:val="bottom"/>
          </w:tcPr>
          <w:p w14:paraId="444AB3A2" w14:textId="39B2DA0E" w:rsidR="0060664A" w:rsidRPr="003D56F0" w:rsidRDefault="0060664A" w:rsidP="003D56F0">
            <w:pPr>
              <w:rPr>
                <w:rFonts w:eastAsia="Times New Roman"/>
                <w:color w:val="000000"/>
                <w:sz w:val="20"/>
                <w:szCs w:val="20"/>
              </w:rPr>
            </w:pPr>
            <w:r w:rsidRPr="003D56F0">
              <w:rPr>
                <w:sz w:val="20"/>
                <w:szCs w:val="20"/>
              </w:rPr>
              <w:t>9%</w:t>
            </w:r>
          </w:p>
        </w:tc>
      </w:tr>
      <w:tr w:rsidR="0060664A" w:rsidRPr="003D56F0" w14:paraId="132F56D9" w14:textId="77777777" w:rsidTr="002006E5">
        <w:trPr>
          <w:trHeight w:val="300"/>
        </w:trPr>
        <w:tc>
          <w:tcPr>
            <w:tcW w:w="2729" w:type="pct"/>
            <w:shd w:val="clear" w:color="auto" w:fill="auto"/>
            <w:noWrap/>
            <w:tcMar>
              <w:top w:w="28" w:type="dxa"/>
              <w:left w:w="28" w:type="dxa"/>
              <w:bottom w:w="28" w:type="dxa"/>
              <w:right w:w="28" w:type="dxa"/>
            </w:tcMar>
            <w:vAlign w:val="bottom"/>
          </w:tcPr>
          <w:p w14:paraId="4996A0FA" w14:textId="02EF7D59" w:rsidR="0060664A" w:rsidRPr="003D56F0" w:rsidRDefault="0060664A" w:rsidP="003D56F0">
            <w:pPr>
              <w:rPr>
                <w:rFonts w:eastAsia="Times New Roman"/>
                <w:color w:val="000000"/>
                <w:sz w:val="20"/>
                <w:szCs w:val="20"/>
              </w:rPr>
            </w:pPr>
            <w:r w:rsidRPr="003D56F0">
              <w:rPr>
                <w:sz w:val="20"/>
                <w:szCs w:val="20"/>
              </w:rPr>
              <w:t>Average cost of delivering Focus on Families per client family</w:t>
            </w:r>
          </w:p>
        </w:tc>
        <w:tc>
          <w:tcPr>
            <w:tcW w:w="785" w:type="pct"/>
            <w:shd w:val="clear" w:color="auto" w:fill="auto"/>
            <w:noWrap/>
            <w:tcMar>
              <w:top w:w="28" w:type="dxa"/>
              <w:left w:w="28" w:type="dxa"/>
              <w:bottom w:w="28" w:type="dxa"/>
              <w:right w:w="28" w:type="dxa"/>
            </w:tcMar>
            <w:vAlign w:val="bottom"/>
          </w:tcPr>
          <w:p w14:paraId="32AA6D37" w14:textId="38A87236" w:rsidR="0060664A" w:rsidRPr="003D56F0" w:rsidRDefault="0060664A" w:rsidP="003D56F0">
            <w:pPr>
              <w:rPr>
                <w:rFonts w:eastAsia="Times New Roman"/>
                <w:color w:val="000000"/>
                <w:sz w:val="20"/>
                <w:szCs w:val="20"/>
              </w:rPr>
            </w:pPr>
            <w:r w:rsidRPr="003D56F0">
              <w:rPr>
                <w:sz w:val="20"/>
                <w:szCs w:val="20"/>
              </w:rPr>
              <w:t>£3,367</w:t>
            </w:r>
          </w:p>
        </w:tc>
        <w:tc>
          <w:tcPr>
            <w:tcW w:w="787" w:type="pct"/>
            <w:shd w:val="clear" w:color="auto" w:fill="auto"/>
            <w:noWrap/>
            <w:tcMar>
              <w:top w:w="28" w:type="dxa"/>
              <w:left w:w="28" w:type="dxa"/>
              <w:bottom w:w="28" w:type="dxa"/>
              <w:right w:w="28" w:type="dxa"/>
            </w:tcMar>
            <w:vAlign w:val="bottom"/>
          </w:tcPr>
          <w:p w14:paraId="4F2CA67B" w14:textId="1D642647" w:rsidR="0060664A" w:rsidRPr="003D56F0" w:rsidRDefault="0060664A" w:rsidP="003D56F0">
            <w:pPr>
              <w:rPr>
                <w:rFonts w:eastAsia="Times New Roman"/>
                <w:color w:val="000000"/>
                <w:sz w:val="20"/>
                <w:szCs w:val="20"/>
              </w:rPr>
            </w:pPr>
            <w:r w:rsidRPr="003D56F0">
              <w:rPr>
                <w:sz w:val="20"/>
                <w:szCs w:val="20"/>
              </w:rPr>
              <w:t>£842</w:t>
            </w:r>
          </w:p>
        </w:tc>
        <w:tc>
          <w:tcPr>
            <w:tcW w:w="699" w:type="pct"/>
            <w:shd w:val="clear" w:color="auto" w:fill="auto"/>
            <w:noWrap/>
            <w:tcMar>
              <w:top w:w="28" w:type="dxa"/>
              <w:left w:w="28" w:type="dxa"/>
              <w:bottom w:w="28" w:type="dxa"/>
              <w:right w:w="28" w:type="dxa"/>
            </w:tcMar>
            <w:vAlign w:val="bottom"/>
          </w:tcPr>
          <w:p w14:paraId="7EFB8BCE" w14:textId="261D2772" w:rsidR="0060664A" w:rsidRPr="003D56F0" w:rsidRDefault="0060664A" w:rsidP="003D56F0">
            <w:pPr>
              <w:rPr>
                <w:rFonts w:eastAsia="Times New Roman"/>
                <w:color w:val="000000"/>
                <w:sz w:val="20"/>
                <w:szCs w:val="20"/>
              </w:rPr>
            </w:pPr>
            <w:r w:rsidRPr="003D56F0">
              <w:rPr>
                <w:sz w:val="20"/>
                <w:szCs w:val="20"/>
              </w:rPr>
              <w:t>£4,209</w:t>
            </w:r>
          </w:p>
        </w:tc>
      </w:tr>
      <w:tr w:rsidR="0060664A" w:rsidRPr="003D56F0" w14:paraId="3E591C9D" w14:textId="77777777" w:rsidTr="002006E5">
        <w:trPr>
          <w:trHeight w:val="300"/>
        </w:trPr>
        <w:tc>
          <w:tcPr>
            <w:tcW w:w="2729" w:type="pct"/>
            <w:shd w:val="clear" w:color="auto" w:fill="auto"/>
            <w:noWrap/>
            <w:tcMar>
              <w:top w:w="28" w:type="dxa"/>
              <w:left w:w="28" w:type="dxa"/>
              <w:bottom w:w="28" w:type="dxa"/>
              <w:right w:w="28" w:type="dxa"/>
            </w:tcMar>
            <w:vAlign w:val="bottom"/>
          </w:tcPr>
          <w:p w14:paraId="1A2383CC" w14:textId="313241E9" w:rsidR="0060664A" w:rsidRPr="003D56F0" w:rsidRDefault="0060664A" w:rsidP="003D56F0">
            <w:pPr>
              <w:rPr>
                <w:rFonts w:eastAsia="Times New Roman"/>
                <w:color w:val="000000"/>
                <w:sz w:val="20"/>
                <w:szCs w:val="20"/>
              </w:rPr>
            </w:pPr>
            <w:r w:rsidRPr="003D56F0">
              <w:rPr>
                <w:sz w:val="20"/>
                <w:szCs w:val="20"/>
              </w:rPr>
              <w:t>Size of client family (number of young people)</w:t>
            </w:r>
          </w:p>
        </w:tc>
        <w:tc>
          <w:tcPr>
            <w:tcW w:w="785" w:type="pct"/>
            <w:shd w:val="clear" w:color="auto" w:fill="auto"/>
            <w:noWrap/>
            <w:tcMar>
              <w:top w:w="28" w:type="dxa"/>
              <w:left w:w="28" w:type="dxa"/>
              <w:bottom w:w="28" w:type="dxa"/>
              <w:right w:w="28" w:type="dxa"/>
            </w:tcMar>
            <w:vAlign w:val="bottom"/>
          </w:tcPr>
          <w:p w14:paraId="5F83EF17" w14:textId="70174C47" w:rsidR="0060664A" w:rsidRPr="003D56F0" w:rsidRDefault="0060664A" w:rsidP="003D56F0">
            <w:pPr>
              <w:rPr>
                <w:rFonts w:eastAsia="Times New Roman"/>
                <w:color w:val="000000"/>
                <w:sz w:val="20"/>
                <w:szCs w:val="20"/>
              </w:rPr>
            </w:pPr>
            <w:r w:rsidRPr="003D56F0">
              <w:rPr>
                <w:sz w:val="20"/>
                <w:szCs w:val="20"/>
              </w:rPr>
              <w:t xml:space="preserve">1.70 </w:t>
            </w:r>
          </w:p>
        </w:tc>
        <w:tc>
          <w:tcPr>
            <w:tcW w:w="787" w:type="pct"/>
            <w:shd w:val="clear" w:color="auto" w:fill="auto"/>
            <w:noWrap/>
            <w:tcMar>
              <w:top w:w="28" w:type="dxa"/>
              <w:left w:w="28" w:type="dxa"/>
              <w:bottom w:w="28" w:type="dxa"/>
              <w:right w:w="28" w:type="dxa"/>
            </w:tcMar>
            <w:vAlign w:val="bottom"/>
          </w:tcPr>
          <w:p w14:paraId="63783838" w14:textId="477EF5FD" w:rsidR="0060664A" w:rsidRPr="003D56F0" w:rsidRDefault="0060664A" w:rsidP="003D56F0">
            <w:pPr>
              <w:rPr>
                <w:rFonts w:eastAsia="Times New Roman"/>
                <w:color w:val="000000"/>
                <w:sz w:val="20"/>
                <w:szCs w:val="20"/>
              </w:rPr>
            </w:pPr>
            <w:r w:rsidRPr="003D56F0">
              <w:rPr>
                <w:sz w:val="20"/>
                <w:szCs w:val="20"/>
              </w:rPr>
              <w:t xml:space="preserve">1.28 </w:t>
            </w:r>
          </w:p>
        </w:tc>
        <w:tc>
          <w:tcPr>
            <w:tcW w:w="699" w:type="pct"/>
            <w:shd w:val="clear" w:color="auto" w:fill="auto"/>
            <w:noWrap/>
            <w:tcMar>
              <w:top w:w="28" w:type="dxa"/>
              <w:left w:w="28" w:type="dxa"/>
              <w:bottom w:w="28" w:type="dxa"/>
              <w:right w:w="28" w:type="dxa"/>
            </w:tcMar>
            <w:vAlign w:val="bottom"/>
          </w:tcPr>
          <w:p w14:paraId="1611A7A5" w14:textId="6CAFBFE0" w:rsidR="0060664A" w:rsidRPr="003D56F0" w:rsidRDefault="0060664A" w:rsidP="003D56F0">
            <w:pPr>
              <w:rPr>
                <w:rFonts w:eastAsia="Times New Roman"/>
                <w:color w:val="000000"/>
                <w:sz w:val="20"/>
                <w:szCs w:val="20"/>
              </w:rPr>
            </w:pPr>
            <w:r w:rsidRPr="003D56F0">
              <w:rPr>
                <w:sz w:val="20"/>
                <w:szCs w:val="20"/>
              </w:rPr>
              <w:t xml:space="preserve">2.13 </w:t>
            </w:r>
          </w:p>
        </w:tc>
      </w:tr>
      <w:tr w:rsidR="0060664A" w:rsidRPr="003D56F0" w14:paraId="0C281097" w14:textId="77777777" w:rsidTr="002006E5">
        <w:trPr>
          <w:trHeight w:val="300"/>
        </w:trPr>
        <w:tc>
          <w:tcPr>
            <w:tcW w:w="2729" w:type="pct"/>
            <w:shd w:val="clear" w:color="auto" w:fill="auto"/>
            <w:noWrap/>
            <w:tcMar>
              <w:top w:w="28" w:type="dxa"/>
              <w:left w:w="28" w:type="dxa"/>
              <w:bottom w:w="28" w:type="dxa"/>
              <w:right w:w="28" w:type="dxa"/>
            </w:tcMar>
            <w:vAlign w:val="bottom"/>
          </w:tcPr>
          <w:p w14:paraId="7BAB8B4C" w14:textId="48D62851" w:rsidR="0060664A" w:rsidRPr="003D56F0" w:rsidRDefault="0060664A" w:rsidP="003D56F0">
            <w:pPr>
              <w:rPr>
                <w:rFonts w:eastAsia="Times New Roman"/>
                <w:color w:val="000000"/>
                <w:sz w:val="20"/>
                <w:szCs w:val="20"/>
              </w:rPr>
            </w:pPr>
            <w:r w:rsidRPr="003D56F0">
              <w:rPr>
                <w:sz w:val="20"/>
                <w:szCs w:val="20"/>
              </w:rPr>
              <w:t>Psychosis service costs</w:t>
            </w:r>
          </w:p>
        </w:tc>
        <w:tc>
          <w:tcPr>
            <w:tcW w:w="785" w:type="pct"/>
            <w:shd w:val="clear" w:color="auto" w:fill="auto"/>
            <w:noWrap/>
            <w:tcMar>
              <w:top w:w="28" w:type="dxa"/>
              <w:left w:w="28" w:type="dxa"/>
              <w:bottom w:w="28" w:type="dxa"/>
              <w:right w:w="28" w:type="dxa"/>
            </w:tcMar>
            <w:vAlign w:val="bottom"/>
          </w:tcPr>
          <w:p w14:paraId="7F0BE1C2" w14:textId="5AD59440" w:rsidR="0060664A" w:rsidRPr="003D56F0" w:rsidRDefault="0060664A" w:rsidP="003D56F0">
            <w:pPr>
              <w:rPr>
                <w:rFonts w:eastAsia="Times New Roman"/>
                <w:color w:val="000000"/>
                <w:sz w:val="20"/>
                <w:szCs w:val="20"/>
              </w:rPr>
            </w:pPr>
            <w:r w:rsidRPr="003D56F0">
              <w:rPr>
                <w:sz w:val="20"/>
                <w:szCs w:val="20"/>
              </w:rPr>
              <w:t>13,136</w:t>
            </w:r>
          </w:p>
        </w:tc>
        <w:tc>
          <w:tcPr>
            <w:tcW w:w="787" w:type="pct"/>
            <w:shd w:val="clear" w:color="auto" w:fill="auto"/>
            <w:noWrap/>
            <w:tcMar>
              <w:top w:w="28" w:type="dxa"/>
              <w:left w:w="28" w:type="dxa"/>
              <w:bottom w:w="28" w:type="dxa"/>
              <w:right w:w="28" w:type="dxa"/>
            </w:tcMar>
            <w:vAlign w:val="bottom"/>
          </w:tcPr>
          <w:p w14:paraId="05E0D920" w14:textId="2D60F3D4" w:rsidR="0060664A" w:rsidRPr="003D56F0" w:rsidRDefault="0060664A" w:rsidP="003D56F0">
            <w:pPr>
              <w:rPr>
                <w:rFonts w:eastAsia="Times New Roman"/>
                <w:color w:val="000000"/>
                <w:sz w:val="20"/>
                <w:szCs w:val="20"/>
              </w:rPr>
            </w:pPr>
            <w:r w:rsidRPr="003D56F0">
              <w:rPr>
                <w:sz w:val="20"/>
                <w:szCs w:val="20"/>
              </w:rPr>
              <w:t>9,852</w:t>
            </w:r>
          </w:p>
        </w:tc>
        <w:tc>
          <w:tcPr>
            <w:tcW w:w="699" w:type="pct"/>
            <w:shd w:val="clear" w:color="auto" w:fill="auto"/>
            <w:noWrap/>
            <w:tcMar>
              <w:top w:w="28" w:type="dxa"/>
              <w:left w:w="28" w:type="dxa"/>
              <w:bottom w:w="28" w:type="dxa"/>
              <w:right w:w="28" w:type="dxa"/>
            </w:tcMar>
            <w:vAlign w:val="bottom"/>
          </w:tcPr>
          <w:p w14:paraId="1DF647AA" w14:textId="7B76E4CD" w:rsidR="0060664A" w:rsidRPr="003D56F0" w:rsidRDefault="0060664A" w:rsidP="003D56F0">
            <w:pPr>
              <w:rPr>
                <w:rFonts w:eastAsia="Times New Roman"/>
                <w:color w:val="000000"/>
                <w:sz w:val="20"/>
                <w:szCs w:val="20"/>
              </w:rPr>
            </w:pPr>
            <w:r w:rsidRPr="003D56F0">
              <w:rPr>
                <w:sz w:val="20"/>
                <w:szCs w:val="20"/>
              </w:rPr>
              <w:t>16,420</w:t>
            </w:r>
          </w:p>
        </w:tc>
      </w:tr>
      <w:tr w:rsidR="0060664A" w:rsidRPr="003D56F0" w14:paraId="5743C525" w14:textId="77777777" w:rsidTr="002006E5">
        <w:trPr>
          <w:trHeight w:val="300"/>
        </w:trPr>
        <w:tc>
          <w:tcPr>
            <w:tcW w:w="2729" w:type="pct"/>
            <w:shd w:val="clear" w:color="auto" w:fill="auto"/>
            <w:noWrap/>
            <w:tcMar>
              <w:top w:w="28" w:type="dxa"/>
              <w:left w:w="28" w:type="dxa"/>
              <w:bottom w:w="28" w:type="dxa"/>
              <w:right w:w="28" w:type="dxa"/>
            </w:tcMar>
            <w:vAlign w:val="bottom"/>
          </w:tcPr>
          <w:p w14:paraId="78111D6F" w14:textId="4EA53982" w:rsidR="0060664A" w:rsidRPr="003D56F0" w:rsidRDefault="0060664A" w:rsidP="003D56F0">
            <w:pPr>
              <w:rPr>
                <w:rFonts w:eastAsia="Times New Roman"/>
                <w:color w:val="000000"/>
                <w:sz w:val="20"/>
                <w:szCs w:val="20"/>
              </w:rPr>
            </w:pPr>
            <w:r w:rsidRPr="003D56F0">
              <w:rPr>
                <w:sz w:val="20"/>
                <w:szCs w:val="20"/>
              </w:rPr>
              <w:t xml:space="preserve">Psychosis informal care costs </w:t>
            </w:r>
          </w:p>
        </w:tc>
        <w:tc>
          <w:tcPr>
            <w:tcW w:w="785" w:type="pct"/>
            <w:shd w:val="clear" w:color="auto" w:fill="auto"/>
            <w:noWrap/>
            <w:tcMar>
              <w:top w:w="28" w:type="dxa"/>
              <w:left w:w="28" w:type="dxa"/>
              <w:bottom w:w="28" w:type="dxa"/>
              <w:right w:w="28" w:type="dxa"/>
            </w:tcMar>
            <w:vAlign w:val="bottom"/>
          </w:tcPr>
          <w:p w14:paraId="43A32E73" w14:textId="339C1D66" w:rsidR="0060664A" w:rsidRPr="003D56F0" w:rsidRDefault="0060664A" w:rsidP="003D56F0">
            <w:pPr>
              <w:rPr>
                <w:rFonts w:eastAsia="Times New Roman"/>
                <w:color w:val="000000"/>
                <w:sz w:val="20"/>
                <w:szCs w:val="20"/>
              </w:rPr>
            </w:pPr>
            <w:r w:rsidRPr="003D56F0">
              <w:rPr>
                <w:sz w:val="20"/>
                <w:szCs w:val="20"/>
              </w:rPr>
              <w:t>4,424</w:t>
            </w:r>
          </w:p>
        </w:tc>
        <w:tc>
          <w:tcPr>
            <w:tcW w:w="787" w:type="pct"/>
            <w:shd w:val="clear" w:color="auto" w:fill="auto"/>
            <w:noWrap/>
            <w:tcMar>
              <w:top w:w="28" w:type="dxa"/>
              <w:left w:w="28" w:type="dxa"/>
              <w:bottom w:w="28" w:type="dxa"/>
              <w:right w:w="28" w:type="dxa"/>
            </w:tcMar>
            <w:vAlign w:val="bottom"/>
          </w:tcPr>
          <w:p w14:paraId="6639C6AB" w14:textId="1B34960B" w:rsidR="0060664A" w:rsidRPr="003D56F0" w:rsidRDefault="0060664A" w:rsidP="003D56F0">
            <w:pPr>
              <w:rPr>
                <w:rFonts w:eastAsia="Times New Roman"/>
                <w:color w:val="000000"/>
                <w:sz w:val="20"/>
                <w:szCs w:val="20"/>
              </w:rPr>
            </w:pPr>
            <w:r w:rsidRPr="003D56F0">
              <w:rPr>
                <w:sz w:val="20"/>
                <w:szCs w:val="20"/>
              </w:rPr>
              <w:t>3,318</w:t>
            </w:r>
          </w:p>
        </w:tc>
        <w:tc>
          <w:tcPr>
            <w:tcW w:w="699" w:type="pct"/>
            <w:shd w:val="clear" w:color="auto" w:fill="auto"/>
            <w:noWrap/>
            <w:tcMar>
              <w:top w:w="28" w:type="dxa"/>
              <w:left w:w="28" w:type="dxa"/>
              <w:bottom w:w="28" w:type="dxa"/>
              <w:right w:w="28" w:type="dxa"/>
            </w:tcMar>
            <w:vAlign w:val="bottom"/>
          </w:tcPr>
          <w:p w14:paraId="5187869B" w14:textId="4B6CEA5A" w:rsidR="0060664A" w:rsidRPr="003D56F0" w:rsidRDefault="0060664A" w:rsidP="003D56F0">
            <w:pPr>
              <w:rPr>
                <w:rFonts w:eastAsia="Times New Roman"/>
                <w:color w:val="000000"/>
                <w:sz w:val="20"/>
                <w:szCs w:val="20"/>
              </w:rPr>
            </w:pPr>
            <w:r w:rsidRPr="003D56F0">
              <w:rPr>
                <w:sz w:val="20"/>
                <w:szCs w:val="20"/>
              </w:rPr>
              <w:t>5,530</w:t>
            </w:r>
          </w:p>
        </w:tc>
      </w:tr>
      <w:tr w:rsidR="0060664A" w:rsidRPr="003D56F0" w14:paraId="55790E71" w14:textId="77777777" w:rsidTr="002006E5">
        <w:trPr>
          <w:trHeight w:val="300"/>
        </w:trPr>
        <w:tc>
          <w:tcPr>
            <w:tcW w:w="2729" w:type="pct"/>
            <w:shd w:val="clear" w:color="auto" w:fill="auto"/>
            <w:noWrap/>
            <w:tcMar>
              <w:top w:w="28" w:type="dxa"/>
              <w:left w:w="28" w:type="dxa"/>
              <w:bottom w:w="28" w:type="dxa"/>
              <w:right w:w="28" w:type="dxa"/>
            </w:tcMar>
            <w:vAlign w:val="bottom"/>
          </w:tcPr>
          <w:p w14:paraId="5DEEF84D" w14:textId="07209E7C" w:rsidR="0060664A" w:rsidRPr="003D56F0" w:rsidRDefault="0060664A" w:rsidP="003D56F0">
            <w:pPr>
              <w:rPr>
                <w:rFonts w:eastAsia="Times New Roman"/>
                <w:color w:val="000000"/>
                <w:sz w:val="20"/>
                <w:szCs w:val="20"/>
              </w:rPr>
            </w:pPr>
            <w:r w:rsidRPr="003D56F0">
              <w:rPr>
                <w:sz w:val="20"/>
                <w:szCs w:val="20"/>
              </w:rPr>
              <w:t>Cost of cannabis arrest</w:t>
            </w:r>
          </w:p>
        </w:tc>
        <w:tc>
          <w:tcPr>
            <w:tcW w:w="785" w:type="pct"/>
            <w:shd w:val="clear" w:color="auto" w:fill="auto"/>
            <w:noWrap/>
            <w:tcMar>
              <w:top w:w="28" w:type="dxa"/>
              <w:left w:w="28" w:type="dxa"/>
              <w:bottom w:w="28" w:type="dxa"/>
              <w:right w:w="28" w:type="dxa"/>
            </w:tcMar>
            <w:vAlign w:val="bottom"/>
          </w:tcPr>
          <w:p w14:paraId="33B89656" w14:textId="096CB904" w:rsidR="0060664A" w:rsidRPr="003D56F0" w:rsidRDefault="0060664A" w:rsidP="003D56F0">
            <w:pPr>
              <w:rPr>
                <w:rFonts w:eastAsia="Times New Roman"/>
                <w:color w:val="000000"/>
                <w:sz w:val="20"/>
                <w:szCs w:val="20"/>
              </w:rPr>
            </w:pPr>
            <w:r w:rsidRPr="003D56F0">
              <w:rPr>
                <w:sz w:val="20"/>
                <w:szCs w:val="20"/>
              </w:rPr>
              <w:t>£500</w:t>
            </w:r>
          </w:p>
        </w:tc>
        <w:tc>
          <w:tcPr>
            <w:tcW w:w="787" w:type="pct"/>
            <w:shd w:val="clear" w:color="auto" w:fill="auto"/>
            <w:noWrap/>
            <w:tcMar>
              <w:top w:w="28" w:type="dxa"/>
              <w:left w:w="28" w:type="dxa"/>
              <w:bottom w:w="28" w:type="dxa"/>
              <w:right w:w="28" w:type="dxa"/>
            </w:tcMar>
            <w:vAlign w:val="bottom"/>
          </w:tcPr>
          <w:p w14:paraId="4B6C3E74" w14:textId="2C676E0A" w:rsidR="0060664A" w:rsidRPr="003D56F0" w:rsidRDefault="0060664A" w:rsidP="003D56F0">
            <w:pPr>
              <w:rPr>
                <w:rFonts w:eastAsia="Times New Roman"/>
                <w:color w:val="000000"/>
                <w:sz w:val="20"/>
                <w:szCs w:val="20"/>
              </w:rPr>
            </w:pPr>
            <w:r w:rsidRPr="003D56F0">
              <w:rPr>
                <w:sz w:val="20"/>
                <w:szCs w:val="20"/>
              </w:rPr>
              <w:t>£375</w:t>
            </w:r>
          </w:p>
        </w:tc>
        <w:tc>
          <w:tcPr>
            <w:tcW w:w="699" w:type="pct"/>
            <w:shd w:val="clear" w:color="auto" w:fill="auto"/>
            <w:noWrap/>
            <w:tcMar>
              <w:top w:w="28" w:type="dxa"/>
              <w:left w:w="28" w:type="dxa"/>
              <w:bottom w:w="28" w:type="dxa"/>
              <w:right w:w="28" w:type="dxa"/>
            </w:tcMar>
            <w:vAlign w:val="bottom"/>
          </w:tcPr>
          <w:p w14:paraId="12A4C07C" w14:textId="16F54C54" w:rsidR="0060664A" w:rsidRPr="003D56F0" w:rsidRDefault="0060664A" w:rsidP="003D56F0">
            <w:pPr>
              <w:rPr>
                <w:rFonts w:eastAsia="Times New Roman"/>
                <w:color w:val="000000"/>
                <w:sz w:val="20"/>
                <w:szCs w:val="20"/>
              </w:rPr>
            </w:pPr>
            <w:r w:rsidRPr="003D56F0">
              <w:rPr>
                <w:sz w:val="20"/>
                <w:szCs w:val="20"/>
              </w:rPr>
              <w:t>£625</w:t>
            </w:r>
          </w:p>
        </w:tc>
      </w:tr>
      <w:tr w:rsidR="0060664A" w:rsidRPr="003D56F0" w14:paraId="094DE6AC" w14:textId="77777777" w:rsidTr="002006E5">
        <w:trPr>
          <w:trHeight w:val="300"/>
        </w:trPr>
        <w:tc>
          <w:tcPr>
            <w:tcW w:w="2729" w:type="pct"/>
            <w:shd w:val="clear" w:color="auto" w:fill="auto"/>
            <w:noWrap/>
            <w:tcMar>
              <w:top w:w="28" w:type="dxa"/>
              <w:left w:w="28" w:type="dxa"/>
              <w:bottom w:w="28" w:type="dxa"/>
              <w:right w:w="28" w:type="dxa"/>
            </w:tcMar>
            <w:vAlign w:val="bottom"/>
          </w:tcPr>
          <w:p w14:paraId="202BE423" w14:textId="2B028A3F" w:rsidR="0060664A" w:rsidRPr="003D56F0" w:rsidRDefault="0060664A" w:rsidP="003D56F0">
            <w:pPr>
              <w:rPr>
                <w:rFonts w:eastAsia="Times New Roman"/>
                <w:color w:val="000000"/>
                <w:sz w:val="20"/>
                <w:szCs w:val="20"/>
              </w:rPr>
            </w:pPr>
            <w:r w:rsidRPr="003D56F0">
              <w:rPr>
                <w:sz w:val="20"/>
                <w:szCs w:val="20"/>
              </w:rPr>
              <w:t>Cannabis offences in England and Wales (2014-2015) per 1,000 cannabis users</w:t>
            </w:r>
          </w:p>
        </w:tc>
        <w:tc>
          <w:tcPr>
            <w:tcW w:w="785" w:type="pct"/>
            <w:shd w:val="clear" w:color="auto" w:fill="auto"/>
            <w:noWrap/>
            <w:tcMar>
              <w:top w:w="28" w:type="dxa"/>
              <w:left w:w="28" w:type="dxa"/>
              <w:bottom w:w="28" w:type="dxa"/>
              <w:right w:w="28" w:type="dxa"/>
            </w:tcMar>
            <w:vAlign w:val="bottom"/>
          </w:tcPr>
          <w:p w14:paraId="4EDBD972" w14:textId="1B7E6AC8" w:rsidR="0060664A" w:rsidRPr="003D56F0" w:rsidRDefault="0060664A" w:rsidP="003D56F0">
            <w:pPr>
              <w:rPr>
                <w:rFonts w:eastAsia="Times New Roman"/>
                <w:color w:val="000000"/>
                <w:sz w:val="20"/>
                <w:szCs w:val="20"/>
              </w:rPr>
            </w:pPr>
            <w:r w:rsidRPr="003D56F0">
              <w:rPr>
                <w:sz w:val="20"/>
                <w:szCs w:val="20"/>
              </w:rPr>
              <w:t xml:space="preserve">50.27 </w:t>
            </w:r>
          </w:p>
        </w:tc>
        <w:tc>
          <w:tcPr>
            <w:tcW w:w="787" w:type="pct"/>
            <w:shd w:val="clear" w:color="auto" w:fill="auto"/>
            <w:noWrap/>
            <w:tcMar>
              <w:top w:w="28" w:type="dxa"/>
              <w:left w:w="28" w:type="dxa"/>
              <w:bottom w:w="28" w:type="dxa"/>
              <w:right w:w="28" w:type="dxa"/>
            </w:tcMar>
            <w:vAlign w:val="bottom"/>
          </w:tcPr>
          <w:p w14:paraId="6331D63C" w14:textId="5B7DEC0F" w:rsidR="0060664A" w:rsidRPr="003D56F0" w:rsidRDefault="0060664A" w:rsidP="003D56F0">
            <w:pPr>
              <w:rPr>
                <w:rFonts w:eastAsia="Times New Roman"/>
                <w:color w:val="000000"/>
                <w:sz w:val="20"/>
                <w:szCs w:val="20"/>
              </w:rPr>
            </w:pPr>
            <w:r w:rsidRPr="003D56F0">
              <w:rPr>
                <w:sz w:val="20"/>
                <w:szCs w:val="20"/>
              </w:rPr>
              <w:t xml:space="preserve">37.70 </w:t>
            </w:r>
          </w:p>
        </w:tc>
        <w:tc>
          <w:tcPr>
            <w:tcW w:w="699" w:type="pct"/>
            <w:shd w:val="clear" w:color="auto" w:fill="auto"/>
            <w:noWrap/>
            <w:tcMar>
              <w:top w:w="28" w:type="dxa"/>
              <w:left w:w="28" w:type="dxa"/>
              <w:bottom w:w="28" w:type="dxa"/>
              <w:right w:w="28" w:type="dxa"/>
            </w:tcMar>
            <w:vAlign w:val="bottom"/>
          </w:tcPr>
          <w:p w14:paraId="09F4A440" w14:textId="08D5E879" w:rsidR="0060664A" w:rsidRPr="003D56F0" w:rsidRDefault="0060664A" w:rsidP="003D56F0">
            <w:pPr>
              <w:rPr>
                <w:rFonts w:eastAsia="Times New Roman"/>
                <w:color w:val="000000"/>
                <w:sz w:val="20"/>
                <w:szCs w:val="20"/>
              </w:rPr>
            </w:pPr>
            <w:r w:rsidRPr="003D56F0">
              <w:rPr>
                <w:sz w:val="20"/>
                <w:szCs w:val="20"/>
              </w:rPr>
              <w:t xml:space="preserve">62.84 </w:t>
            </w:r>
          </w:p>
        </w:tc>
      </w:tr>
    </w:tbl>
    <w:p w14:paraId="72FC0969" w14:textId="77777777" w:rsidR="00F56C53" w:rsidRPr="003D56F0" w:rsidRDefault="00F56C53" w:rsidP="00CC7EC2">
      <w:pPr>
        <w:rPr>
          <w:sz w:val="20"/>
          <w:szCs w:val="20"/>
        </w:rPr>
      </w:pPr>
    </w:p>
    <w:p w14:paraId="319B413C" w14:textId="77777777" w:rsidR="000476E3" w:rsidRPr="003D56F0" w:rsidRDefault="000476E3" w:rsidP="00AD2788">
      <w:pPr>
        <w:rPr>
          <w:sz w:val="20"/>
          <w:szCs w:val="20"/>
        </w:rPr>
      </w:pPr>
    </w:p>
    <w:p w14:paraId="4A020325" w14:textId="08790B53" w:rsidR="00F56C53" w:rsidRPr="003D56F0" w:rsidRDefault="000476E3">
      <w:pPr>
        <w:pStyle w:val="Heading3"/>
        <w:rPr>
          <w:sz w:val="20"/>
          <w:szCs w:val="20"/>
        </w:rPr>
      </w:pPr>
      <w:bookmarkStart w:id="77" w:name="_Toc452035656"/>
      <w:r w:rsidRPr="003D56F0">
        <w:rPr>
          <w:sz w:val="20"/>
          <w:szCs w:val="20"/>
        </w:rPr>
        <w:t>7.2 Model based on Lee et al. (2010) "A brief, web-based personalized feedback selective intervention for college student marijuana use: a randomized clinical trial"</w:t>
      </w:r>
      <w:bookmarkEnd w:id="77"/>
    </w:p>
    <w:tbl>
      <w:tblPr>
        <w:tblW w:w="5000" w:type="pct"/>
        <w:jc w:val="center"/>
        <w:tblLayout w:type="fixed"/>
        <w:tblLook w:val="04A0" w:firstRow="1" w:lastRow="0" w:firstColumn="1" w:lastColumn="0" w:noHBand="0" w:noVBand="1"/>
      </w:tblPr>
      <w:tblGrid>
        <w:gridCol w:w="2388"/>
        <w:gridCol w:w="1386"/>
        <w:gridCol w:w="5468"/>
      </w:tblGrid>
      <w:tr w:rsidR="00F56C53" w:rsidRPr="003D56F0" w14:paraId="4F975D8A" w14:textId="77777777" w:rsidTr="000476E3">
        <w:trPr>
          <w:trHeight w:val="300"/>
          <w:jc w:val="center"/>
        </w:trPr>
        <w:tc>
          <w:tcPr>
            <w:tcW w:w="2388" w:type="dxa"/>
            <w:tcBorders>
              <w:top w:val="nil"/>
              <w:left w:val="nil"/>
              <w:bottom w:val="nil"/>
              <w:right w:val="nil"/>
            </w:tcBorders>
            <w:shd w:val="clear" w:color="auto" w:fill="auto"/>
            <w:noWrap/>
            <w:vAlign w:val="bottom"/>
            <w:hideMark/>
          </w:tcPr>
          <w:p w14:paraId="7A6A8CC3" w14:textId="77777777" w:rsidR="00F56C53" w:rsidRPr="003D56F0" w:rsidRDefault="00F56C53">
            <w:pPr>
              <w:rPr>
                <w:sz w:val="20"/>
                <w:szCs w:val="20"/>
                <w:lang w:val="en-US"/>
              </w:rPr>
            </w:pPr>
          </w:p>
        </w:tc>
        <w:tc>
          <w:tcPr>
            <w:tcW w:w="1386" w:type="dxa"/>
            <w:tcBorders>
              <w:top w:val="nil"/>
              <w:left w:val="nil"/>
              <w:bottom w:val="nil"/>
              <w:right w:val="nil"/>
            </w:tcBorders>
            <w:shd w:val="clear" w:color="auto" w:fill="auto"/>
            <w:noWrap/>
            <w:vAlign w:val="bottom"/>
            <w:hideMark/>
          </w:tcPr>
          <w:p w14:paraId="64A70049" w14:textId="77777777" w:rsidR="00F56C53" w:rsidRPr="003D56F0" w:rsidRDefault="00F56C53">
            <w:pPr>
              <w:rPr>
                <w:sz w:val="20"/>
                <w:szCs w:val="20"/>
                <w:lang w:val="en-US"/>
              </w:rPr>
            </w:pPr>
          </w:p>
        </w:tc>
        <w:tc>
          <w:tcPr>
            <w:tcW w:w="5468" w:type="dxa"/>
            <w:tcBorders>
              <w:top w:val="nil"/>
              <w:left w:val="nil"/>
              <w:bottom w:val="nil"/>
              <w:right w:val="nil"/>
            </w:tcBorders>
            <w:shd w:val="clear" w:color="auto" w:fill="auto"/>
            <w:noWrap/>
            <w:vAlign w:val="bottom"/>
            <w:hideMark/>
          </w:tcPr>
          <w:p w14:paraId="75C2DCA3" w14:textId="77777777" w:rsidR="00F56C53" w:rsidRPr="003D56F0" w:rsidRDefault="00F56C53">
            <w:pPr>
              <w:rPr>
                <w:sz w:val="20"/>
                <w:szCs w:val="20"/>
                <w:lang w:val="en-US"/>
              </w:rPr>
            </w:pPr>
          </w:p>
        </w:tc>
      </w:tr>
      <w:tr w:rsidR="00F56C53" w:rsidRPr="003D56F0" w14:paraId="5DEB017E" w14:textId="77777777" w:rsidTr="000476E3">
        <w:trPr>
          <w:trHeight w:val="300"/>
          <w:jc w:val="center"/>
        </w:trPr>
        <w:tc>
          <w:tcPr>
            <w:tcW w:w="2388" w:type="dxa"/>
            <w:tcBorders>
              <w:top w:val="single" w:sz="4" w:space="0" w:color="auto"/>
              <w:left w:val="single" w:sz="4" w:space="0" w:color="auto"/>
              <w:bottom w:val="single" w:sz="4" w:space="0" w:color="auto"/>
              <w:right w:val="single" w:sz="4" w:space="0" w:color="auto"/>
            </w:tcBorders>
            <w:shd w:val="clear" w:color="auto" w:fill="auto"/>
            <w:hideMark/>
          </w:tcPr>
          <w:p w14:paraId="7CEC4894" w14:textId="77777777" w:rsidR="00F56C53" w:rsidRPr="003D56F0" w:rsidRDefault="00F56C53" w:rsidP="00CC7EC2">
            <w:pPr>
              <w:rPr>
                <w:sz w:val="20"/>
                <w:szCs w:val="20"/>
                <w:lang w:val="en-US"/>
              </w:rPr>
            </w:pPr>
            <w:r w:rsidRPr="003D56F0">
              <w:rPr>
                <w:sz w:val="20"/>
                <w:szCs w:val="20"/>
                <w:lang w:val="en-US"/>
              </w:rPr>
              <w:t>Input/Outcome</w:t>
            </w:r>
          </w:p>
        </w:tc>
        <w:tc>
          <w:tcPr>
            <w:tcW w:w="1386" w:type="dxa"/>
            <w:tcBorders>
              <w:top w:val="single" w:sz="4" w:space="0" w:color="auto"/>
              <w:left w:val="nil"/>
              <w:bottom w:val="single" w:sz="4" w:space="0" w:color="auto"/>
              <w:right w:val="single" w:sz="4" w:space="0" w:color="auto"/>
            </w:tcBorders>
            <w:shd w:val="clear" w:color="auto" w:fill="auto"/>
            <w:hideMark/>
          </w:tcPr>
          <w:p w14:paraId="0FA9409E" w14:textId="77777777" w:rsidR="00F56C53" w:rsidRPr="003D56F0" w:rsidRDefault="00F56C53" w:rsidP="00AD2788">
            <w:pPr>
              <w:rPr>
                <w:sz w:val="20"/>
                <w:szCs w:val="20"/>
                <w:lang w:val="en-US"/>
              </w:rPr>
            </w:pPr>
            <w:r w:rsidRPr="003D56F0">
              <w:rPr>
                <w:sz w:val="20"/>
                <w:szCs w:val="20"/>
                <w:lang w:val="en-US"/>
              </w:rPr>
              <w:t>Assumption</w:t>
            </w:r>
          </w:p>
        </w:tc>
        <w:tc>
          <w:tcPr>
            <w:tcW w:w="5468" w:type="dxa"/>
            <w:tcBorders>
              <w:top w:val="single" w:sz="4" w:space="0" w:color="auto"/>
              <w:left w:val="nil"/>
              <w:bottom w:val="single" w:sz="4" w:space="0" w:color="auto"/>
              <w:right w:val="single" w:sz="4" w:space="0" w:color="auto"/>
            </w:tcBorders>
            <w:shd w:val="clear" w:color="auto" w:fill="auto"/>
            <w:hideMark/>
          </w:tcPr>
          <w:p w14:paraId="6B20A1C5" w14:textId="77777777" w:rsidR="00F56C53" w:rsidRPr="003D56F0" w:rsidRDefault="00F56C53" w:rsidP="003D56F0">
            <w:pPr>
              <w:rPr>
                <w:rFonts w:eastAsia="Times New Roman"/>
                <w:color w:val="000000"/>
                <w:sz w:val="20"/>
                <w:szCs w:val="20"/>
                <w:lang w:val="en-US"/>
              </w:rPr>
            </w:pPr>
            <w:r w:rsidRPr="003D56F0">
              <w:rPr>
                <w:sz w:val="20"/>
                <w:szCs w:val="20"/>
                <w:lang w:val="en-US"/>
              </w:rPr>
              <w:t>Data source</w:t>
            </w:r>
          </w:p>
        </w:tc>
      </w:tr>
      <w:tr w:rsidR="00F56C53" w:rsidRPr="003D56F0" w14:paraId="245927AA" w14:textId="77777777" w:rsidTr="000476E3">
        <w:trPr>
          <w:trHeight w:val="900"/>
          <w:jc w:val="center"/>
        </w:trPr>
        <w:tc>
          <w:tcPr>
            <w:tcW w:w="2388" w:type="dxa"/>
            <w:tcBorders>
              <w:top w:val="nil"/>
              <w:left w:val="single" w:sz="4" w:space="0" w:color="auto"/>
              <w:bottom w:val="single" w:sz="4" w:space="0" w:color="auto"/>
              <w:right w:val="single" w:sz="4" w:space="0" w:color="auto"/>
            </w:tcBorders>
            <w:shd w:val="clear" w:color="auto" w:fill="auto"/>
            <w:hideMark/>
          </w:tcPr>
          <w:p w14:paraId="1BA53397" w14:textId="77777777" w:rsidR="00F56C53" w:rsidRPr="003D56F0" w:rsidRDefault="00F56C53" w:rsidP="00CC7EC2">
            <w:pPr>
              <w:rPr>
                <w:sz w:val="20"/>
                <w:szCs w:val="20"/>
              </w:rPr>
            </w:pPr>
            <w:r w:rsidRPr="003D56F0">
              <w:rPr>
                <w:sz w:val="20"/>
                <w:szCs w:val="20"/>
              </w:rPr>
              <w:t>Target population</w:t>
            </w:r>
          </w:p>
        </w:tc>
        <w:tc>
          <w:tcPr>
            <w:tcW w:w="1386" w:type="dxa"/>
            <w:tcBorders>
              <w:top w:val="nil"/>
              <w:left w:val="nil"/>
              <w:bottom w:val="single" w:sz="4" w:space="0" w:color="auto"/>
              <w:right w:val="single" w:sz="4" w:space="0" w:color="auto"/>
            </w:tcBorders>
            <w:shd w:val="clear" w:color="auto" w:fill="auto"/>
            <w:hideMark/>
          </w:tcPr>
          <w:p w14:paraId="2BB8E227" w14:textId="77777777" w:rsidR="00F56C53" w:rsidRPr="003D56F0" w:rsidRDefault="00F56C53" w:rsidP="00AD2788">
            <w:pPr>
              <w:rPr>
                <w:sz w:val="20"/>
                <w:szCs w:val="20"/>
              </w:rPr>
            </w:pPr>
            <w:r w:rsidRPr="003D56F0">
              <w:rPr>
                <w:sz w:val="20"/>
                <w:szCs w:val="20"/>
              </w:rPr>
              <w:t>66,236</w:t>
            </w:r>
          </w:p>
        </w:tc>
        <w:tc>
          <w:tcPr>
            <w:tcW w:w="5468" w:type="dxa"/>
            <w:tcBorders>
              <w:top w:val="nil"/>
              <w:left w:val="nil"/>
              <w:bottom w:val="single" w:sz="4" w:space="0" w:color="auto"/>
              <w:right w:val="single" w:sz="4" w:space="0" w:color="auto"/>
            </w:tcBorders>
            <w:shd w:val="clear" w:color="auto" w:fill="auto"/>
            <w:hideMark/>
          </w:tcPr>
          <w:p w14:paraId="6EC8B1C8" w14:textId="77777777" w:rsidR="00F56C53" w:rsidRPr="003D56F0" w:rsidRDefault="00F56C53" w:rsidP="003D56F0">
            <w:pPr>
              <w:rPr>
                <w:rFonts w:eastAsia="Times New Roman"/>
                <w:color w:val="000000"/>
                <w:sz w:val="20"/>
                <w:szCs w:val="20"/>
              </w:rPr>
            </w:pPr>
            <w:r w:rsidRPr="003D56F0">
              <w:rPr>
                <w:sz w:val="20"/>
                <w:szCs w:val="20"/>
              </w:rPr>
              <w:t>Based on the proportion of cannabis users aged 17-19 with a family history of drug problems. Number of cannabis users are from Office for National Statistics Tables for drug misuse: Findings from 2014-2015 CSEW</w:t>
            </w:r>
          </w:p>
        </w:tc>
      </w:tr>
      <w:tr w:rsidR="00F56C53" w:rsidRPr="003D56F0" w14:paraId="129ED19B" w14:textId="77777777" w:rsidTr="000476E3">
        <w:trPr>
          <w:trHeight w:val="300"/>
          <w:jc w:val="center"/>
        </w:trPr>
        <w:tc>
          <w:tcPr>
            <w:tcW w:w="2388" w:type="dxa"/>
            <w:tcBorders>
              <w:top w:val="nil"/>
              <w:left w:val="single" w:sz="4" w:space="0" w:color="auto"/>
              <w:bottom w:val="single" w:sz="4" w:space="0" w:color="auto"/>
              <w:right w:val="single" w:sz="4" w:space="0" w:color="auto"/>
            </w:tcBorders>
            <w:shd w:val="clear" w:color="auto" w:fill="auto"/>
            <w:hideMark/>
          </w:tcPr>
          <w:p w14:paraId="0B536EB7" w14:textId="77777777" w:rsidR="00F56C53" w:rsidRPr="003D56F0" w:rsidRDefault="00F56C53" w:rsidP="00CC7EC2">
            <w:pPr>
              <w:rPr>
                <w:sz w:val="20"/>
                <w:szCs w:val="20"/>
              </w:rPr>
            </w:pPr>
            <w:r w:rsidRPr="003D56F0">
              <w:rPr>
                <w:sz w:val="20"/>
                <w:szCs w:val="20"/>
              </w:rPr>
              <w:t>Intervention cost</w:t>
            </w:r>
          </w:p>
        </w:tc>
        <w:tc>
          <w:tcPr>
            <w:tcW w:w="1386" w:type="dxa"/>
            <w:tcBorders>
              <w:top w:val="nil"/>
              <w:left w:val="nil"/>
              <w:bottom w:val="single" w:sz="4" w:space="0" w:color="auto"/>
              <w:right w:val="single" w:sz="4" w:space="0" w:color="auto"/>
            </w:tcBorders>
            <w:shd w:val="clear" w:color="auto" w:fill="auto"/>
            <w:hideMark/>
          </w:tcPr>
          <w:p w14:paraId="1ACB20AC" w14:textId="77777777" w:rsidR="00F56C53" w:rsidRPr="003D56F0" w:rsidRDefault="00F56C53" w:rsidP="00AD2788">
            <w:pPr>
              <w:rPr>
                <w:sz w:val="20"/>
                <w:szCs w:val="20"/>
              </w:rPr>
            </w:pPr>
            <w:r w:rsidRPr="003D56F0">
              <w:rPr>
                <w:sz w:val="20"/>
                <w:szCs w:val="20"/>
              </w:rPr>
              <w:t> £15</w:t>
            </w:r>
          </w:p>
        </w:tc>
        <w:tc>
          <w:tcPr>
            <w:tcW w:w="5468" w:type="dxa"/>
            <w:tcBorders>
              <w:top w:val="nil"/>
              <w:left w:val="nil"/>
              <w:bottom w:val="single" w:sz="4" w:space="0" w:color="auto"/>
              <w:right w:val="single" w:sz="4" w:space="0" w:color="auto"/>
            </w:tcBorders>
            <w:shd w:val="clear" w:color="auto" w:fill="auto"/>
            <w:hideMark/>
          </w:tcPr>
          <w:p w14:paraId="7DB1372E" w14:textId="77777777" w:rsidR="00F56C53" w:rsidRPr="003D56F0" w:rsidRDefault="00F56C53" w:rsidP="003D56F0">
            <w:pPr>
              <w:rPr>
                <w:rFonts w:eastAsia="Times New Roman"/>
                <w:color w:val="000000"/>
                <w:sz w:val="20"/>
                <w:szCs w:val="20"/>
              </w:rPr>
            </w:pPr>
            <w:r w:rsidRPr="003D56F0">
              <w:rPr>
                <w:sz w:val="20"/>
                <w:szCs w:val="20"/>
              </w:rPr>
              <w:t xml:space="preserve">We have assumed a cost of £15 per participant based on </w:t>
            </w:r>
            <w:r w:rsidRPr="003D56F0">
              <w:rPr>
                <w:sz w:val="20"/>
                <w:szCs w:val="20"/>
              </w:rPr>
              <w:lastRenderedPageBreak/>
              <w:t>information provided to us about a UK-based drug treatment intervention which was more intensive than this intervention.</w:t>
            </w:r>
            <w:r w:rsidRPr="003D56F0">
              <w:rPr>
                <w:rFonts w:eastAsia="Times New Roman"/>
                <w:color w:val="000000"/>
                <w:sz w:val="20"/>
                <w:szCs w:val="20"/>
              </w:rPr>
              <w:t> </w:t>
            </w:r>
          </w:p>
        </w:tc>
      </w:tr>
      <w:tr w:rsidR="00F56C53" w:rsidRPr="003D56F0" w14:paraId="30655300" w14:textId="77777777" w:rsidTr="000476E3">
        <w:trPr>
          <w:trHeight w:val="900"/>
          <w:jc w:val="center"/>
        </w:trPr>
        <w:tc>
          <w:tcPr>
            <w:tcW w:w="2388" w:type="dxa"/>
            <w:tcBorders>
              <w:top w:val="nil"/>
              <w:left w:val="single" w:sz="4" w:space="0" w:color="auto"/>
              <w:bottom w:val="single" w:sz="4" w:space="0" w:color="auto"/>
              <w:right w:val="single" w:sz="4" w:space="0" w:color="auto"/>
            </w:tcBorders>
            <w:shd w:val="clear" w:color="auto" w:fill="auto"/>
            <w:hideMark/>
          </w:tcPr>
          <w:p w14:paraId="71DBDE61" w14:textId="77777777" w:rsidR="00F56C53" w:rsidRPr="003D56F0" w:rsidRDefault="00F56C53" w:rsidP="00CC7EC2">
            <w:pPr>
              <w:rPr>
                <w:sz w:val="20"/>
                <w:szCs w:val="20"/>
              </w:rPr>
            </w:pPr>
            <w:r w:rsidRPr="003D56F0">
              <w:rPr>
                <w:sz w:val="20"/>
                <w:szCs w:val="20"/>
              </w:rPr>
              <w:lastRenderedPageBreak/>
              <w:t>Proportion of cannabis users with family history of drug problem</w:t>
            </w:r>
          </w:p>
        </w:tc>
        <w:tc>
          <w:tcPr>
            <w:tcW w:w="1386" w:type="dxa"/>
            <w:tcBorders>
              <w:top w:val="nil"/>
              <w:left w:val="nil"/>
              <w:bottom w:val="single" w:sz="4" w:space="0" w:color="auto"/>
              <w:right w:val="single" w:sz="4" w:space="0" w:color="auto"/>
            </w:tcBorders>
            <w:shd w:val="clear" w:color="auto" w:fill="auto"/>
            <w:hideMark/>
          </w:tcPr>
          <w:p w14:paraId="1AEF1C7D" w14:textId="77777777" w:rsidR="00F56C53" w:rsidRPr="003D56F0" w:rsidRDefault="00F56C53" w:rsidP="00AD2788">
            <w:pPr>
              <w:rPr>
                <w:sz w:val="20"/>
                <w:szCs w:val="20"/>
              </w:rPr>
            </w:pPr>
            <w:r w:rsidRPr="003D56F0">
              <w:rPr>
                <w:sz w:val="20"/>
                <w:szCs w:val="20"/>
              </w:rPr>
              <w:t>29%</w:t>
            </w:r>
          </w:p>
        </w:tc>
        <w:tc>
          <w:tcPr>
            <w:tcW w:w="5468" w:type="dxa"/>
            <w:tcBorders>
              <w:top w:val="nil"/>
              <w:left w:val="nil"/>
              <w:bottom w:val="single" w:sz="4" w:space="0" w:color="auto"/>
              <w:right w:val="single" w:sz="4" w:space="0" w:color="auto"/>
            </w:tcBorders>
            <w:shd w:val="clear" w:color="auto" w:fill="auto"/>
            <w:hideMark/>
          </w:tcPr>
          <w:p w14:paraId="62249497" w14:textId="77777777" w:rsidR="00F56C53" w:rsidRPr="003D56F0" w:rsidRDefault="00F56C53" w:rsidP="003D56F0">
            <w:pPr>
              <w:rPr>
                <w:rFonts w:eastAsia="Times New Roman"/>
                <w:color w:val="000000"/>
                <w:sz w:val="20"/>
                <w:szCs w:val="20"/>
              </w:rPr>
            </w:pPr>
            <w:r w:rsidRPr="003D56F0">
              <w:rPr>
                <w:sz w:val="20"/>
                <w:szCs w:val="20"/>
              </w:rPr>
              <w:t>Lee paper found promising effects of intervention for those with a family history of drug problems. It is assumed that the proportion of 17-19 cannabis users with family history of drug problem is similar to the proportion in the Lee paper.</w:t>
            </w:r>
          </w:p>
        </w:tc>
      </w:tr>
      <w:tr w:rsidR="00F56C53" w:rsidRPr="003D56F0" w14:paraId="42BA1904" w14:textId="77777777" w:rsidTr="000476E3">
        <w:trPr>
          <w:trHeight w:val="1500"/>
          <w:jc w:val="center"/>
        </w:trPr>
        <w:tc>
          <w:tcPr>
            <w:tcW w:w="2388" w:type="dxa"/>
            <w:tcBorders>
              <w:top w:val="nil"/>
              <w:left w:val="single" w:sz="4" w:space="0" w:color="auto"/>
              <w:bottom w:val="single" w:sz="4" w:space="0" w:color="auto"/>
              <w:right w:val="single" w:sz="4" w:space="0" w:color="auto"/>
            </w:tcBorders>
            <w:shd w:val="clear" w:color="auto" w:fill="auto"/>
            <w:hideMark/>
          </w:tcPr>
          <w:p w14:paraId="3A2E014A" w14:textId="77777777" w:rsidR="00F56C53" w:rsidRPr="003D56F0" w:rsidRDefault="00F56C53" w:rsidP="00CC7EC2">
            <w:pPr>
              <w:rPr>
                <w:sz w:val="20"/>
                <w:szCs w:val="20"/>
              </w:rPr>
            </w:pPr>
            <w:r w:rsidRPr="003D56F0">
              <w:rPr>
                <w:sz w:val="20"/>
                <w:szCs w:val="20"/>
              </w:rPr>
              <w:t>Drug use - base case model</w:t>
            </w:r>
          </w:p>
        </w:tc>
        <w:tc>
          <w:tcPr>
            <w:tcW w:w="1386" w:type="dxa"/>
            <w:tcBorders>
              <w:top w:val="nil"/>
              <w:left w:val="nil"/>
              <w:bottom w:val="single" w:sz="4" w:space="0" w:color="auto"/>
              <w:right w:val="single" w:sz="4" w:space="0" w:color="auto"/>
            </w:tcBorders>
            <w:shd w:val="clear" w:color="auto" w:fill="auto"/>
            <w:hideMark/>
          </w:tcPr>
          <w:p w14:paraId="11F44901" w14:textId="77777777" w:rsidR="00F56C53" w:rsidRPr="003D56F0" w:rsidRDefault="00F56C53" w:rsidP="00AD2788">
            <w:pPr>
              <w:rPr>
                <w:sz w:val="20"/>
                <w:szCs w:val="20"/>
              </w:rPr>
            </w:pPr>
            <w:r w:rsidRPr="003D56F0">
              <w:rPr>
                <w:sz w:val="20"/>
                <w:szCs w:val="20"/>
              </w:rPr>
              <w:t>12 days  (intervention); 9 days (control) - Number of days with drug use in the last 3 months</w:t>
            </w:r>
          </w:p>
        </w:tc>
        <w:tc>
          <w:tcPr>
            <w:tcW w:w="5468" w:type="dxa"/>
            <w:tcBorders>
              <w:top w:val="nil"/>
              <w:left w:val="nil"/>
              <w:bottom w:val="single" w:sz="4" w:space="0" w:color="auto"/>
              <w:right w:val="single" w:sz="4" w:space="0" w:color="auto"/>
            </w:tcBorders>
            <w:shd w:val="clear" w:color="auto" w:fill="auto"/>
            <w:hideMark/>
          </w:tcPr>
          <w:p w14:paraId="63A16C06" w14:textId="77777777" w:rsidR="00F56C53" w:rsidRPr="003D56F0" w:rsidRDefault="00F56C53" w:rsidP="003D56F0">
            <w:pPr>
              <w:rPr>
                <w:rFonts w:eastAsia="Times New Roman"/>
                <w:color w:val="000000"/>
                <w:sz w:val="20"/>
                <w:szCs w:val="20"/>
              </w:rPr>
            </w:pPr>
            <w:r w:rsidRPr="003D56F0">
              <w:rPr>
                <w:sz w:val="20"/>
                <w:szCs w:val="20"/>
              </w:rPr>
              <w:t>Lee paper reports the number of days of drug use in the last 90 days.</w:t>
            </w:r>
          </w:p>
        </w:tc>
      </w:tr>
      <w:tr w:rsidR="00F56C53" w:rsidRPr="003D56F0" w14:paraId="6ED6A594" w14:textId="77777777" w:rsidTr="000476E3">
        <w:trPr>
          <w:trHeight w:val="1500"/>
          <w:jc w:val="center"/>
        </w:trPr>
        <w:tc>
          <w:tcPr>
            <w:tcW w:w="2388" w:type="dxa"/>
            <w:tcBorders>
              <w:top w:val="nil"/>
              <w:left w:val="single" w:sz="4" w:space="0" w:color="auto"/>
              <w:bottom w:val="single" w:sz="4" w:space="0" w:color="auto"/>
              <w:right w:val="single" w:sz="4" w:space="0" w:color="auto"/>
            </w:tcBorders>
            <w:shd w:val="clear" w:color="auto" w:fill="auto"/>
            <w:hideMark/>
          </w:tcPr>
          <w:p w14:paraId="785E8B70" w14:textId="77777777" w:rsidR="00F56C53" w:rsidRPr="003D56F0" w:rsidRDefault="00F56C53" w:rsidP="00CC7EC2">
            <w:pPr>
              <w:rPr>
                <w:sz w:val="20"/>
                <w:szCs w:val="20"/>
              </w:rPr>
            </w:pPr>
            <w:r w:rsidRPr="003D56F0">
              <w:rPr>
                <w:sz w:val="20"/>
                <w:szCs w:val="20"/>
              </w:rPr>
              <w:t>Drug use - maintained reduction scenario</w:t>
            </w:r>
          </w:p>
        </w:tc>
        <w:tc>
          <w:tcPr>
            <w:tcW w:w="1386" w:type="dxa"/>
            <w:tcBorders>
              <w:top w:val="nil"/>
              <w:left w:val="nil"/>
              <w:bottom w:val="single" w:sz="4" w:space="0" w:color="auto"/>
              <w:right w:val="single" w:sz="4" w:space="0" w:color="auto"/>
            </w:tcBorders>
            <w:shd w:val="clear" w:color="auto" w:fill="auto"/>
            <w:hideMark/>
          </w:tcPr>
          <w:p w14:paraId="5E18317C" w14:textId="77777777" w:rsidR="00F56C53" w:rsidRPr="003D56F0" w:rsidRDefault="00F56C53" w:rsidP="00AD2788">
            <w:pPr>
              <w:rPr>
                <w:sz w:val="20"/>
                <w:szCs w:val="20"/>
              </w:rPr>
            </w:pPr>
            <w:r w:rsidRPr="003D56F0">
              <w:rPr>
                <w:sz w:val="20"/>
                <w:szCs w:val="20"/>
              </w:rPr>
              <w:t>Number of days with drug use decreases to 7 (intervention) and increases to 12 (control) in 6 months</w:t>
            </w:r>
          </w:p>
        </w:tc>
        <w:tc>
          <w:tcPr>
            <w:tcW w:w="5468" w:type="dxa"/>
            <w:tcBorders>
              <w:top w:val="nil"/>
              <w:left w:val="nil"/>
              <w:bottom w:val="single" w:sz="4" w:space="0" w:color="auto"/>
              <w:right w:val="single" w:sz="4" w:space="0" w:color="auto"/>
            </w:tcBorders>
            <w:shd w:val="clear" w:color="auto" w:fill="auto"/>
            <w:hideMark/>
          </w:tcPr>
          <w:p w14:paraId="612F4E2B" w14:textId="77777777" w:rsidR="00F56C53" w:rsidRPr="003D56F0" w:rsidRDefault="00F56C53" w:rsidP="003D56F0">
            <w:pPr>
              <w:rPr>
                <w:rFonts w:eastAsia="Times New Roman"/>
                <w:color w:val="000000"/>
                <w:sz w:val="20"/>
                <w:szCs w:val="20"/>
              </w:rPr>
            </w:pPr>
            <w:r w:rsidRPr="003D56F0">
              <w:rPr>
                <w:sz w:val="20"/>
                <w:szCs w:val="20"/>
              </w:rPr>
              <w:t>It is assumed that the frequency of drug use returns to baseline either in 6 months (scenario 1) or in 18 months (scenario 2).</w:t>
            </w:r>
          </w:p>
        </w:tc>
      </w:tr>
      <w:tr w:rsidR="00F56C53" w:rsidRPr="003D56F0" w14:paraId="4D194938" w14:textId="77777777" w:rsidTr="000476E3">
        <w:trPr>
          <w:trHeight w:val="600"/>
          <w:jc w:val="center"/>
        </w:trPr>
        <w:tc>
          <w:tcPr>
            <w:tcW w:w="2388" w:type="dxa"/>
            <w:tcBorders>
              <w:top w:val="nil"/>
              <w:left w:val="single" w:sz="4" w:space="0" w:color="auto"/>
              <w:bottom w:val="single" w:sz="4" w:space="0" w:color="auto"/>
              <w:right w:val="single" w:sz="4" w:space="0" w:color="auto"/>
            </w:tcBorders>
            <w:shd w:val="clear" w:color="auto" w:fill="auto"/>
            <w:hideMark/>
          </w:tcPr>
          <w:p w14:paraId="3B9B166D" w14:textId="77777777" w:rsidR="00F56C53" w:rsidRPr="003D56F0" w:rsidRDefault="00F56C53" w:rsidP="00CC7EC2">
            <w:pPr>
              <w:rPr>
                <w:sz w:val="20"/>
                <w:szCs w:val="20"/>
              </w:rPr>
            </w:pPr>
            <w:r w:rsidRPr="003D56F0">
              <w:rPr>
                <w:sz w:val="20"/>
                <w:szCs w:val="20"/>
              </w:rPr>
              <w:t xml:space="preserve">Risk of psychosis in cannabis users </w:t>
            </w:r>
          </w:p>
        </w:tc>
        <w:tc>
          <w:tcPr>
            <w:tcW w:w="1386" w:type="dxa"/>
            <w:tcBorders>
              <w:top w:val="nil"/>
              <w:left w:val="nil"/>
              <w:bottom w:val="single" w:sz="4" w:space="0" w:color="auto"/>
              <w:right w:val="single" w:sz="4" w:space="0" w:color="auto"/>
            </w:tcBorders>
            <w:shd w:val="clear" w:color="auto" w:fill="auto"/>
            <w:hideMark/>
          </w:tcPr>
          <w:p w14:paraId="47B83095" w14:textId="77777777" w:rsidR="00F56C53" w:rsidRPr="003D56F0" w:rsidRDefault="00F56C53" w:rsidP="00AD2788">
            <w:pPr>
              <w:rPr>
                <w:sz w:val="20"/>
                <w:szCs w:val="20"/>
              </w:rPr>
            </w:pPr>
            <w:r w:rsidRPr="003D56F0">
              <w:rPr>
                <w:sz w:val="20"/>
                <w:szCs w:val="20"/>
              </w:rPr>
              <w:t>0.014</w:t>
            </w:r>
          </w:p>
        </w:tc>
        <w:tc>
          <w:tcPr>
            <w:tcW w:w="5468" w:type="dxa"/>
            <w:tcBorders>
              <w:top w:val="nil"/>
              <w:left w:val="nil"/>
              <w:bottom w:val="single" w:sz="4" w:space="0" w:color="auto"/>
              <w:right w:val="single" w:sz="4" w:space="0" w:color="auto"/>
            </w:tcBorders>
            <w:shd w:val="clear" w:color="auto" w:fill="auto"/>
            <w:hideMark/>
          </w:tcPr>
          <w:p w14:paraId="002CADEF" w14:textId="77777777" w:rsidR="00F56C53" w:rsidRPr="003D56F0" w:rsidRDefault="00F56C53" w:rsidP="003D56F0">
            <w:pPr>
              <w:rPr>
                <w:rFonts w:eastAsia="Times New Roman"/>
                <w:color w:val="000000"/>
                <w:sz w:val="20"/>
                <w:szCs w:val="20"/>
              </w:rPr>
            </w:pPr>
            <w:r w:rsidRPr="003D56F0">
              <w:rPr>
                <w:sz w:val="20"/>
                <w:szCs w:val="20"/>
              </w:rPr>
              <w:t>Based on Hall (2015) risk of psychosis is 7 in 1000 for non cannabis users and 14 in 1000 for cannabis users.</w:t>
            </w:r>
          </w:p>
        </w:tc>
      </w:tr>
      <w:tr w:rsidR="00F56C53" w:rsidRPr="003D56F0" w14:paraId="132169AE" w14:textId="77777777" w:rsidTr="000476E3">
        <w:trPr>
          <w:trHeight w:val="600"/>
          <w:jc w:val="center"/>
        </w:trPr>
        <w:tc>
          <w:tcPr>
            <w:tcW w:w="2388" w:type="dxa"/>
            <w:tcBorders>
              <w:top w:val="nil"/>
              <w:left w:val="single" w:sz="4" w:space="0" w:color="auto"/>
              <w:bottom w:val="single" w:sz="4" w:space="0" w:color="auto"/>
              <w:right w:val="single" w:sz="4" w:space="0" w:color="auto"/>
            </w:tcBorders>
            <w:shd w:val="clear" w:color="auto" w:fill="auto"/>
            <w:hideMark/>
          </w:tcPr>
          <w:p w14:paraId="5E1AC74E" w14:textId="77777777" w:rsidR="00F56C53" w:rsidRPr="003D56F0" w:rsidRDefault="00F56C53" w:rsidP="00CC7EC2">
            <w:pPr>
              <w:rPr>
                <w:sz w:val="20"/>
                <w:szCs w:val="20"/>
              </w:rPr>
            </w:pPr>
            <w:r w:rsidRPr="003D56F0">
              <w:rPr>
                <w:sz w:val="20"/>
                <w:szCs w:val="20"/>
              </w:rPr>
              <w:t>Psychosis service costs</w:t>
            </w:r>
          </w:p>
        </w:tc>
        <w:tc>
          <w:tcPr>
            <w:tcW w:w="1386" w:type="dxa"/>
            <w:tcBorders>
              <w:top w:val="nil"/>
              <w:left w:val="nil"/>
              <w:bottom w:val="single" w:sz="4" w:space="0" w:color="auto"/>
              <w:right w:val="single" w:sz="4" w:space="0" w:color="auto"/>
            </w:tcBorders>
            <w:shd w:val="clear" w:color="auto" w:fill="auto"/>
            <w:hideMark/>
          </w:tcPr>
          <w:p w14:paraId="445CDB05" w14:textId="77777777" w:rsidR="00F56C53" w:rsidRPr="003D56F0" w:rsidRDefault="00F56C53" w:rsidP="00AD2788">
            <w:pPr>
              <w:rPr>
                <w:sz w:val="20"/>
                <w:szCs w:val="20"/>
              </w:rPr>
            </w:pPr>
            <w:r w:rsidRPr="003D56F0">
              <w:rPr>
                <w:sz w:val="20"/>
                <w:szCs w:val="20"/>
              </w:rPr>
              <w:t>£13,136 per year</w:t>
            </w:r>
          </w:p>
        </w:tc>
        <w:tc>
          <w:tcPr>
            <w:tcW w:w="5468" w:type="dxa"/>
            <w:tcBorders>
              <w:top w:val="nil"/>
              <w:left w:val="nil"/>
              <w:bottom w:val="single" w:sz="4" w:space="0" w:color="auto"/>
              <w:right w:val="single" w:sz="4" w:space="0" w:color="auto"/>
            </w:tcBorders>
            <w:shd w:val="clear" w:color="auto" w:fill="auto"/>
            <w:hideMark/>
          </w:tcPr>
          <w:p w14:paraId="394B26EF" w14:textId="77777777" w:rsidR="00F56C53" w:rsidRPr="003D56F0" w:rsidRDefault="00F56C53" w:rsidP="003D56F0">
            <w:pPr>
              <w:rPr>
                <w:rFonts w:eastAsia="Times New Roman"/>
                <w:color w:val="000000"/>
                <w:sz w:val="20"/>
                <w:szCs w:val="20"/>
              </w:rPr>
            </w:pPr>
            <w:r w:rsidRPr="003D56F0">
              <w:rPr>
                <w:sz w:val="20"/>
                <w:szCs w:val="20"/>
              </w:rPr>
              <w:t xml:space="preserve">Based on data on prevalence of psychosis for different age groups and annual costs for non-affective psychoses from Kirkbride et al (2012) </w:t>
            </w:r>
          </w:p>
        </w:tc>
      </w:tr>
      <w:tr w:rsidR="00F56C53" w:rsidRPr="003D56F0" w14:paraId="62CBF5B0" w14:textId="77777777" w:rsidTr="000476E3">
        <w:trPr>
          <w:trHeight w:val="300"/>
          <w:jc w:val="center"/>
        </w:trPr>
        <w:tc>
          <w:tcPr>
            <w:tcW w:w="2388" w:type="dxa"/>
            <w:tcBorders>
              <w:top w:val="nil"/>
              <w:left w:val="single" w:sz="4" w:space="0" w:color="auto"/>
              <w:bottom w:val="single" w:sz="4" w:space="0" w:color="auto"/>
              <w:right w:val="single" w:sz="4" w:space="0" w:color="auto"/>
            </w:tcBorders>
            <w:shd w:val="clear" w:color="auto" w:fill="auto"/>
            <w:hideMark/>
          </w:tcPr>
          <w:p w14:paraId="03DFFD4C" w14:textId="77777777" w:rsidR="00F56C53" w:rsidRPr="003D56F0" w:rsidRDefault="00F56C53" w:rsidP="00CC7EC2">
            <w:pPr>
              <w:rPr>
                <w:sz w:val="20"/>
                <w:szCs w:val="20"/>
              </w:rPr>
            </w:pPr>
            <w:r w:rsidRPr="003D56F0">
              <w:rPr>
                <w:sz w:val="20"/>
                <w:szCs w:val="20"/>
              </w:rPr>
              <w:t>Psychosis informal care costs</w:t>
            </w:r>
          </w:p>
        </w:tc>
        <w:tc>
          <w:tcPr>
            <w:tcW w:w="1386" w:type="dxa"/>
            <w:tcBorders>
              <w:top w:val="nil"/>
              <w:left w:val="nil"/>
              <w:bottom w:val="single" w:sz="4" w:space="0" w:color="auto"/>
              <w:right w:val="single" w:sz="4" w:space="0" w:color="auto"/>
            </w:tcBorders>
            <w:shd w:val="clear" w:color="auto" w:fill="auto"/>
            <w:hideMark/>
          </w:tcPr>
          <w:p w14:paraId="43051238" w14:textId="77777777" w:rsidR="00F56C53" w:rsidRPr="003D56F0" w:rsidRDefault="00F56C53" w:rsidP="00AD2788">
            <w:pPr>
              <w:rPr>
                <w:sz w:val="20"/>
                <w:szCs w:val="20"/>
              </w:rPr>
            </w:pPr>
            <w:r w:rsidRPr="003D56F0">
              <w:rPr>
                <w:sz w:val="20"/>
                <w:szCs w:val="20"/>
              </w:rPr>
              <w:t>£4,424 per year</w:t>
            </w:r>
          </w:p>
        </w:tc>
        <w:tc>
          <w:tcPr>
            <w:tcW w:w="5468" w:type="dxa"/>
            <w:tcBorders>
              <w:top w:val="nil"/>
              <w:left w:val="nil"/>
              <w:bottom w:val="single" w:sz="4" w:space="0" w:color="auto"/>
              <w:right w:val="single" w:sz="4" w:space="0" w:color="auto"/>
            </w:tcBorders>
            <w:shd w:val="clear" w:color="auto" w:fill="auto"/>
            <w:hideMark/>
          </w:tcPr>
          <w:p w14:paraId="3498BE5E" w14:textId="77777777" w:rsidR="00F56C53" w:rsidRPr="003D56F0" w:rsidRDefault="00F56C53" w:rsidP="003D56F0">
            <w:pPr>
              <w:rPr>
                <w:rFonts w:eastAsia="Times New Roman"/>
                <w:color w:val="000000"/>
                <w:sz w:val="20"/>
                <w:szCs w:val="20"/>
              </w:rPr>
            </w:pPr>
            <w:r w:rsidRPr="003D56F0">
              <w:rPr>
                <w:sz w:val="20"/>
                <w:szCs w:val="20"/>
              </w:rPr>
              <w:t xml:space="preserve">Based on data on average informal care costs reported by Kirkbride et al. (2012) </w:t>
            </w:r>
          </w:p>
        </w:tc>
      </w:tr>
      <w:tr w:rsidR="00F56C53" w:rsidRPr="003D56F0" w14:paraId="346D8FC6" w14:textId="77777777" w:rsidTr="000476E3">
        <w:trPr>
          <w:trHeight w:val="600"/>
          <w:jc w:val="center"/>
        </w:trPr>
        <w:tc>
          <w:tcPr>
            <w:tcW w:w="2388" w:type="dxa"/>
            <w:tcBorders>
              <w:top w:val="nil"/>
              <w:left w:val="single" w:sz="4" w:space="0" w:color="auto"/>
              <w:bottom w:val="single" w:sz="4" w:space="0" w:color="auto"/>
              <w:right w:val="single" w:sz="4" w:space="0" w:color="auto"/>
            </w:tcBorders>
            <w:shd w:val="clear" w:color="auto" w:fill="auto"/>
            <w:hideMark/>
          </w:tcPr>
          <w:p w14:paraId="459D3D19" w14:textId="77777777" w:rsidR="00F56C53" w:rsidRPr="003D56F0" w:rsidRDefault="00F56C53" w:rsidP="00CC7EC2">
            <w:pPr>
              <w:rPr>
                <w:sz w:val="20"/>
                <w:szCs w:val="20"/>
              </w:rPr>
            </w:pPr>
            <w:r w:rsidRPr="003D56F0">
              <w:rPr>
                <w:sz w:val="20"/>
                <w:szCs w:val="20"/>
              </w:rPr>
              <w:t>Utility scores of patients with psychosis</w:t>
            </w:r>
          </w:p>
        </w:tc>
        <w:tc>
          <w:tcPr>
            <w:tcW w:w="1386" w:type="dxa"/>
            <w:tcBorders>
              <w:top w:val="nil"/>
              <w:left w:val="nil"/>
              <w:bottom w:val="single" w:sz="4" w:space="0" w:color="auto"/>
              <w:right w:val="single" w:sz="4" w:space="0" w:color="auto"/>
            </w:tcBorders>
            <w:shd w:val="clear" w:color="auto" w:fill="auto"/>
            <w:hideMark/>
          </w:tcPr>
          <w:p w14:paraId="3C3DD1F5" w14:textId="77777777" w:rsidR="00F56C53" w:rsidRPr="003D56F0" w:rsidRDefault="00F56C53" w:rsidP="00AD2788">
            <w:pPr>
              <w:rPr>
                <w:sz w:val="20"/>
                <w:szCs w:val="20"/>
              </w:rPr>
            </w:pPr>
            <w:r w:rsidRPr="003D56F0">
              <w:rPr>
                <w:sz w:val="20"/>
                <w:szCs w:val="20"/>
              </w:rPr>
              <w:t xml:space="preserve">0.68 </w:t>
            </w:r>
          </w:p>
        </w:tc>
        <w:tc>
          <w:tcPr>
            <w:tcW w:w="5468" w:type="dxa"/>
            <w:tcBorders>
              <w:top w:val="nil"/>
              <w:left w:val="nil"/>
              <w:bottom w:val="single" w:sz="4" w:space="0" w:color="auto"/>
              <w:right w:val="single" w:sz="4" w:space="0" w:color="auto"/>
            </w:tcBorders>
            <w:shd w:val="clear" w:color="auto" w:fill="auto"/>
            <w:hideMark/>
          </w:tcPr>
          <w:p w14:paraId="2AAC70BB" w14:textId="77777777" w:rsidR="00F56C53" w:rsidRPr="003D56F0" w:rsidRDefault="00F56C53" w:rsidP="003D56F0">
            <w:pPr>
              <w:rPr>
                <w:rFonts w:eastAsia="Times New Roman"/>
                <w:color w:val="000000"/>
                <w:sz w:val="20"/>
                <w:szCs w:val="20"/>
              </w:rPr>
            </w:pPr>
            <w:r w:rsidRPr="003D56F0">
              <w:rPr>
                <w:sz w:val="20"/>
                <w:szCs w:val="20"/>
              </w:rPr>
              <w:t>Based on EQ-5D scores for patients with schizophrenia (which were similar to SF-6D) reported in McCrone et al. (2012)</w:t>
            </w:r>
          </w:p>
        </w:tc>
      </w:tr>
      <w:tr w:rsidR="00F56C53" w:rsidRPr="003D56F0" w14:paraId="5AF3774F" w14:textId="77777777" w:rsidTr="000476E3">
        <w:trPr>
          <w:trHeight w:val="600"/>
          <w:jc w:val="center"/>
        </w:trPr>
        <w:tc>
          <w:tcPr>
            <w:tcW w:w="2388" w:type="dxa"/>
            <w:tcBorders>
              <w:top w:val="nil"/>
              <w:left w:val="single" w:sz="4" w:space="0" w:color="auto"/>
              <w:bottom w:val="single" w:sz="4" w:space="0" w:color="auto"/>
              <w:right w:val="single" w:sz="4" w:space="0" w:color="auto"/>
            </w:tcBorders>
            <w:shd w:val="clear" w:color="auto" w:fill="auto"/>
            <w:hideMark/>
          </w:tcPr>
          <w:p w14:paraId="6A317099" w14:textId="77777777" w:rsidR="00F56C53" w:rsidRPr="003D56F0" w:rsidRDefault="00F56C53" w:rsidP="00CC7EC2">
            <w:pPr>
              <w:rPr>
                <w:sz w:val="20"/>
                <w:szCs w:val="20"/>
              </w:rPr>
            </w:pPr>
            <w:r w:rsidRPr="003D56F0">
              <w:rPr>
                <w:sz w:val="20"/>
                <w:szCs w:val="20"/>
              </w:rPr>
              <w:t>Cannabis arrest cost</w:t>
            </w:r>
          </w:p>
        </w:tc>
        <w:tc>
          <w:tcPr>
            <w:tcW w:w="1386" w:type="dxa"/>
            <w:tcBorders>
              <w:top w:val="nil"/>
              <w:left w:val="nil"/>
              <w:bottom w:val="single" w:sz="4" w:space="0" w:color="auto"/>
              <w:right w:val="single" w:sz="4" w:space="0" w:color="auto"/>
            </w:tcBorders>
            <w:shd w:val="clear" w:color="auto" w:fill="auto"/>
            <w:hideMark/>
          </w:tcPr>
          <w:p w14:paraId="05B99D57" w14:textId="77777777" w:rsidR="00F56C53" w:rsidRPr="003D56F0" w:rsidRDefault="00F56C53" w:rsidP="00AD2788">
            <w:pPr>
              <w:rPr>
                <w:sz w:val="20"/>
                <w:szCs w:val="20"/>
              </w:rPr>
            </w:pPr>
            <w:r w:rsidRPr="003D56F0">
              <w:rPr>
                <w:sz w:val="20"/>
                <w:szCs w:val="20"/>
              </w:rPr>
              <w:t>£500 per cannabis offence</w:t>
            </w:r>
          </w:p>
        </w:tc>
        <w:tc>
          <w:tcPr>
            <w:tcW w:w="5468" w:type="dxa"/>
            <w:tcBorders>
              <w:top w:val="nil"/>
              <w:left w:val="nil"/>
              <w:bottom w:val="single" w:sz="4" w:space="0" w:color="auto"/>
              <w:right w:val="single" w:sz="4" w:space="0" w:color="auto"/>
            </w:tcBorders>
            <w:shd w:val="clear" w:color="auto" w:fill="auto"/>
            <w:hideMark/>
          </w:tcPr>
          <w:p w14:paraId="3CD5BA78" w14:textId="51B81EF6" w:rsidR="00F56C53" w:rsidRPr="003D56F0" w:rsidRDefault="00F56C53" w:rsidP="003D56F0">
            <w:pPr>
              <w:rPr>
                <w:rFonts w:eastAsia="Times New Roman"/>
                <w:color w:val="000000"/>
                <w:sz w:val="20"/>
                <w:szCs w:val="20"/>
              </w:rPr>
            </w:pPr>
            <w:r w:rsidRPr="003D56F0">
              <w:rPr>
                <w:sz w:val="20"/>
                <w:szCs w:val="20"/>
              </w:rPr>
              <w:t xml:space="preserve">Based on officers' time spent on investigating cannabis cases from </w:t>
            </w:r>
            <w:r w:rsidR="00783AD3" w:rsidRPr="003D56F0">
              <w:rPr>
                <w:sz w:val="20"/>
                <w:szCs w:val="20"/>
              </w:rPr>
              <w:fldChar w:fldCharType="begin" w:fldLock="1"/>
            </w:r>
            <w:r w:rsidR="00783AD3" w:rsidRPr="003D56F0">
              <w:rPr>
                <w:sz w:val="20"/>
                <w:szCs w:val="20"/>
              </w:rPr>
              <w:instrText>ADDIN CSL_CITATION { "citationItems" : [ { "id" : "ITEM-1", "itemData" : { "author" : [ { "dropping-particle" : "", "family" : "May", "given" : "Tiggey", "non-dropping-particle" : "", "parse-names" : false, "suffix" : "" }, { "dropping-particle" : "", "family" : "Warburton", "given" : "Hamish", "non-dropping-particle" : "", "parse-names" : false, "suffix" : "" }, { "dropping-particle" : "", "family" : "Turnbull", "given" : "Paul J", "non-dropping-particle" : "", "parse-names" : false, "suffix" : "" }, { "dropping-particle" : "", "family" : "Hough", "given" : "Mike", "non-dropping-particle" : "", "parse-names" : false, "suffix" : "" } ], "id" : "ITEM-1", "issued" : { "date-parts" : [ [ "2002" ] ] }, "title" : "Times they are a-changing Policing of cannabis", "type" : "report" }, "uris" : [ "http://www.mendeley.com/documents/?uuid=2f8462f6-3a03-4229-9251-dd772373d8e4" ] } ], "mendeley" : { "formattedCitation" : "(May et al. 2002)", "manualFormatting" : "May et al. (2002)", "plainTextFormattedCitation" : "(May et al. 2002)", "previouslyFormattedCitation" : "(May et al. 2002)" }, "properties" : { "noteIndex" : 0 }, "schema" : "https://github.com/citation-style-language/schema/raw/master/csl-citation.json" }</w:instrText>
            </w:r>
            <w:r w:rsidR="00783AD3" w:rsidRPr="003D56F0">
              <w:rPr>
                <w:sz w:val="20"/>
                <w:szCs w:val="20"/>
              </w:rPr>
              <w:fldChar w:fldCharType="separate"/>
            </w:r>
            <w:r w:rsidR="00783AD3" w:rsidRPr="003D56F0">
              <w:rPr>
                <w:noProof/>
                <w:sz w:val="20"/>
                <w:szCs w:val="20"/>
              </w:rPr>
              <w:t>May et al. (2002)</w:t>
            </w:r>
            <w:r w:rsidR="00783AD3" w:rsidRPr="003D56F0">
              <w:rPr>
                <w:sz w:val="20"/>
                <w:szCs w:val="20"/>
              </w:rPr>
              <w:fldChar w:fldCharType="end"/>
            </w:r>
          </w:p>
          <w:p w14:paraId="6E5F5958" w14:textId="5A73645A" w:rsidR="00F56C53" w:rsidRPr="003D56F0" w:rsidRDefault="00F56C53" w:rsidP="003D56F0">
            <w:pPr>
              <w:rPr>
                <w:rFonts w:eastAsia="Times New Roman"/>
                <w:color w:val="000000"/>
                <w:sz w:val="20"/>
                <w:szCs w:val="20"/>
              </w:rPr>
            </w:pPr>
            <w:r w:rsidRPr="003D56F0">
              <w:rPr>
                <w:sz w:val="20"/>
                <w:szCs w:val="20"/>
              </w:rPr>
              <w:t xml:space="preserve">Sensitivity analysis was used to adjust crime cost to account for average yearly cost per young offender who did not receive any custodial sentence to £5,677 from </w:t>
            </w:r>
            <w:r w:rsidR="00783AD3" w:rsidRPr="003D56F0">
              <w:rPr>
                <w:sz w:val="20"/>
                <w:szCs w:val="20"/>
              </w:rPr>
              <w:fldChar w:fldCharType="begin" w:fldLock="1"/>
            </w:r>
            <w:r w:rsidR="00783AD3" w:rsidRPr="003D56F0">
              <w:rPr>
                <w:sz w:val="20"/>
                <w:szCs w:val="20"/>
              </w:rPr>
              <w:instrText>ADDIN CSL_CITATION { "citationItems" : [ { "id" : "ITEM-1", "itemData" : { "author" : [ { "dropping-particle" : "", "family" : "National Audit Office", "given" : "", "non-dropping-particle" : "", "parse-names" : false, "suffix" : "" } ], "id" : "ITEM-1", "issue" : "June", "issued" : { "date-parts" : [ [ "2011" ] ] }, "number-of-pages" : "0-36", "title" : "The cost of a cohort of young offenders to the criminal justice system", "type" : "report" }, "uris" : [ "http://www.mendeley.com/documents/?uuid=23d54ffd-b0f0-47df-b28d-f7c517c29447" ] } ], "mendeley" : { "formattedCitation" : "(National Audit Office 2011)", "manualFormatting" : "National Audit Office (2011)", "plainTextFormattedCitation" : "(National Audit Office 2011)", "previouslyFormattedCitation" : "(National Audit Office 2011)" }, "properties" : { "noteIndex" : 0 }, "schema" : "https://github.com/citation-style-language/schema/raw/master/csl-citation.json" }</w:instrText>
            </w:r>
            <w:r w:rsidR="00783AD3" w:rsidRPr="003D56F0">
              <w:rPr>
                <w:sz w:val="20"/>
                <w:szCs w:val="20"/>
              </w:rPr>
              <w:fldChar w:fldCharType="separate"/>
            </w:r>
            <w:r w:rsidR="00783AD3" w:rsidRPr="003D56F0">
              <w:rPr>
                <w:noProof/>
                <w:sz w:val="20"/>
                <w:szCs w:val="20"/>
              </w:rPr>
              <w:t>National Audit Office (2011)</w:t>
            </w:r>
            <w:r w:rsidR="00783AD3" w:rsidRPr="003D56F0">
              <w:rPr>
                <w:sz w:val="20"/>
                <w:szCs w:val="20"/>
              </w:rPr>
              <w:fldChar w:fldCharType="end"/>
            </w:r>
            <w:r w:rsidRPr="003D56F0">
              <w:rPr>
                <w:sz w:val="20"/>
                <w:szCs w:val="20"/>
              </w:rPr>
              <w:t xml:space="preserve"> (figure 15)</w:t>
            </w:r>
          </w:p>
        </w:tc>
      </w:tr>
      <w:tr w:rsidR="00F56C53" w:rsidRPr="003D56F0" w14:paraId="7395B8C2" w14:textId="77777777" w:rsidTr="000476E3">
        <w:trPr>
          <w:trHeight w:val="900"/>
          <w:jc w:val="center"/>
        </w:trPr>
        <w:tc>
          <w:tcPr>
            <w:tcW w:w="2388" w:type="dxa"/>
            <w:tcBorders>
              <w:top w:val="nil"/>
              <w:left w:val="single" w:sz="4" w:space="0" w:color="auto"/>
              <w:bottom w:val="single" w:sz="4" w:space="0" w:color="auto"/>
              <w:right w:val="single" w:sz="4" w:space="0" w:color="auto"/>
            </w:tcBorders>
            <w:shd w:val="clear" w:color="auto" w:fill="auto"/>
            <w:hideMark/>
          </w:tcPr>
          <w:p w14:paraId="4934F2BB" w14:textId="77777777" w:rsidR="00F56C53" w:rsidRPr="003D56F0" w:rsidRDefault="00F56C53" w:rsidP="00CC7EC2">
            <w:pPr>
              <w:rPr>
                <w:sz w:val="20"/>
                <w:szCs w:val="20"/>
              </w:rPr>
            </w:pPr>
            <w:r w:rsidRPr="003D56F0">
              <w:rPr>
                <w:sz w:val="20"/>
                <w:szCs w:val="20"/>
              </w:rPr>
              <w:t>Number of cannabis offences per 1000</w:t>
            </w:r>
            <w:r w:rsidRPr="003D56F0">
              <w:rPr>
                <w:sz w:val="20"/>
                <w:szCs w:val="20"/>
              </w:rPr>
              <w:br/>
              <w:t xml:space="preserve">cannabis users in the UK </w:t>
            </w:r>
          </w:p>
        </w:tc>
        <w:tc>
          <w:tcPr>
            <w:tcW w:w="1386" w:type="dxa"/>
            <w:tcBorders>
              <w:top w:val="nil"/>
              <w:left w:val="nil"/>
              <w:bottom w:val="single" w:sz="4" w:space="0" w:color="auto"/>
              <w:right w:val="single" w:sz="4" w:space="0" w:color="auto"/>
            </w:tcBorders>
            <w:shd w:val="clear" w:color="auto" w:fill="auto"/>
            <w:noWrap/>
            <w:hideMark/>
          </w:tcPr>
          <w:p w14:paraId="0F50D265" w14:textId="77777777" w:rsidR="00F56C53" w:rsidRPr="003D56F0" w:rsidRDefault="00F56C53" w:rsidP="00AD2788">
            <w:pPr>
              <w:rPr>
                <w:sz w:val="20"/>
                <w:szCs w:val="20"/>
              </w:rPr>
            </w:pPr>
            <w:r w:rsidRPr="003D56F0">
              <w:rPr>
                <w:sz w:val="20"/>
                <w:szCs w:val="20"/>
              </w:rPr>
              <w:t xml:space="preserve">50.27 </w:t>
            </w:r>
          </w:p>
        </w:tc>
        <w:tc>
          <w:tcPr>
            <w:tcW w:w="5468" w:type="dxa"/>
            <w:tcBorders>
              <w:top w:val="nil"/>
              <w:left w:val="nil"/>
              <w:bottom w:val="single" w:sz="4" w:space="0" w:color="auto"/>
              <w:right w:val="single" w:sz="4" w:space="0" w:color="auto"/>
            </w:tcBorders>
            <w:shd w:val="clear" w:color="auto" w:fill="auto"/>
            <w:vAlign w:val="bottom"/>
            <w:hideMark/>
          </w:tcPr>
          <w:p w14:paraId="2AA413BB" w14:textId="77777777" w:rsidR="00F56C53" w:rsidRPr="003D56F0" w:rsidRDefault="00F56C53" w:rsidP="003D56F0">
            <w:pPr>
              <w:rPr>
                <w:rFonts w:eastAsia="Times New Roman"/>
                <w:color w:val="000000"/>
                <w:sz w:val="20"/>
                <w:szCs w:val="20"/>
              </w:rPr>
            </w:pPr>
            <w:r w:rsidRPr="003D56F0">
              <w:rPr>
                <w:sz w:val="20"/>
                <w:szCs w:val="20"/>
              </w:rPr>
              <w:t>Based on data for all drug offences in England and Wales (2014-2015) and possession of cannabis offences of all police recorded drug offences from Office for National Statistics</w:t>
            </w:r>
          </w:p>
        </w:tc>
      </w:tr>
      <w:tr w:rsidR="00F56C53" w:rsidRPr="003D56F0" w14:paraId="231E583D" w14:textId="77777777" w:rsidTr="000476E3">
        <w:trPr>
          <w:trHeight w:val="900"/>
          <w:jc w:val="center"/>
        </w:trPr>
        <w:tc>
          <w:tcPr>
            <w:tcW w:w="2388" w:type="dxa"/>
            <w:tcBorders>
              <w:top w:val="nil"/>
              <w:left w:val="single" w:sz="4" w:space="0" w:color="auto"/>
              <w:bottom w:val="single" w:sz="4" w:space="0" w:color="auto"/>
              <w:right w:val="single" w:sz="4" w:space="0" w:color="auto"/>
            </w:tcBorders>
            <w:shd w:val="clear" w:color="auto" w:fill="auto"/>
            <w:noWrap/>
            <w:hideMark/>
          </w:tcPr>
          <w:p w14:paraId="51DDE3C9" w14:textId="77777777" w:rsidR="00F56C53" w:rsidRPr="003D56F0" w:rsidRDefault="00F56C53" w:rsidP="00CC7EC2">
            <w:pPr>
              <w:rPr>
                <w:sz w:val="20"/>
                <w:szCs w:val="20"/>
              </w:rPr>
            </w:pPr>
            <w:r w:rsidRPr="003D56F0">
              <w:rPr>
                <w:sz w:val="20"/>
                <w:szCs w:val="20"/>
              </w:rPr>
              <w:t>Total costs of cannabis road traffic accidents (Not included in base case scenario, only as a separate scenario)</w:t>
            </w:r>
          </w:p>
        </w:tc>
        <w:tc>
          <w:tcPr>
            <w:tcW w:w="1386" w:type="dxa"/>
            <w:tcBorders>
              <w:top w:val="nil"/>
              <w:left w:val="nil"/>
              <w:bottom w:val="single" w:sz="4" w:space="0" w:color="auto"/>
              <w:right w:val="single" w:sz="4" w:space="0" w:color="auto"/>
            </w:tcBorders>
            <w:shd w:val="clear" w:color="auto" w:fill="auto"/>
            <w:hideMark/>
          </w:tcPr>
          <w:p w14:paraId="487872DB" w14:textId="77777777" w:rsidR="00F56C53" w:rsidRPr="003D56F0" w:rsidRDefault="00F56C53" w:rsidP="00AD2788">
            <w:pPr>
              <w:rPr>
                <w:sz w:val="20"/>
                <w:szCs w:val="20"/>
              </w:rPr>
            </w:pPr>
            <w:r w:rsidRPr="003D56F0">
              <w:rPr>
                <w:sz w:val="20"/>
                <w:szCs w:val="20"/>
              </w:rPr>
              <w:t xml:space="preserve">£95.98 per cannabis </w:t>
            </w:r>
            <w:r w:rsidRPr="003D56F0">
              <w:rPr>
                <w:sz w:val="20"/>
                <w:szCs w:val="20"/>
              </w:rPr>
              <w:br/>
              <w:t>user</w:t>
            </w:r>
          </w:p>
        </w:tc>
        <w:tc>
          <w:tcPr>
            <w:tcW w:w="5468" w:type="dxa"/>
            <w:tcBorders>
              <w:top w:val="nil"/>
              <w:left w:val="nil"/>
              <w:bottom w:val="single" w:sz="4" w:space="0" w:color="auto"/>
              <w:right w:val="single" w:sz="4" w:space="0" w:color="auto"/>
            </w:tcBorders>
            <w:shd w:val="clear" w:color="auto" w:fill="auto"/>
            <w:hideMark/>
          </w:tcPr>
          <w:p w14:paraId="4FDB176C" w14:textId="77777777" w:rsidR="00F56C53" w:rsidRPr="003D56F0" w:rsidRDefault="00F56C53" w:rsidP="003D56F0">
            <w:pPr>
              <w:rPr>
                <w:rFonts w:eastAsia="Times New Roman"/>
                <w:color w:val="000000"/>
                <w:sz w:val="20"/>
                <w:szCs w:val="20"/>
              </w:rPr>
            </w:pPr>
            <w:r w:rsidRPr="003D56F0">
              <w:rPr>
                <w:sz w:val="20"/>
                <w:szCs w:val="20"/>
              </w:rPr>
              <w:t xml:space="preserve">Based on total cost of cannabis road traffic accidents from Bryan et al. Licensing and regulation of the cannabis market in England and Wales: Towards a cost-benefit analysis. 2013. </w:t>
            </w:r>
          </w:p>
        </w:tc>
      </w:tr>
      <w:tr w:rsidR="00F56C53" w:rsidRPr="003D56F0" w14:paraId="4302BAE9" w14:textId="77777777" w:rsidTr="000476E3">
        <w:trPr>
          <w:trHeight w:val="900"/>
          <w:jc w:val="center"/>
        </w:trPr>
        <w:tc>
          <w:tcPr>
            <w:tcW w:w="2388" w:type="dxa"/>
            <w:tcBorders>
              <w:top w:val="nil"/>
              <w:left w:val="single" w:sz="4" w:space="0" w:color="auto"/>
              <w:bottom w:val="single" w:sz="4" w:space="0" w:color="auto"/>
              <w:right w:val="single" w:sz="4" w:space="0" w:color="auto"/>
            </w:tcBorders>
            <w:shd w:val="clear" w:color="auto" w:fill="auto"/>
            <w:noWrap/>
            <w:hideMark/>
          </w:tcPr>
          <w:p w14:paraId="5E2BD302" w14:textId="77777777" w:rsidR="00F56C53" w:rsidRPr="003D56F0" w:rsidRDefault="00F56C53" w:rsidP="00CC7EC2">
            <w:pPr>
              <w:rPr>
                <w:sz w:val="20"/>
                <w:szCs w:val="20"/>
              </w:rPr>
            </w:pPr>
            <w:r w:rsidRPr="003D56F0">
              <w:rPr>
                <w:sz w:val="20"/>
                <w:szCs w:val="20"/>
              </w:rPr>
              <w:lastRenderedPageBreak/>
              <w:t>Total social costs per user per year</w:t>
            </w:r>
          </w:p>
        </w:tc>
        <w:tc>
          <w:tcPr>
            <w:tcW w:w="1386" w:type="dxa"/>
            <w:tcBorders>
              <w:top w:val="nil"/>
              <w:left w:val="nil"/>
              <w:bottom w:val="single" w:sz="4" w:space="0" w:color="auto"/>
              <w:right w:val="single" w:sz="4" w:space="0" w:color="auto"/>
            </w:tcBorders>
            <w:shd w:val="clear" w:color="auto" w:fill="auto"/>
            <w:hideMark/>
          </w:tcPr>
          <w:p w14:paraId="524ACC11" w14:textId="77777777" w:rsidR="00F56C53" w:rsidRPr="003D56F0" w:rsidRDefault="00F56C53" w:rsidP="00AD2788">
            <w:pPr>
              <w:rPr>
                <w:sz w:val="20"/>
                <w:szCs w:val="20"/>
              </w:rPr>
            </w:pPr>
            <w:r w:rsidRPr="003D56F0">
              <w:rPr>
                <w:sz w:val="20"/>
                <w:szCs w:val="20"/>
              </w:rPr>
              <w:t>£69</w:t>
            </w:r>
          </w:p>
        </w:tc>
        <w:tc>
          <w:tcPr>
            <w:tcW w:w="5468" w:type="dxa"/>
            <w:tcBorders>
              <w:top w:val="nil"/>
              <w:left w:val="nil"/>
              <w:bottom w:val="single" w:sz="4" w:space="0" w:color="auto"/>
              <w:right w:val="single" w:sz="4" w:space="0" w:color="auto"/>
            </w:tcBorders>
            <w:shd w:val="clear" w:color="auto" w:fill="auto"/>
            <w:hideMark/>
          </w:tcPr>
          <w:p w14:paraId="1A8387F0" w14:textId="77777777" w:rsidR="00F56C53" w:rsidRPr="003D56F0" w:rsidRDefault="00F56C53" w:rsidP="003D56F0">
            <w:pPr>
              <w:rPr>
                <w:rFonts w:eastAsia="Times New Roman"/>
                <w:color w:val="000000"/>
                <w:sz w:val="20"/>
                <w:szCs w:val="20"/>
              </w:rPr>
            </w:pPr>
            <w:r w:rsidRPr="003D56F0">
              <w:rPr>
                <w:sz w:val="20"/>
                <w:szCs w:val="20"/>
              </w:rPr>
              <w:t>Summed from above</w:t>
            </w:r>
          </w:p>
        </w:tc>
      </w:tr>
      <w:tr w:rsidR="00F56C53" w:rsidRPr="003D56F0" w14:paraId="36DCE878" w14:textId="77777777" w:rsidTr="000476E3">
        <w:trPr>
          <w:trHeight w:val="900"/>
          <w:jc w:val="center"/>
        </w:trPr>
        <w:tc>
          <w:tcPr>
            <w:tcW w:w="2388" w:type="dxa"/>
            <w:tcBorders>
              <w:top w:val="nil"/>
              <w:left w:val="single" w:sz="4" w:space="0" w:color="auto"/>
              <w:bottom w:val="single" w:sz="4" w:space="0" w:color="auto"/>
              <w:right w:val="single" w:sz="4" w:space="0" w:color="auto"/>
            </w:tcBorders>
            <w:shd w:val="clear" w:color="auto" w:fill="auto"/>
            <w:noWrap/>
            <w:hideMark/>
          </w:tcPr>
          <w:p w14:paraId="5AC94360" w14:textId="77777777" w:rsidR="00F56C53" w:rsidRPr="003D56F0" w:rsidRDefault="00F56C53" w:rsidP="00CC7EC2">
            <w:pPr>
              <w:rPr>
                <w:sz w:val="20"/>
                <w:szCs w:val="20"/>
              </w:rPr>
            </w:pPr>
            <w:r w:rsidRPr="003D56F0">
              <w:rPr>
                <w:sz w:val="20"/>
                <w:szCs w:val="20"/>
              </w:rPr>
              <w:t>Total QALYs lost per user per year</w:t>
            </w:r>
          </w:p>
        </w:tc>
        <w:tc>
          <w:tcPr>
            <w:tcW w:w="1386" w:type="dxa"/>
            <w:tcBorders>
              <w:top w:val="nil"/>
              <w:left w:val="nil"/>
              <w:bottom w:val="single" w:sz="4" w:space="0" w:color="auto"/>
              <w:right w:val="single" w:sz="4" w:space="0" w:color="auto"/>
            </w:tcBorders>
            <w:shd w:val="clear" w:color="auto" w:fill="auto"/>
            <w:hideMark/>
          </w:tcPr>
          <w:p w14:paraId="762AA5B2" w14:textId="77777777" w:rsidR="00F56C53" w:rsidRPr="003D56F0" w:rsidRDefault="00F56C53" w:rsidP="00AD2788">
            <w:pPr>
              <w:rPr>
                <w:sz w:val="20"/>
                <w:szCs w:val="20"/>
              </w:rPr>
            </w:pPr>
            <w:r w:rsidRPr="003D56F0">
              <w:rPr>
                <w:sz w:val="20"/>
                <w:szCs w:val="20"/>
              </w:rPr>
              <w:t>0.0009</w:t>
            </w:r>
          </w:p>
        </w:tc>
        <w:tc>
          <w:tcPr>
            <w:tcW w:w="5468" w:type="dxa"/>
            <w:tcBorders>
              <w:top w:val="nil"/>
              <w:left w:val="nil"/>
              <w:bottom w:val="single" w:sz="4" w:space="0" w:color="auto"/>
              <w:right w:val="single" w:sz="4" w:space="0" w:color="auto"/>
            </w:tcBorders>
            <w:shd w:val="clear" w:color="auto" w:fill="auto"/>
            <w:hideMark/>
          </w:tcPr>
          <w:p w14:paraId="5D23861D" w14:textId="77777777" w:rsidR="00F56C53" w:rsidRPr="003D56F0" w:rsidRDefault="00F56C53" w:rsidP="003D56F0">
            <w:pPr>
              <w:rPr>
                <w:rFonts w:eastAsia="Times New Roman"/>
                <w:color w:val="000000"/>
                <w:sz w:val="20"/>
                <w:szCs w:val="20"/>
              </w:rPr>
            </w:pPr>
            <w:r w:rsidRPr="003D56F0">
              <w:rPr>
                <w:sz w:val="20"/>
                <w:szCs w:val="20"/>
              </w:rPr>
              <w:t>Summed from above</w:t>
            </w:r>
          </w:p>
        </w:tc>
      </w:tr>
    </w:tbl>
    <w:p w14:paraId="53CF0694" w14:textId="77777777" w:rsidR="00F56C53" w:rsidRPr="003D56F0" w:rsidRDefault="00F56C53" w:rsidP="00CC7EC2">
      <w:pPr>
        <w:rPr>
          <w:sz w:val="20"/>
          <w:szCs w:val="20"/>
        </w:rPr>
      </w:pPr>
    </w:p>
    <w:p w14:paraId="483C4471" w14:textId="77777777" w:rsidR="00F56C53" w:rsidRPr="003D56F0" w:rsidRDefault="00F56C53" w:rsidP="00AD2788">
      <w:pPr>
        <w:rPr>
          <w:sz w:val="20"/>
          <w:szCs w:val="20"/>
        </w:rPr>
      </w:pPr>
    </w:p>
    <w:p w14:paraId="70E8D76A" w14:textId="77777777" w:rsidR="00D82D5E" w:rsidRPr="003D56F0" w:rsidRDefault="00D82D5E">
      <w:pPr>
        <w:pStyle w:val="Heading4"/>
        <w:rPr>
          <w:sz w:val="20"/>
          <w:szCs w:val="20"/>
        </w:rPr>
      </w:pPr>
      <w:r w:rsidRPr="003D56F0">
        <w:rPr>
          <w:sz w:val="20"/>
          <w:szCs w:val="20"/>
        </w:rPr>
        <w:t>Sensitivity Analysis Parameters</w:t>
      </w:r>
    </w:p>
    <w:p w14:paraId="7137AA8D" w14:textId="77777777" w:rsidR="00F56C53" w:rsidRPr="003D56F0" w:rsidRDefault="00F56C53">
      <w:pPr>
        <w:rPr>
          <w:sz w:val="20"/>
          <w:szCs w:val="20"/>
        </w:rPr>
      </w:pPr>
    </w:p>
    <w:p w14:paraId="7F96DDCD" w14:textId="77777777" w:rsidR="00F56C53" w:rsidRPr="003D56F0" w:rsidRDefault="00F56C53">
      <w:pPr>
        <w:rPr>
          <w:sz w:val="20"/>
          <w:szCs w:val="20"/>
        </w:rPr>
      </w:pPr>
    </w:p>
    <w:tbl>
      <w:tblPr>
        <w:tblW w:w="44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26"/>
        <w:gridCol w:w="1273"/>
        <w:gridCol w:w="1276"/>
        <w:gridCol w:w="1133"/>
      </w:tblGrid>
      <w:tr w:rsidR="0060664A" w:rsidRPr="003D56F0" w14:paraId="5CF52B5C" w14:textId="77777777" w:rsidTr="002006E5">
        <w:trPr>
          <w:trHeight w:val="663"/>
        </w:trPr>
        <w:tc>
          <w:tcPr>
            <w:tcW w:w="2729" w:type="pct"/>
            <w:shd w:val="clear" w:color="auto" w:fill="auto"/>
            <w:noWrap/>
            <w:tcMar>
              <w:top w:w="28" w:type="dxa"/>
              <w:left w:w="28" w:type="dxa"/>
              <w:bottom w:w="28" w:type="dxa"/>
              <w:right w:w="28" w:type="dxa"/>
            </w:tcMar>
            <w:hideMark/>
          </w:tcPr>
          <w:p w14:paraId="3D5E42D4" w14:textId="77777777" w:rsidR="0060664A" w:rsidRPr="003D56F0" w:rsidRDefault="0060664A" w:rsidP="003D56F0">
            <w:pPr>
              <w:rPr>
                <w:sz w:val="20"/>
                <w:szCs w:val="20"/>
              </w:rPr>
            </w:pPr>
            <w:r w:rsidRPr="003D56F0">
              <w:rPr>
                <w:sz w:val="20"/>
                <w:szCs w:val="20"/>
              </w:rPr>
              <w:t>Variable description</w:t>
            </w:r>
          </w:p>
        </w:tc>
        <w:tc>
          <w:tcPr>
            <w:tcW w:w="785" w:type="pct"/>
            <w:shd w:val="clear" w:color="auto" w:fill="auto"/>
            <w:noWrap/>
            <w:tcMar>
              <w:top w:w="28" w:type="dxa"/>
              <w:left w:w="28" w:type="dxa"/>
              <w:bottom w:w="28" w:type="dxa"/>
              <w:right w:w="28" w:type="dxa"/>
            </w:tcMar>
            <w:hideMark/>
          </w:tcPr>
          <w:p w14:paraId="64368572" w14:textId="77777777" w:rsidR="0060664A" w:rsidRPr="003D56F0" w:rsidRDefault="0060664A" w:rsidP="003D56F0">
            <w:pPr>
              <w:rPr>
                <w:sz w:val="20"/>
                <w:szCs w:val="20"/>
              </w:rPr>
            </w:pPr>
            <w:r w:rsidRPr="003D56F0">
              <w:rPr>
                <w:sz w:val="20"/>
                <w:szCs w:val="20"/>
              </w:rPr>
              <w:t>Parameters</w:t>
            </w:r>
          </w:p>
        </w:tc>
        <w:tc>
          <w:tcPr>
            <w:tcW w:w="787" w:type="pct"/>
            <w:shd w:val="clear" w:color="auto" w:fill="auto"/>
            <w:noWrap/>
            <w:tcMar>
              <w:top w:w="28" w:type="dxa"/>
              <w:left w:w="28" w:type="dxa"/>
              <w:bottom w:w="28" w:type="dxa"/>
              <w:right w:w="28" w:type="dxa"/>
            </w:tcMar>
            <w:hideMark/>
          </w:tcPr>
          <w:p w14:paraId="1AAA5CBA" w14:textId="77777777" w:rsidR="0060664A" w:rsidRPr="003D56F0" w:rsidRDefault="0060664A" w:rsidP="003D56F0">
            <w:pPr>
              <w:rPr>
                <w:sz w:val="20"/>
                <w:szCs w:val="20"/>
              </w:rPr>
            </w:pPr>
            <w:r w:rsidRPr="003D56F0">
              <w:rPr>
                <w:sz w:val="20"/>
                <w:szCs w:val="20"/>
              </w:rPr>
              <w:t xml:space="preserve">Low </w:t>
            </w:r>
          </w:p>
        </w:tc>
        <w:tc>
          <w:tcPr>
            <w:tcW w:w="699" w:type="pct"/>
            <w:shd w:val="clear" w:color="auto" w:fill="auto"/>
            <w:noWrap/>
            <w:tcMar>
              <w:top w:w="28" w:type="dxa"/>
              <w:left w:w="28" w:type="dxa"/>
              <w:bottom w:w="28" w:type="dxa"/>
              <w:right w:w="28" w:type="dxa"/>
            </w:tcMar>
            <w:hideMark/>
          </w:tcPr>
          <w:p w14:paraId="14B41E25" w14:textId="77777777" w:rsidR="0060664A" w:rsidRPr="003D56F0" w:rsidRDefault="0060664A" w:rsidP="003D56F0">
            <w:pPr>
              <w:rPr>
                <w:sz w:val="20"/>
                <w:szCs w:val="20"/>
              </w:rPr>
            </w:pPr>
            <w:r w:rsidRPr="003D56F0">
              <w:rPr>
                <w:sz w:val="20"/>
                <w:szCs w:val="20"/>
              </w:rPr>
              <w:t>High</w:t>
            </w:r>
          </w:p>
        </w:tc>
      </w:tr>
      <w:tr w:rsidR="0060664A" w:rsidRPr="003D56F0" w14:paraId="08803085" w14:textId="77777777" w:rsidTr="002006E5">
        <w:trPr>
          <w:trHeight w:val="300"/>
        </w:trPr>
        <w:tc>
          <w:tcPr>
            <w:tcW w:w="2729" w:type="pct"/>
            <w:shd w:val="clear" w:color="auto" w:fill="auto"/>
            <w:noWrap/>
            <w:tcMar>
              <w:top w:w="28" w:type="dxa"/>
              <w:left w:w="28" w:type="dxa"/>
              <w:bottom w:w="28" w:type="dxa"/>
              <w:right w:w="28" w:type="dxa"/>
            </w:tcMar>
          </w:tcPr>
          <w:p w14:paraId="448D51EC" w14:textId="11CBCC4E" w:rsidR="0060664A" w:rsidRPr="003D56F0" w:rsidRDefault="0060664A" w:rsidP="003D56F0">
            <w:pPr>
              <w:rPr>
                <w:sz w:val="20"/>
                <w:szCs w:val="20"/>
              </w:rPr>
            </w:pPr>
            <w:r w:rsidRPr="003D56F0">
              <w:rPr>
                <w:sz w:val="20"/>
                <w:szCs w:val="20"/>
              </w:rPr>
              <w:t>Proportion of individuals with family history of drug problems</w:t>
            </w:r>
          </w:p>
        </w:tc>
        <w:tc>
          <w:tcPr>
            <w:tcW w:w="785" w:type="pct"/>
            <w:shd w:val="clear" w:color="auto" w:fill="auto"/>
            <w:noWrap/>
            <w:tcMar>
              <w:top w:w="28" w:type="dxa"/>
              <w:left w:w="28" w:type="dxa"/>
              <w:bottom w:w="28" w:type="dxa"/>
              <w:right w:w="28" w:type="dxa"/>
            </w:tcMar>
          </w:tcPr>
          <w:p w14:paraId="7C8C9AFB" w14:textId="526999A9" w:rsidR="0060664A" w:rsidRPr="003D56F0" w:rsidRDefault="0060664A" w:rsidP="003D56F0">
            <w:pPr>
              <w:rPr>
                <w:rFonts w:eastAsia="Times New Roman"/>
                <w:color w:val="000000"/>
                <w:sz w:val="20"/>
                <w:szCs w:val="20"/>
              </w:rPr>
            </w:pPr>
            <w:r w:rsidRPr="003D56F0">
              <w:rPr>
                <w:sz w:val="20"/>
                <w:szCs w:val="20"/>
              </w:rPr>
              <w:t>29.30%</w:t>
            </w:r>
          </w:p>
        </w:tc>
        <w:tc>
          <w:tcPr>
            <w:tcW w:w="787" w:type="pct"/>
            <w:shd w:val="clear" w:color="auto" w:fill="auto"/>
            <w:noWrap/>
            <w:tcMar>
              <w:top w:w="28" w:type="dxa"/>
              <w:left w:w="28" w:type="dxa"/>
              <w:bottom w:w="28" w:type="dxa"/>
              <w:right w:w="28" w:type="dxa"/>
            </w:tcMar>
          </w:tcPr>
          <w:p w14:paraId="39227DA1" w14:textId="246A686D" w:rsidR="0060664A" w:rsidRPr="003D56F0" w:rsidRDefault="0060664A" w:rsidP="003D56F0">
            <w:pPr>
              <w:rPr>
                <w:rFonts w:eastAsia="Times New Roman"/>
                <w:color w:val="000000"/>
                <w:sz w:val="20"/>
                <w:szCs w:val="20"/>
              </w:rPr>
            </w:pPr>
            <w:r w:rsidRPr="003D56F0">
              <w:rPr>
                <w:sz w:val="20"/>
                <w:szCs w:val="20"/>
              </w:rPr>
              <w:t>21.98%</w:t>
            </w:r>
          </w:p>
        </w:tc>
        <w:tc>
          <w:tcPr>
            <w:tcW w:w="699" w:type="pct"/>
            <w:shd w:val="clear" w:color="auto" w:fill="auto"/>
            <w:noWrap/>
            <w:tcMar>
              <w:top w:w="28" w:type="dxa"/>
              <w:left w:w="28" w:type="dxa"/>
              <w:bottom w:w="28" w:type="dxa"/>
              <w:right w:w="28" w:type="dxa"/>
            </w:tcMar>
          </w:tcPr>
          <w:p w14:paraId="7B3A5949" w14:textId="2134E8FA" w:rsidR="0060664A" w:rsidRPr="003D56F0" w:rsidRDefault="0060664A" w:rsidP="003D56F0">
            <w:pPr>
              <w:rPr>
                <w:rFonts w:eastAsia="Times New Roman"/>
                <w:color w:val="000000"/>
                <w:sz w:val="20"/>
                <w:szCs w:val="20"/>
              </w:rPr>
            </w:pPr>
            <w:r w:rsidRPr="003D56F0">
              <w:rPr>
                <w:sz w:val="20"/>
                <w:szCs w:val="20"/>
              </w:rPr>
              <w:t>36.63%</w:t>
            </w:r>
          </w:p>
        </w:tc>
      </w:tr>
      <w:tr w:rsidR="0060664A" w:rsidRPr="003D56F0" w14:paraId="4305469F" w14:textId="77777777" w:rsidTr="002006E5">
        <w:trPr>
          <w:trHeight w:val="300"/>
        </w:trPr>
        <w:tc>
          <w:tcPr>
            <w:tcW w:w="2729" w:type="pct"/>
            <w:shd w:val="clear" w:color="auto" w:fill="auto"/>
            <w:noWrap/>
            <w:tcMar>
              <w:top w:w="28" w:type="dxa"/>
              <w:left w:w="28" w:type="dxa"/>
              <w:bottom w:w="28" w:type="dxa"/>
              <w:right w:w="28" w:type="dxa"/>
            </w:tcMar>
          </w:tcPr>
          <w:p w14:paraId="38D2207B" w14:textId="3838D39E" w:rsidR="0060664A" w:rsidRPr="003D56F0" w:rsidRDefault="0060664A" w:rsidP="003D56F0">
            <w:pPr>
              <w:rPr>
                <w:rFonts w:eastAsia="Times New Roman"/>
                <w:color w:val="000000"/>
                <w:sz w:val="20"/>
                <w:szCs w:val="20"/>
              </w:rPr>
            </w:pPr>
            <w:r w:rsidRPr="003D56F0">
              <w:rPr>
                <w:sz w:val="20"/>
                <w:szCs w:val="20"/>
              </w:rPr>
              <w:t>Psychosis among regular cannabis users (assume causal relationship)</w:t>
            </w:r>
          </w:p>
        </w:tc>
        <w:tc>
          <w:tcPr>
            <w:tcW w:w="785" w:type="pct"/>
            <w:shd w:val="clear" w:color="auto" w:fill="auto"/>
            <w:noWrap/>
            <w:tcMar>
              <w:top w:w="28" w:type="dxa"/>
              <w:left w:w="28" w:type="dxa"/>
              <w:bottom w:w="28" w:type="dxa"/>
              <w:right w:w="28" w:type="dxa"/>
            </w:tcMar>
          </w:tcPr>
          <w:p w14:paraId="7034D111" w14:textId="771B2B76" w:rsidR="0060664A" w:rsidRPr="003D56F0" w:rsidRDefault="0060664A" w:rsidP="003D56F0">
            <w:pPr>
              <w:rPr>
                <w:rFonts w:eastAsia="Times New Roman"/>
                <w:color w:val="000000"/>
                <w:sz w:val="20"/>
                <w:szCs w:val="20"/>
              </w:rPr>
            </w:pPr>
            <w:r w:rsidRPr="003D56F0">
              <w:rPr>
                <w:sz w:val="20"/>
                <w:szCs w:val="20"/>
              </w:rPr>
              <w:t>0.014</w:t>
            </w:r>
          </w:p>
        </w:tc>
        <w:tc>
          <w:tcPr>
            <w:tcW w:w="787" w:type="pct"/>
            <w:shd w:val="clear" w:color="auto" w:fill="auto"/>
            <w:noWrap/>
            <w:tcMar>
              <w:top w:w="28" w:type="dxa"/>
              <w:left w:w="28" w:type="dxa"/>
              <w:bottom w:w="28" w:type="dxa"/>
              <w:right w:w="28" w:type="dxa"/>
            </w:tcMar>
          </w:tcPr>
          <w:p w14:paraId="354576D5" w14:textId="05DA8E53" w:rsidR="0060664A" w:rsidRPr="003D56F0" w:rsidRDefault="0060664A" w:rsidP="003D56F0">
            <w:pPr>
              <w:rPr>
                <w:rFonts w:eastAsia="Times New Roman"/>
                <w:color w:val="000000"/>
                <w:sz w:val="20"/>
                <w:szCs w:val="20"/>
              </w:rPr>
            </w:pPr>
            <w:r w:rsidRPr="003D56F0">
              <w:rPr>
                <w:sz w:val="20"/>
                <w:szCs w:val="20"/>
              </w:rPr>
              <w:t>0.011</w:t>
            </w:r>
          </w:p>
        </w:tc>
        <w:tc>
          <w:tcPr>
            <w:tcW w:w="699" w:type="pct"/>
            <w:shd w:val="clear" w:color="auto" w:fill="auto"/>
            <w:noWrap/>
            <w:tcMar>
              <w:top w:w="28" w:type="dxa"/>
              <w:left w:w="28" w:type="dxa"/>
              <w:bottom w:w="28" w:type="dxa"/>
              <w:right w:w="28" w:type="dxa"/>
            </w:tcMar>
          </w:tcPr>
          <w:p w14:paraId="44EC9462" w14:textId="2C92AEEA" w:rsidR="0060664A" w:rsidRPr="003D56F0" w:rsidRDefault="0060664A" w:rsidP="003D56F0">
            <w:pPr>
              <w:rPr>
                <w:rFonts w:eastAsia="Times New Roman"/>
                <w:color w:val="000000"/>
                <w:sz w:val="20"/>
                <w:szCs w:val="20"/>
              </w:rPr>
            </w:pPr>
            <w:r w:rsidRPr="003D56F0">
              <w:rPr>
                <w:sz w:val="20"/>
                <w:szCs w:val="20"/>
              </w:rPr>
              <w:t>0.018</w:t>
            </w:r>
          </w:p>
        </w:tc>
      </w:tr>
      <w:tr w:rsidR="0060664A" w:rsidRPr="003D56F0" w14:paraId="6597DA21" w14:textId="77777777" w:rsidTr="002006E5">
        <w:trPr>
          <w:trHeight w:val="300"/>
        </w:trPr>
        <w:tc>
          <w:tcPr>
            <w:tcW w:w="2729" w:type="pct"/>
            <w:shd w:val="clear" w:color="auto" w:fill="auto"/>
            <w:noWrap/>
            <w:tcMar>
              <w:top w:w="28" w:type="dxa"/>
              <w:left w:w="28" w:type="dxa"/>
              <w:bottom w:w="28" w:type="dxa"/>
              <w:right w:w="28" w:type="dxa"/>
            </w:tcMar>
          </w:tcPr>
          <w:p w14:paraId="3C73257E" w14:textId="685F509D" w:rsidR="0060664A" w:rsidRPr="003D56F0" w:rsidRDefault="0060664A" w:rsidP="003D56F0">
            <w:pPr>
              <w:rPr>
                <w:rFonts w:eastAsia="Times New Roman"/>
                <w:color w:val="000000"/>
                <w:sz w:val="20"/>
                <w:szCs w:val="20"/>
              </w:rPr>
            </w:pPr>
            <w:r w:rsidRPr="003D56F0">
              <w:rPr>
                <w:sz w:val="20"/>
                <w:szCs w:val="20"/>
              </w:rPr>
              <w:t xml:space="preserve">Average cost of delivering web based feedback </w:t>
            </w:r>
          </w:p>
        </w:tc>
        <w:tc>
          <w:tcPr>
            <w:tcW w:w="785" w:type="pct"/>
            <w:shd w:val="clear" w:color="auto" w:fill="auto"/>
            <w:noWrap/>
            <w:tcMar>
              <w:top w:w="28" w:type="dxa"/>
              <w:left w:w="28" w:type="dxa"/>
              <w:bottom w:w="28" w:type="dxa"/>
              <w:right w:w="28" w:type="dxa"/>
            </w:tcMar>
          </w:tcPr>
          <w:p w14:paraId="2872238C" w14:textId="2BA495E4" w:rsidR="0060664A" w:rsidRPr="003D56F0" w:rsidRDefault="0060664A" w:rsidP="003D56F0">
            <w:pPr>
              <w:rPr>
                <w:rFonts w:eastAsia="Times New Roman"/>
                <w:color w:val="000000"/>
                <w:sz w:val="20"/>
                <w:szCs w:val="20"/>
              </w:rPr>
            </w:pPr>
            <w:r w:rsidRPr="003D56F0">
              <w:rPr>
                <w:sz w:val="20"/>
                <w:szCs w:val="20"/>
              </w:rPr>
              <w:t>£15</w:t>
            </w:r>
          </w:p>
        </w:tc>
        <w:tc>
          <w:tcPr>
            <w:tcW w:w="787" w:type="pct"/>
            <w:shd w:val="clear" w:color="auto" w:fill="auto"/>
            <w:noWrap/>
            <w:tcMar>
              <w:top w:w="28" w:type="dxa"/>
              <w:left w:w="28" w:type="dxa"/>
              <w:bottom w:w="28" w:type="dxa"/>
              <w:right w:w="28" w:type="dxa"/>
            </w:tcMar>
          </w:tcPr>
          <w:p w14:paraId="3DCA845B" w14:textId="124D19A8" w:rsidR="0060664A" w:rsidRPr="003D56F0" w:rsidRDefault="0060664A" w:rsidP="003D56F0">
            <w:pPr>
              <w:rPr>
                <w:rFonts w:eastAsia="Times New Roman"/>
                <w:color w:val="000000"/>
                <w:sz w:val="20"/>
                <w:szCs w:val="20"/>
              </w:rPr>
            </w:pPr>
            <w:r w:rsidRPr="003D56F0">
              <w:rPr>
                <w:sz w:val="20"/>
                <w:szCs w:val="20"/>
              </w:rPr>
              <w:t>£1</w:t>
            </w:r>
          </w:p>
        </w:tc>
        <w:tc>
          <w:tcPr>
            <w:tcW w:w="699" w:type="pct"/>
            <w:shd w:val="clear" w:color="auto" w:fill="auto"/>
            <w:noWrap/>
            <w:tcMar>
              <w:top w:w="28" w:type="dxa"/>
              <w:left w:w="28" w:type="dxa"/>
              <w:bottom w:w="28" w:type="dxa"/>
              <w:right w:w="28" w:type="dxa"/>
            </w:tcMar>
          </w:tcPr>
          <w:p w14:paraId="1D447060" w14:textId="32DE02EC" w:rsidR="0060664A" w:rsidRPr="003D56F0" w:rsidRDefault="0060664A" w:rsidP="003D56F0">
            <w:pPr>
              <w:rPr>
                <w:rFonts w:eastAsia="Times New Roman"/>
                <w:color w:val="000000"/>
                <w:sz w:val="20"/>
                <w:szCs w:val="20"/>
              </w:rPr>
            </w:pPr>
            <w:r w:rsidRPr="003D56F0">
              <w:rPr>
                <w:sz w:val="20"/>
                <w:szCs w:val="20"/>
              </w:rPr>
              <w:t>£30</w:t>
            </w:r>
          </w:p>
        </w:tc>
      </w:tr>
      <w:tr w:rsidR="0060664A" w:rsidRPr="003D56F0" w14:paraId="3529ADB4" w14:textId="77777777" w:rsidTr="002006E5">
        <w:trPr>
          <w:trHeight w:val="300"/>
        </w:trPr>
        <w:tc>
          <w:tcPr>
            <w:tcW w:w="2729" w:type="pct"/>
            <w:shd w:val="clear" w:color="auto" w:fill="auto"/>
            <w:noWrap/>
            <w:tcMar>
              <w:top w:w="28" w:type="dxa"/>
              <w:left w:w="28" w:type="dxa"/>
              <w:bottom w:w="28" w:type="dxa"/>
              <w:right w:w="28" w:type="dxa"/>
            </w:tcMar>
          </w:tcPr>
          <w:p w14:paraId="0D981A3B" w14:textId="64171328" w:rsidR="0060664A" w:rsidRPr="003D56F0" w:rsidRDefault="0060664A" w:rsidP="003D56F0">
            <w:pPr>
              <w:rPr>
                <w:rFonts w:eastAsia="Times New Roman"/>
                <w:color w:val="000000"/>
                <w:sz w:val="20"/>
                <w:szCs w:val="20"/>
              </w:rPr>
            </w:pPr>
            <w:r w:rsidRPr="003D56F0">
              <w:rPr>
                <w:sz w:val="20"/>
                <w:szCs w:val="20"/>
              </w:rPr>
              <w:t>Reduction in use after 6 month (from baseline)</w:t>
            </w:r>
          </w:p>
        </w:tc>
        <w:tc>
          <w:tcPr>
            <w:tcW w:w="785" w:type="pct"/>
            <w:shd w:val="clear" w:color="auto" w:fill="auto"/>
            <w:noWrap/>
            <w:tcMar>
              <w:top w:w="28" w:type="dxa"/>
              <w:left w:w="28" w:type="dxa"/>
              <w:bottom w:w="28" w:type="dxa"/>
              <w:right w:w="28" w:type="dxa"/>
            </w:tcMar>
          </w:tcPr>
          <w:p w14:paraId="1F32EEAD" w14:textId="6446E2BC" w:rsidR="0060664A" w:rsidRPr="003D56F0" w:rsidRDefault="0060664A" w:rsidP="003D56F0">
            <w:pPr>
              <w:rPr>
                <w:rFonts w:eastAsia="Times New Roman"/>
                <w:color w:val="000000"/>
                <w:sz w:val="20"/>
                <w:szCs w:val="20"/>
              </w:rPr>
            </w:pPr>
            <w:r w:rsidRPr="003D56F0">
              <w:rPr>
                <w:sz w:val="20"/>
                <w:szCs w:val="20"/>
              </w:rPr>
              <w:t>37%</w:t>
            </w:r>
          </w:p>
        </w:tc>
        <w:tc>
          <w:tcPr>
            <w:tcW w:w="787" w:type="pct"/>
            <w:shd w:val="clear" w:color="auto" w:fill="auto"/>
            <w:noWrap/>
            <w:tcMar>
              <w:top w:w="28" w:type="dxa"/>
              <w:left w:w="28" w:type="dxa"/>
              <w:bottom w:w="28" w:type="dxa"/>
              <w:right w:w="28" w:type="dxa"/>
            </w:tcMar>
          </w:tcPr>
          <w:p w14:paraId="7FFB20E2" w14:textId="0A22D6C1" w:rsidR="0060664A" w:rsidRPr="003D56F0" w:rsidRDefault="0060664A" w:rsidP="003D56F0">
            <w:pPr>
              <w:rPr>
                <w:rFonts w:eastAsia="Times New Roman"/>
                <w:color w:val="000000"/>
                <w:sz w:val="20"/>
                <w:szCs w:val="20"/>
              </w:rPr>
            </w:pPr>
            <w:r w:rsidRPr="003D56F0">
              <w:rPr>
                <w:sz w:val="20"/>
                <w:szCs w:val="20"/>
              </w:rPr>
              <w:t>28%</w:t>
            </w:r>
          </w:p>
        </w:tc>
        <w:tc>
          <w:tcPr>
            <w:tcW w:w="699" w:type="pct"/>
            <w:shd w:val="clear" w:color="auto" w:fill="auto"/>
            <w:noWrap/>
            <w:tcMar>
              <w:top w:w="28" w:type="dxa"/>
              <w:left w:w="28" w:type="dxa"/>
              <w:bottom w:w="28" w:type="dxa"/>
              <w:right w:w="28" w:type="dxa"/>
            </w:tcMar>
          </w:tcPr>
          <w:p w14:paraId="60298D96" w14:textId="7595545F" w:rsidR="0060664A" w:rsidRPr="003D56F0" w:rsidRDefault="0060664A" w:rsidP="003D56F0">
            <w:pPr>
              <w:rPr>
                <w:rFonts w:eastAsia="Times New Roman"/>
                <w:color w:val="000000"/>
                <w:sz w:val="20"/>
                <w:szCs w:val="20"/>
              </w:rPr>
            </w:pPr>
            <w:r w:rsidRPr="003D56F0">
              <w:rPr>
                <w:sz w:val="20"/>
                <w:szCs w:val="20"/>
              </w:rPr>
              <w:t>46%</w:t>
            </w:r>
          </w:p>
        </w:tc>
      </w:tr>
      <w:tr w:rsidR="0060664A" w:rsidRPr="003D56F0" w14:paraId="69F52047" w14:textId="77777777" w:rsidTr="002006E5">
        <w:trPr>
          <w:trHeight w:val="300"/>
        </w:trPr>
        <w:tc>
          <w:tcPr>
            <w:tcW w:w="2729" w:type="pct"/>
            <w:shd w:val="clear" w:color="auto" w:fill="auto"/>
            <w:noWrap/>
            <w:tcMar>
              <w:top w:w="28" w:type="dxa"/>
              <w:left w:w="28" w:type="dxa"/>
              <w:bottom w:w="28" w:type="dxa"/>
              <w:right w:w="28" w:type="dxa"/>
            </w:tcMar>
          </w:tcPr>
          <w:p w14:paraId="1AF98FAF" w14:textId="0E753425" w:rsidR="0060664A" w:rsidRPr="003D56F0" w:rsidRDefault="0060664A" w:rsidP="003D56F0">
            <w:pPr>
              <w:rPr>
                <w:rFonts w:eastAsia="Times New Roman"/>
                <w:color w:val="000000"/>
                <w:sz w:val="20"/>
                <w:szCs w:val="20"/>
              </w:rPr>
            </w:pPr>
            <w:r w:rsidRPr="003D56F0">
              <w:rPr>
                <w:sz w:val="20"/>
                <w:szCs w:val="20"/>
              </w:rPr>
              <w:t>Reduction in use after 12 month (from baseline)</w:t>
            </w:r>
          </w:p>
        </w:tc>
        <w:tc>
          <w:tcPr>
            <w:tcW w:w="785" w:type="pct"/>
            <w:shd w:val="clear" w:color="auto" w:fill="auto"/>
            <w:noWrap/>
            <w:tcMar>
              <w:top w:w="28" w:type="dxa"/>
              <w:left w:w="28" w:type="dxa"/>
              <w:bottom w:w="28" w:type="dxa"/>
              <w:right w:w="28" w:type="dxa"/>
            </w:tcMar>
          </w:tcPr>
          <w:p w14:paraId="7309F660" w14:textId="415E2DDB" w:rsidR="0060664A" w:rsidRPr="003D56F0" w:rsidRDefault="0060664A" w:rsidP="003D56F0">
            <w:pPr>
              <w:rPr>
                <w:rFonts w:eastAsia="Times New Roman"/>
                <w:color w:val="000000"/>
                <w:sz w:val="20"/>
                <w:szCs w:val="20"/>
              </w:rPr>
            </w:pPr>
            <w:r w:rsidRPr="003D56F0">
              <w:rPr>
                <w:sz w:val="20"/>
                <w:szCs w:val="20"/>
              </w:rPr>
              <w:t>25%</w:t>
            </w:r>
          </w:p>
        </w:tc>
        <w:tc>
          <w:tcPr>
            <w:tcW w:w="787" w:type="pct"/>
            <w:shd w:val="clear" w:color="auto" w:fill="auto"/>
            <w:noWrap/>
            <w:tcMar>
              <w:top w:w="28" w:type="dxa"/>
              <w:left w:w="28" w:type="dxa"/>
              <w:bottom w:w="28" w:type="dxa"/>
              <w:right w:w="28" w:type="dxa"/>
            </w:tcMar>
          </w:tcPr>
          <w:p w14:paraId="603DBDDB" w14:textId="7CD2AB6E" w:rsidR="0060664A" w:rsidRPr="003D56F0" w:rsidRDefault="0060664A" w:rsidP="003D56F0">
            <w:pPr>
              <w:rPr>
                <w:rFonts w:eastAsia="Times New Roman"/>
                <w:color w:val="000000"/>
                <w:sz w:val="20"/>
                <w:szCs w:val="20"/>
              </w:rPr>
            </w:pPr>
            <w:r w:rsidRPr="003D56F0">
              <w:rPr>
                <w:sz w:val="20"/>
                <w:szCs w:val="20"/>
              </w:rPr>
              <w:t>19%</w:t>
            </w:r>
          </w:p>
        </w:tc>
        <w:tc>
          <w:tcPr>
            <w:tcW w:w="699" w:type="pct"/>
            <w:shd w:val="clear" w:color="auto" w:fill="auto"/>
            <w:noWrap/>
            <w:tcMar>
              <w:top w:w="28" w:type="dxa"/>
              <w:left w:w="28" w:type="dxa"/>
              <w:bottom w:w="28" w:type="dxa"/>
              <w:right w:w="28" w:type="dxa"/>
            </w:tcMar>
          </w:tcPr>
          <w:p w14:paraId="3BA95380" w14:textId="3907A2F5" w:rsidR="0060664A" w:rsidRPr="003D56F0" w:rsidRDefault="0060664A" w:rsidP="003D56F0">
            <w:pPr>
              <w:rPr>
                <w:rFonts w:eastAsia="Times New Roman"/>
                <w:color w:val="000000"/>
                <w:sz w:val="20"/>
                <w:szCs w:val="20"/>
              </w:rPr>
            </w:pPr>
            <w:r w:rsidRPr="003D56F0">
              <w:rPr>
                <w:sz w:val="20"/>
                <w:szCs w:val="20"/>
              </w:rPr>
              <w:t>31%</w:t>
            </w:r>
          </w:p>
        </w:tc>
      </w:tr>
      <w:tr w:rsidR="0060664A" w:rsidRPr="003D56F0" w14:paraId="6FF7044C" w14:textId="77777777" w:rsidTr="002006E5">
        <w:trPr>
          <w:trHeight w:val="300"/>
        </w:trPr>
        <w:tc>
          <w:tcPr>
            <w:tcW w:w="2729" w:type="pct"/>
            <w:shd w:val="clear" w:color="auto" w:fill="auto"/>
            <w:noWrap/>
            <w:tcMar>
              <w:top w:w="28" w:type="dxa"/>
              <w:left w:w="28" w:type="dxa"/>
              <w:bottom w:w="28" w:type="dxa"/>
              <w:right w:w="28" w:type="dxa"/>
            </w:tcMar>
          </w:tcPr>
          <w:p w14:paraId="7BE42845" w14:textId="55121029" w:rsidR="0060664A" w:rsidRPr="003D56F0" w:rsidRDefault="0060664A" w:rsidP="003D56F0">
            <w:pPr>
              <w:rPr>
                <w:rFonts w:eastAsia="Times New Roman"/>
                <w:color w:val="000000"/>
                <w:sz w:val="20"/>
                <w:szCs w:val="20"/>
              </w:rPr>
            </w:pPr>
            <w:r w:rsidRPr="003D56F0">
              <w:rPr>
                <w:sz w:val="20"/>
                <w:szCs w:val="20"/>
              </w:rPr>
              <w:t>Reduction in use after 18month (from baseline)</w:t>
            </w:r>
          </w:p>
        </w:tc>
        <w:tc>
          <w:tcPr>
            <w:tcW w:w="785" w:type="pct"/>
            <w:shd w:val="clear" w:color="auto" w:fill="auto"/>
            <w:noWrap/>
            <w:tcMar>
              <w:top w:w="28" w:type="dxa"/>
              <w:left w:w="28" w:type="dxa"/>
              <w:bottom w:w="28" w:type="dxa"/>
              <w:right w:w="28" w:type="dxa"/>
            </w:tcMar>
          </w:tcPr>
          <w:p w14:paraId="7AE9CF28" w14:textId="3102DA6C" w:rsidR="0060664A" w:rsidRPr="003D56F0" w:rsidRDefault="0060664A" w:rsidP="003D56F0">
            <w:pPr>
              <w:rPr>
                <w:rFonts w:eastAsia="Times New Roman"/>
                <w:color w:val="000000"/>
                <w:sz w:val="20"/>
                <w:szCs w:val="20"/>
              </w:rPr>
            </w:pPr>
            <w:r w:rsidRPr="003D56F0">
              <w:rPr>
                <w:sz w:val="20"/>
                <w:szCs w:val="20"/>
              </w:rPr>
              <w:t>13%</w:t>
            </w:r>
          </w:p>
        </w:tc>
        <w:tc>
          <w:tcPr>
            <w:tcW w:w="787" w:type="pct"/>
            <w:shd w:val="clear" w:color="auto" w:fill="auto"/>
            <w:noWrap/>
            <w:tcMar>
              <w:top w:w="28" w:type="dxa"/>
              <w:left w:w="28" w:type="dxa"/>
              <w:bottom w:w="28" w:type="dxa"/>
              <w:right w:w="28" w:type="dxa"/>
            </w:tcMar>
          </w:tcPr>
          <w:p w14:paraId="76BD278A" w14:textId="75035E8D" w:rsidR="0060664A" w:rsidRPr="003D56F0" w:rsidRDefault="0060664A" w:rsidP="003D56F0">
            <w:pPr>
              <w:rPr>
                <w:rFonts w:eastAsia="Times New Roman"/>
                <w:color w:val="000000"/>
                <w:sz w:val="20"/>
                <w:szCs w:val="20"/>
              </w:rPr>
            </w:pPr>
            <w:r w:rsidRPr="003D56F0">
              <w:rPr>
                <w:sz w:val="20"/>
                <w:szCs w:val="20"/>
              </w:rPr>
              <w:t>9%</w:t>
            </w:r>
          </w:p>
        </w:tc>
        <w:tc>
          <w:tcPr>
            <w:tcW w:w="699" w:type="pct"/>
            <w:shd w:val="clear" w:color="auto" w:fill="auto"/>
            <w:noWrap/>
            <w:tcMar>
              <w:top w:w="28" w:type="dxa"/>
              <w:left w:w="28" w:type="dxa"/>
              <w:bottom w:w="28" w:type="dxa"/>
              <w:right w:w="28" w:type="dxa"/>
            </w:tcMar>
          </w:tcPr>
          <w:p w14:paraId="51A2DCA2" w14:textId="1D4F475A" w:rsidR="0060664A" w:rsidRPr="003D56F0" w:rsidRDefault="0060664A" w:rsidP="003D56F0">
            <w:pPr>
              <w:rPr>
                <w:rFonts w:eastAsia="Times New Roman"/>
                <w:color w:val="000000"/>
                <w:sz w:val="20"/>
                <w:szCs w:val="20"/>
              </w:rPr>
            </w:pPr>
            <w:r w:rsidRPr="003D56F0">
              <w:rPr>
                <w:sz w:val="20"/>
                <w:szCs w:val="20"/>
              </w:rPr>
              <w:t>16%</w:t>
            </w:r>
          </w:p>
        </w:tc>
      </w:tr>
      <w:tr w:rsidR="0060664A" w:rsidRPr="003D56F0" w14:paraId="453BD53D" w14:textId="77777777" w:rsidTr="002006E5">
        <w:trPr>
          <w:trHeight w:val="300"/>
        </w:trPr>
        <w:tc>
          <w:tcPr>
            <w:tcW w:w="2729" w:type="pct"/>
            <w:shd w:val="clear" w:color="auto" w:fill="auto"/>
            <w:noWrap/>
            <w:tcMar>
              <w:top w:w="28" w:type="dxa"/>
              <w:left w:w="28" w:type="dxa"/>
              <w:bottom w:w="28" w:type="dxa"/>
              <w:right w:w="28" w:type="dxa"/>
            </w:tcMar>
          </w:tcPr>
          <w:p w14:paraId="726CC274" w14:textId="55823FCB" w:rsidR="0060664A" w:rsidRPr="003D56F0" w:rsidRDefault="0060664A" w:rsidP="003D56F0">
            <w:pPr>
              <w:rPr>
                <w:rFonts w:eastAsia="Times New Roman"/>
                <w:color w:val="000000"/>
                <w:sz w:val="20"/>
                <w:szCs w:val="20"/>
              </w:rPr>
            </w:pPr>
            <w:r w:rsidRPr="003D56F0">
              <w:rPr>
                <w:sz w:val="20"/>
                <w:szCs w:val="20"/>
              </w:rPr>
              <w:t>Psychosis service costs</w:t>
            </w:r>
          </w:p>
        </w:tc>
        <w:tc>
          <w:tcPr>
            <w:tcW w:w="785" w:type="pct"/>
            <w:shd w:val="clear" w:color="auto" w:fill="auto"/>
            <w:noWrap/>
            <w:tcMar>
              <w:top w:w="28" w:type="dxa"/>
              <w:left w:w="28" w:type="dxa"/>
              <w:bottom w:w="28" w:type="dxa"/>
              <w:right w:w="28" w:type="dxa"/>
            </w:tcMar>
          </w:tcPr>
          <w:p w14:paraId="516CDD17" w14:textId="00D6316E" w:rsidR="0060664A" w:rsidRPr="003D56F0" w:rsidRDefault="0060664A" w:rsidP="003D56F0">
            <w:pPr>
              <w:rPr>
                <w:rFonts w:eastAsia="Times New Roman"/>
                <w:color w:val="000000"/>
                <w:sz w:val="20"/>
                <w:szCs w:val="20"/>
              </w:rPr>
            </w:pPr>
            <w:r w:rsidRPr="003D56F0">
              <w:rPr>
                <w:sz w:val="20"/>
                <w:szCs w:val="20"/>
              </w:rPr>
              <w:t>13,136</w:t>
            </w:r>
          </w:p>
        </w:tc>
        <w:tc>
          <w:tcPr>
            <w:tcW w:w="787" w:type="pct"/>
            <w:shd w:val="clear" w:color="auto" w:fill="auto"/>
            <w:noWrap/>
            <w:tcMar>
              <w:top w:w="28" w:type="dxa"/>
              <w:left w:w="28" w:type="dxa"/>
              <w:bottom w:w="28" w:type="dxa"/>
              <w:right w:w="28" w:type="dxa"/>
            </w:tcMar>
          </w:tcPr>
          <w:p w14:paraId="586AAC6C" w14:textId="05711267" w:rsidR="0060664A" w:rsidRPr="003D56F0" w:rsidRDefault="0060664A" w:rsidP="003D56F0">
            <w:pPr>
              <w:rPr>
                <w:rFonts w:eastAsia="Times New Roman"/>
                <w:color w:val="000000"/>
                <w:sz w:val="20"/>
                <w:szCs w:val="20"/>
              </w:rPr>
            </w:pPr>
            <w:r w:rsidRPr="003D56F0">
              <w:rPr>
                <w:sz w:val="20"/>
                <w:szCs w:val="20"/>
              </w:rPr>
              <w:t>9,852</w:t>
            </w:r>
          </w:p>
        </w:tc>
        <w:tc>
          <w:tcPr>
            <w:tcW w:w="699" w:type="pct"/>
            <w:shd w:val="clear" w:color="auto" w:fill="auto"/>
            <w:noWrap/>
            <w:tcMar>
              <w:top w:w="28" w:type="dxa"/>
              <w:left w:w="28" w:type="dxa"/>
              <w:bottom w:w="28" w:type="dxa"/>
              <w:right w:w="28" w:type="dxa"/>
            </w:tcMar>
          </w:tcPr>
          <w:p w14:paraId="0F6588C0" w14:textId="5DDBB090" w:rsidR="0060664A" w:rsidRPr="003D56F0" w:rsidRDefault="0060664A" w:rsidP="003D56F0">
            <w:pPr>
              <w:rPr>
                <w:rFonts w:eastAsia="Times New Roman"/>
                <w:color w:val="000000"/>
                <w:sz w:val="20"/>
                <w:szCs w:val="20"/>
              </w:rPr>
            </w:pPr>
            <w:r w:rsidRPr="003D56F0">
              <w:rPr>
                <w:sz w:val="20"/>
                <w:szCs w:val="20"/>
              </w:rPr>
              <w:t>16,420</w:t>
            </w:r>
          </w:p>
        </w:tc>
      </w:tr>
      <w:tr w:rsidR="0060664A" w:rsidRPr="003D56F0" w14:paraId="7EB43EAA" w14:textId="77777777" w:rsidTr="002006E5">
        <w:trPr>
          <w:trHeight w:val="300"/>
        </w:trPr>
        <w:tc>
          <w:tcPr>
            <w:tcW w:w="2729" w:type="pct"/>
            <w:shd w:val="clear" w:color="auto" w:fill="auto"/>
            <w:noWrap/>
            <w:tcMar>
              <w:top w:w="28" w:type="dxa"/>
              <w:left w:w="28" w:type="dxa"/>
              <w:bottom w:w="28" w:type="dxa"/>
              <w:right w:w="28" w:type="dxa"/>
            </w:tcMar>
          </w:tcPr>
          <w:p w14:paraId="23705470" w14:textId="343304E8" w:rsidR="0060664A" w:rsidRPr="003D56F0" w:rsidRDefault="0060664A" w:rsidP="003D56F0">
            <w:pPr>
              <w:rPr>
                <w:rFonts w:eastAsia="Times New Roman"/>
                <w:color w:val="000000"/>
                <w:sz w:val="20"/>
                <w:szCs w:val="20"/>
              </w:rPr>
            </w:pPr>
            <w:r w:rsidRPr="003D56F0">
              <w:rPr>
                <w:sz w:val="20"/>
                <w:szCs w:val="20"/>
              </w:rPr>
              <w:t xml:space="preserve">Psychosis informal care costs </w:t>
            </w:r>
          </w:p>
        </w:tc>
        <w:tc>
          <w:tcPr>
            <w:tcW w:w="785" w:type="pct"/>
            <w:shd w:val="clear" w:color="auto" w:fill="auto"/>
            <w:noWrap/>
            <w:tcMar>
              <w:top w:w="28" w:type="dxa"/>
              <w:left w:w="28" w:type="dxa"/>
              <w:bottom w:w="28" w:type="dxa"/>
              <w:right w:w="28" w:type="dxa"/>
            </w:tcMar>
          </w:tcPr>
          <w:p w14:paraId="276406E9" w14:textId="244FF7C0" w:rsidR="0060664A" w:rsidRPr="003D56F0" w:rsidRDefault="0060664A" w:rsidP="003D56F0">
            <w:pPr>
              <w:rPr>
                <w:rFonts w:eastAsia="Times New Roman"/>
                <w:color w:val="000000"/>
                <w:sz w:val="20"/>
                <w:szCs w:val="20"/>
              </w:rPr>
            </w:pPr>
            <w:r w:rsidRPr="003D56F0">
              <w:rPr>
                <w:sz w:val="20"/>
                <w:szCs w:val="20"/>
              </w:rPr>
              <w:t>4,424</w:t>
            </w:r>
          </w:p>
        </w:tc>
        <w:tc>
          <w:tcPr>
            <w:tcW w:w="787" w:type="pct"/>
            <w:shd w:val="clear" w:color="auto" w:fill="auto"/>
            <w:noWrap/>
            <w:tcMar>
              <w:top w:w="28" w:type="dxa"/>
              <w:left w:w="28" w:type="dxa"/>
              <w:bottom w:w="28" w:type="dxa"/>
              <w:right w:w="28" w:type="dxa"/>
            </w:tcMar>
          </w:tcPr>
          <w:p w14:paraId="4369D14A" w14:textId="50117887" w:rsidR="0060664A" w:rsidRPr="003D56F0" w:rsidRDefault="0060664A" w:rsidP="003D56F0">
            <w:pPr>
              <w:rPr>
                <w:rFonts w:eastAsia="Times New Roman"/>
                <w:color w:val="000000"/>
                <w:sz w:val="20"/>
                <w:szCs w:val="20"/>
              </w:rPr>
            </w:pPr>
            <w:r w:rsidRPr="003D56F0">
              <w:rPr>
                <w:sz w:val="20"/>
                <w:szCs w:val="20"/>
              </w:rPr>
              <w:t>3,318</w:t>
            </w:r>
          </w:p>
        </w:tc>
        <w:tc>
          <w:tcPr>
            <w:tcW w:w="699" w:type="pct"/>
            <w:shd w:val="clear" w:color="auto" w:fill="auto"/>
            <w:noWrap/>
            <w:tcMar>
              <w:top w:w="28" w:type="dxa"/>
              <w:left w:w="28" w:type="dxa"/>
              <w:bottom w:w="28" w:type="dxa"/>
              <w:right w:w="28" w:type="dxa"/>
            </w:tcMar>
          </w:tcPr>
          <w:p w14:paraId="4D8EEA02" w14:textId="4949A251" w:rsidR="0060664A" w:rsidRPr="003D56F0" w:rsidRDefault="0060664A" w:rsidP="003D56F0">
            <w:pPr>
              <w:rPr>
                <w:rFonts w:eastAsia="Times New Roman"/>
                <w:color w:val="000000"/>
                <w:sz w:val="20"/>
                <w:szCs w:val="20"/>
              </w:rPr>
            </w:pPr>
            <w:r w:rsidRPr="003D56F0">
              <w:rPr>
                <w:sz w:val="20"/>
                <w:szCs w:val="20"/>
              </w:rPr>
              <w:t>5,530</w:t>
            </w:r>
          </w:p>
        </w:tc>
      </w:tr>
      <w:tr w:rsidR="0060664A" w:rsidRPr="003D56F0" w14:paraId="4CA168D8" w14:textId="77777777" w:rsidTr="002006E5">
        <w:trPr>
          <w:trHeight w:val="300"/>
        </w:trPr>
        <w:tc>
          <w:tcPr>
            <w:tcW w:w="2729" w:type="pct"/>
            <w:shd w:val="clear" w:color="auto" w:fill="auto"/>
            <w:noWrap/>
            <w:tcMar>
              <w:top w:w="28" w:type="dxa"/>
              <w:left w:w="28" w:type="dxa"/>
              <w:bottom w:w="28" w:type="dxa"/>
              <w:right w:w="28" w:type="dxa"/>
            </w:tcMar>
          </w:tcPr>
          <w:p w14:paraId="63D50E32" w14:textId="2AE039F6" w:rsidR="0060664A" w:rsidRPr="003D56F0" w:rsidRDefault="0060664A" w:rsidP="003D56F0">
            <w:pPr>
              <w:rPr>
                <w:rFonts w:eastAsia="Times New Roman"/>
                <w:color w:val="000000"/>
                <w:sz w:val="20"/>
                <w:szCs w:val="20"/>
              </w:rPr>
            </w:pPr>
            <w:r w:rsidRPr="003D56F0">
              <w:rPr>
                <w:sz w:val="20"/>
                <w:szCs w:val="20"/>
              </w:rPr>
              <w:t>Cost of cannabis arrest</w:t>
            </w:r>
          </w:p>
        </w:tc>
        <w:tc>
          <w:tcPr>
            <w:tcW w:w="785" w:type="pct"/>
            <w:shd w:val="clear" w:color="auto" w:fill="auto"/>
            <w:noWrap/>
            <w:tcMar>
              <w:top w:w="28" w:type="dxa"/>
              <w:left w:w="28" w:type="dxa"/>
              <w:bottom w:w="28" w:type="dxa"/>
              <w:right w:w="28" w:type="dxa"/>
            </w:tcMar>
          </w:tcPr>
          <w:p w14:paraId="7F8E798A" w14:textId="771C4CD8" w:rsidR="0060664A" w:rsidRPr="003D56F0" w:rsidRDefault="0060664A" w:rsidP="003D56F0">
            <w:pPr>
              <w:rPr>
                <w:rFonts w:eastAsia="Times New Roman"/>
                <w:color w:val="000000"/>
                <w:sz w:val="20"/>
                <w:szCs w:val="20"/>
              </w:rPr>
            </w:pPr>
            <w:r w:rsidRPr="003D56F0">
              <w:rPr>
                <w:sz w:val="20"/>
                <w:szCs w:val="20"/>
              </w:rPr>
              <w:t>£500</w:t>
            </w:r>
          </w:p>
        </w:tc>
        <w:tc>
          <w:tcPr>
            <w:tcW w:w="787" w:type="pct"/>
            <w:shd w:val="clear" w:color="auto" w:fill="auto"/>
            <w:noWrap/>
            <w:tcMar>
              <w:top w:w="28" w:type="dxa"/>
              <w:left w:w="28" w:type="dxa"/>
              <w:bottom w:w="28" w:type="dxa"/>
              <w:right w:w="28" w:type="dxa"/>
            </w:tcMar>
          </w:tcPr>
          <w:p w14:paraId="17D99A1F" w14:textId="28E4DE03" w:rsidR="0060664A" w:rsidRPr="003D56F0" w:rsidRDefault="0060664A" w:rsidP="003D56F0">
            <w:pPr>
              <w:rPr>
                <w:rFonts w:eastAsia="Times New Roman"/>
                <w:color w:val="000000"/>
                <w:sz w:val="20"/>
                <w:szCs w:val="20"/>
              </w:rPr>
            </w:pPr>
            <w:r w:rsidRPr="003D56F0">
              <w:rPr>
                <w:sz w:val="20"/>
                <w:szCs w:val="20"/>
              </w:rPr>
              <w:t>£375</w:t>
            </w:r>
          </w:p>
        </w:tc>
        <w:tc>
          <w:tcPr>
            <w:tcW w:w="699" w:type="pct"/>
            <w:shd w:val="clear" w:color="auto" w:fill="auto"/>
            <w:noWrap/>
            <w:tcMar>
              <w:top w:w="28" w:type="dxa"/>
              <w:left w:w="28" w:type="dxa"/>
              <w:bottom w:w="28" w:type="dxa"/>
              <w:right w:w="28" w:type="dxa"/>
            </w:tcMar>
          </w:tcPr>
          <w:p w14:paraId="11FA5BD3" w14:textId="6F25D1BC" w:rsidR="0060664A" w:rsidRPr="003D56F0" w:rsidRDefault="0060664A" w:rsidP="003D56F0">
            <w:pPr>
              <w:rPr>
                <w:rFonts w:eastAsia="Times New Roman"/>
                <w:color w:val="000000"/>
                <w:sz w:val="20"/>
                <w:szCs w:val="20"/>
              </w:rPr>
            </w:pPr>
            <w:r w:rsidRPr="003D56F0">
              <w:rPr>
                <w:sz w:val="20"/>
                <w:szCs w:val="20"/>
              </w:rPr>
              <w:t>£5,677</w:t>
            </w:r>
          </w:p>
        </w:tc>
      </w:tr>
      <w:tr w:rsidR="0060664A" w:rsidRPr="003D56F0" w14:paraId="58AA07EB" w14:textId="77777777" w:rsidTr="002006E5">
        <w:trPr>
          <w:trHeight w:val="300"/>
        </w:trPr>
        <w:tc>
          <w:tcPr>
            <w:tcW w:w="2729" w:type="pct"/>
            <w:shd w:val="clear" w:color="auto" w:fill="auto"/>
            <w:noWrap/>
            <w:tcMar>
              <w:top w:w="28" w:type="dxa"/>
              <w:left w:w="28" w:type="dxa"/>
              <w:bottom w:w="28" w:type="dxa"/>
              <w:right w:w="28" w:type="dxa"/>
            </w:tcMar>
          </w:tcPr>
          <w:p w14:paraId="67401356" w14:textId="13BD050D" w:rsidR="0060664A" w:rsidRPr="003D56F0" w:rsidRDefault="0060664A" w:rsidP="003D56F0">
            <w:pPr>
              <w:rPr>
                <w:rFonts w:eastAsia="Times New Roman"/>
                <w:color w:val="000000"/>
                <w:sz w:val="20"/>
                <w:szCs w:val="20"/>
              </w:rPr>
            </w:pPr>
            <w:r w:rsidRPr="003D56F0">
              <w:rPr>
                <w:sz w:val="20"/>
                <w:szCs w:val="20"/>
              </w:rPr>
              <w:t>Cannabis offences in England and Wales (2014-2015) per 1,000 cannabis users</w:t>
            </w:r>
          </w:p>
        </w:tc>
        <w:tc>
          <w:tcPr>
            <w:tcW w:w="785" w:type="pct"/>
            <w:shd w:val="clear" w:color="auto" w:fill="auto"/>
            <w:noWrap/>
            <w:tcMar>
              <w:top w:w="28" w:type="dxa"/>
              <w:left w:w="28" w:type="dxa"/>
              <w:bottom w:w="28" w:type="dxa"/>
              <w:right w:w="28" w:type="dxa"/>
            </w:tcMar>
          </w:tcPr>
          <w:p w14:paraId="2032C786" w14:textId="55778848" w:rsidR="0060664A" w:rsidRPr="003D56F0" w:rsidRDefault="0060664A" w:rsidP="003D56F0">
            <w:pPr>
              <w:rPr>
                <w:rFonts w:eastAsia="Times New Roman"/>
                <w:color w:val="000000"/>
                <w:sz w:val="20"/>
                <w:szCs w:val="20"/>
              </w:rPr>
            </w:pPr>
            <w:r w:rsidRPr="003D56F0">
              <w:rPr>
                <w:sz w:val="20"/>
                <w:szCs w:val="20"/>
              </w:rPr>
              <w:t xml:space="preserve">50.27 </w:t>
            </w:r>
          </w:p>
        </w:tc>
        <w:tc>
          <w:tcPr>
            <w:tcW w:w="787" w:type="pct"/>
            <w:shd w:val="clear" w:color="auto" w:fill="auto"/>
            <w:noWrap/>
            <w:tcMar>
              <w:top w:w="28" w:type="dxa"/>
              <w:left w:w="28" w:type="dxa"/>
              <w:bottom w:w="28" w:type="dxa"/>
              <w:right w:w="28" w:type="dxa"/>
            </w:tcMar>
          </w:tcPr>
          <w:p w14:paraId="571D2E21" w14:textId="18EBFF6D" w:rsidR="0060664A" w:rsidRPr="003D56F0" w:rsidRDefault="0060664A" w:rsidP="003D56F0">
            <w:pPr>
              <w:rPr>
                <w:rFonts w:eastAsia="Times New Roman"/>
                <w:color w:val="000000"/>
                <w:sz w:val="20"/>
                <w:szCs w:val="20"/>
              </w:rPr>
            </w:pPr>
            <w:r w:rsidRPr="003D56F0">
              <w:rPr>
                <w:sz w:val="20"/>
                <w:szCs w:val="20"/>
              </w:rPr>
              <w:t xml:space="preserve">37.70 </w:t>
            </w:r>
          </w:p>
        </w:tc>
        <w:tc>
          <w:tcPr>
            <w:tcW w:w="699" w:type="pct"/>
            <w:shd w:val="clear" w:color="auto" w:fill="auto"/>
            <w:noWrap/>
            <w:tcMar>
              <w:top w:w="28" w:type="dxa"/>
              <w:left w:w="28" w:type="dxa"/>
              <w:bottom w:w="28" w:type="dxa"/>
              <w:right w:w="28" w:type="dxa"/>
            </w:tcMar>
          </w:tcPr>
          <w:p w14:paraId="157F88A6" w14:textId="30B2C241" w:rsidR="0060664A" w:rsidRPr="003D56F0" w:rsidRDefault="0060664A" w:rsidP="003D56F0">
            <w:pPr>
              <w:rPr>
                <w:rFonts w:eastAsia="Times New Roman"/>
                <w:color w:val="000000"/>
                <w:sz w:val="20"/>
                <w:szCs w:val="20"/>
              </w:rPr>
            </w:pPr>
            <w:r w:rsidRPr="003D56F0">
              <w:rPr>
                <w:sz w:val="20"/>
                <w:szCs w:val="20"/>
              </w:rPr>
              <w:t xml:space="preserve">62.84 </w:t>
            </w:r>
          </w:p>
        </w:tc>
      </w:tr>
    </w:tbl>
    <w:p w14:paraId="59C807F8" w14:textId="77777777" w:rsidR="00F56C53" w:rsidRPr="003D56F0" w:rsidRDefault="00F56C53" w:rsidP="00CC7EC2">
      <w:pPr>
        <w:rPr>
          <w:sz w:val="20"/>
          <w:szCs w:val="20"/>
        </w:rPr>
      </w:pPr>
    </w:p>
    <w:p w14:paraId="69E690BB" w14:textId="77777777" w:rsidR="00F56C53" w:rsidRPr="003D56F0" w:rsidRDefault="00F56C53" w:rsidP="00AD2788">
      <w:pPr>
        <w:rPr>
          <w:sz w:val="20"/>
          <w:szCs w:val="20"/>
        </w:rPr>
      </w:pPr>
    </w:p>
    <w:p w14:paraId="4D4B3564" w14:textId="77777777" w:rsidR="00F56C53" w:rsidRPr="003D56F0" w:rsidRDefault="00F56C53">
      <w:pPr>
        <w:rPr>
          <w:sz w:val="20"/>
          <w:szCs w:val="20"/>
        </w:rPr>
      </w:pPr>
    </w:p>
    <w:p w14:paraId="594C26E7" w14:textId="79B53623" w:rsidR="00F56C53" w:rsidRPr="003D56F0" w:rsidRDefault="00CE6D8C">
      <w:pPr>
        <w:pStyle w:val="Heading3"/>
        <w:rPr>
          <w:sz w:val="20"/>
          <w:szCs w:val="20"/>
        </w:rPr>
      </w:pPr>
      <w:bookmarkStart w:id="78" w:name="_Toc452035657"/>
      <w:r w:rsidRPr="003D56F0">
        <w:rPr>
          <w:sz w:val="20"/>
          <w:szCs w:val="20"/>
        </w:rPr>
        <w:t>7.3 Model based on Prado et al. (2012) "The efficacy of Familias Unidas on drug and alcohol outcomes for Hispanic delinquent youth: Main effects and interaction effects by parental stress and social support."</w:t>
      </w:r>
      <w:bookmarkEnd w:id="78"/>
    </w:p>
    <w:tbl>
      <w:tblPr>
        <w:tblpPr w:leftFromText="180" w:rightFromText="180" w:vertAnchor="text" w:horzAnchor="margin" w:tblpY="215"/>
        <w:tblW w:w="5000" w:type="pct"/>
        <w:tblLook w:val="04A0" w:firstRow="1" w:lastRow="0" w:firstColumn="1" w:lastColumn="0" w:noHBand="0" w:noVBand="1"/>
      </w:tblPr>
      <w:tblGrid>
        <w:gridCol w:w="1808"/>
        <w:gridCol w:w="1439"/>
        <w:gridCol w:w="5995"/>
      </w:tblGrid>
      <w:tr w:rsidR="00CE6D8C" w:rsidRPr="003D56F0" w14:paraId="70F39597" w14:textId="77777777" w:rsidTr="00CE6D8C">
        <w:trPr>
          <w:trHeight w:val="300"/>
        </w:trPr>
        <w:tc>
          <w:tcPr>
            <w:tcW w:w="1815" w:type="dxa"/>
            <w:tcBorders>
              <w:top w:val="single" w:sz="4" w:space="0" w:color="auto"/>
              <w:left w:val="single" w:sz="4" w:space="0" w:color="auto"/>
              <w:bottom w:val="single" w:sz="4" w:space="0" w:color="auto"/>
              <w:right w:val="single" w:sz="4" w:space="0" w:color="auto"/>
            </w:tcBorders>
            <w:shd w:val="clear" w:color="auto" w:fill="auto"/>
            <w:hideMark/>
          </w:tcPr>
          <w:p w14:paraId="0D30D787" w14:textId="77777777" w:rsidR="00CE6D8C" w:rsidRPr="003D56F0" w:rsidRDefault="00CE6D8C" w:rsidP="003D56F0">
            <w:pPr>
              <w:rPr>
                <w:sz w:val="20"/>
                <w:szCs w:val="20"/>
              </w:rPr>
            </w:pPr>
            <w:r w:rsidRPr="003D56F0">
              <w:rPr>
                <w:sz w:val="20"/>
                <w:szCs w:val="20"/>
              </w:rPr>
              <w:t>Input/Outcome</w:t>
            </w:r>
          </w:p>
        </w:tc>
        <w:tc>
          <w:tcPr>
            <w:tcW w:w="1317" w:type="dxa"/>
            <w:tcBorders>
              <w:top w:val="single" w:sz="4" w:space="0" w:color="auto"/>
              <w:left w:val="nil"/>
              <w:bottom w:val="single" w:sz="4" w:space="0" w:color="auto"/>
              <w:right w:val="single" w:sz="4" w:space="0" w:color="auto"/>
            </w:tcBorders>
            <w:shd w:val="clear" w:color="auto" w:fill="auto"/>
            <w:hideMark/>
          </w:tcPr>
          <w:p w14:paraId="25C8FE5B" w14:textId="77777777" w:rsidR="00CE6D8C" w:rsidRPr="003D56F0" w:rsidRDefault="00CE6D8C" w:rsidP="003D56F0">
            <w:pPr>
              <w:rPr>
                <w:sz w:val="20"/>
                <w:szCs w:val="20"/>
              </w:rPr>
            </w:pPr>
            <w:r w:rsidRPr="003D56F0">
              <w:rPr>
                <w:sz w:val="20"/>
                <w:szCs w:val="20"/>
              </w:rPr>
              <w:t>Assumption</w:t>
            </w:r>
          </w:p>
        </w:tc>
        <w:tc>
          <w:tcPr>
            <w:tcW w:w="6110" w:type="dxa"/>
            <w:tcBorders>
              <w:top w:val="single" w:sz="4" w:space="0" w:color="auto"/>
              <w:left w:val="nil"/>
              <w:bottom w:val="single" w:sz="4" w:space="0" w:color="auto"/>
              <w:right w:val="single" w:sz="4" w:space="0" w:color="auto"/>
            </w:tcBorders>
            <w:shd w:val="clear" w:color="auto" w:fill="auto"/>
            <w:hideMark/>
          </w:tcPr>
          <w:p w14:paraId="2AD2B842" w14:textId="77777777" w:rsidR="00CE6D8C" w:rsidRPr="003D56F0" w:rsidRDefault="00CE6D8C" w:rsidP="003D56F0">
            <w:pPr>
              <w:rPr>
                <w:sz w:val="20"/>
                <w:szCs w:val="20"/>
              </w:rPr>
            </w:pPr>
            <w:r w:rsidRPr="003D56F0">
              <w:rPr>
                <w:sz w:val="20"/>
                <w:szCs w:val="20"/>
              </w:rPr>
              <w:t>Data source</w:t>
            </w:r>
          </w:p>
        </w:tc>
      </w:tr>
      <w:tr w:rsidR="00CE6D8C" w:rsidRPr="003D56F0" w14:paraId="6D7C9942" w14:textId="77777777" w:rsidTr="00CE6D8C">
        <w:trPr>
          <w:trHeight w:val="600"/>
        </w:trPr>
        <w:tc>
          <w:tcPr>
            <w:tcW w:w="1815" w:type="dxa"/>
            <w:tcBorders>
              <w:top w:val="nil"/>
              <w:left w:val="single" w:sz="4" w:space="0" w:color="auto"/>
              <w:bottom w:val="single" w:sz="4" w:space="0" w:color="auto"/>
              <w:right w:val="single" w:sz="4" w:space="0" w:color="auto"/>
            </w:tcBorders>
            <w:shd w:val="clear" w:color="auto" w:fill="auto"/>
            <w:hideMark/>
          </w:tcPr>
          <w:p w14:paraId="4BBEA4FC" w14:textId="77777777" w:rsidR="00CE6D8C" w:rsidRPr="003D56F0" w:rsidRDefault="00CE6D8C" w:rsidP="003D56F0">
            <w:pPr>
              <w:rPr>
                <w:sz w:val="20"/>
                <w:szCs w:val="20"/>
              </w:rPr>
            </w:pPr>
            <w:r w:rsidRPr="003D56F0">
              <w:rPr>
                <w:sz w:val="20"/>
                <w:szCs w:val="20"/>
              </w:rPr>
              <w:t>Target population</w:t>
            </w:r>
          </w:p>
        </w:tc>
        <w:tc>
          <w:tcPr>
            <w:tcW w:w="1317" w:type="dxa"/>
            <w:tcBorders>
              <w:top w:val="nil"/>
              <w:left w:val="nil"/>
              <w:bottom w:val="single" w:sz="4" w:space="0" w:color="auto"/>
              <w:right w:val="single" w:sz="4" w:space="0" w:color="auto"/>
            </w:tcBorders>
            <w:shd w:val="clear" w:color="auto" w:fill="auto"/>
            <w:hideMark/>
          </w:tcPr>
          <w:p w14:paraId="6BCC3D5F" w14:textId="77777777" w:rsidR="00CE6D8C" w:rsidRPr="003D56F0" w:rsidRDefault="00CE6D8C" w:rsidP="003D56F0">
            <w:pPr>
              <w:rPr>
                <w:sz w:val="20"/>
                <w:szCs w:val="20"/>
              </w:rPr>
            </w:pPr>
            <w:r w:rsidRPr="003D56F0">
              <w:rPr>
                <w:sz w:val="20"/>
                <w:szCs w:val="20"/>
              </w:rPr>
              <w:t>41,029</w:t>
            </w:r>
          </w:p>
        </w:tc>
        <w:tc>
          <w:tcPr>
            <w:tcW w:w="6110" w:type="dxa"/>
            <w:tcBorders>
              <w:top w:val="nil"/>
              <w:left w:val="nil"/>
              <w:bottom w:val="single" w:sz="4" w:space="0" w:color="auto"/>
              <w:right w:val="single" w:sz="4" w:space="0" w:color="auto"/>
            </w:tcBorders>
            <w:shd w:val="clear" w:color="auto" w:fill="auto"/>
            <w:hideMark/>
          </w:tcPr>
          <w:p w14:paraId="155B5FF3" w14:textId="77777777" w:rsidR="00CE6D8C" w:rsidRPr="003D56F0" w:rsidRDefault="00CE6D8C" w:rsidP="003D56F0">
            <w:pPr>
              <w:rPr>
                <w:sz w:val="20"/>
                <w:szCs w:val="20"/>
              </w:rPr>
            </w:pPr>
            <w:r w:rsidRPr="003D56F0">
              <w:rPr>
                <w:sz w:val="20"/>
                <w:szCs w:val="20"/>
              </w:rPr>
              <w:t>Based on data of age and ethnicity of young people convicted of an offence from Youth Justice Statistic 2013/14</w:t>
            </w:r>
          </w:p>
        </w:tc>
      </w:tr>
      <w:tr w:rsidR="00CE6D8C" w:rsidRPr="003D56F0" w14:paraId="4593FE51" w14:textId="77777777" w:rsidTr="00CE6D8C">
        <w:trPr>
          <w:trHeight w:val="300"/>
        </w:trPr>
        <w:tc>
          <w:tcPr>
            <w:tcW w:w="1815" w:type="dxa"/>
            <w:tcBorders>
              <w:top w:val="nil"/>
              <w:left w:val="single" w:sz="4" w:space="0" w:color="auto"/>
              <w:bottom w:val="single" w:sz="4" w:space="0" w:color="auto"/>
              <w:right w:val="single" w:sz="4" w:space="0" w:color="auto"/>
            </w:tcBorders>
            <w:shd w:val="clear" w:color="auto" w:fill="auto"/>
            <w:hideMark/>
          </w:tcPr>
          <w:p w14:paraId="60106AB7" w14:textId="77777777" w:rsidR="00CE6D8C" w:rsidRPr="003D56F0" w:rsidRDefault="00CE6D8C" w:rsidP="003D56F0">
            <w:pPr>
              <w:rPr>
                <w:sz w:val="20"/>
                <w:szCs w:val="20"/>
              </w:rPr>
            </w:pPr>
            <w:r w:rsidRPr="003D56F0">
              <w:rPr>
                <w:sz w:val="20"/>
                <w:szCs w:val="20"/>
              </w:rPr>
              <w:t>Intervention cost</w:t>
            </w:r>
          </w:p>
        </w:tc>
        <w:tc>
          <w:tcPr>
            <w:tcW w:w="1317" w:type="dxa"/>
            <w:tcBorders>
              <w:top w:val="nil"/>
              <w:left w:val="nil"/>
              <w:bottom w:val="single" w:sz="4" w:space="0" w:color="auto"/>
              <w:right w:val="single" w:sz="4" w:space="0" w:color="auto"/>
            </w:tcBorders>
            <w:shd w:val="clear" w:color="auto" w:fill="auto"/>
            <w:hideMark/>
          </w:tcPr>
          <w:p w14:paraId="70DAE47D" w14:textId="77777777" w:rsidR="00CE6D8C" w:rsidRPr="003D56F0" w:rsidRDefault="00CE6D8C" w:rsidP="003D56F0">
            <w:pPr>
              <w:rPr>
                <w:sz w:val="20"/>
                <w:szCs w:val="20"/>
              </w:rPr>
            </w:pPr>
            <w:r w:rsidRPr="003D56F0">
              <w:rPr>
                <w:sz w:val="20"/>
                <w:szCs w:val="20"/>
              </w:rPr>
              <w:t>£154</w:t>
            </w:r>
          </w:p>
        </w:tc>
        <w:tc>
          <w:tcPr>
            <w:tcW w:w="6110" w:type="dxa"/>
            <w:tcBorders>
              <w:top w:val="nil"/>
              <w:left w:val="nil"/>
              <w:bottom w:val="single" w:sz="4" w:space="0" w:color="auto"/>
              <w:right w:val="single" w:sz="4" w:space="0" w:color="auto"/>
            </w:tcBorders>
            <w:shd w:val="clear" w:color="auto" w:fill="auto"/>
            <w:hideMark/>
          </w:tcPr>
          <w:p w14:paraId="187C92D6" w14:textId="77777777" w:rsidR="00CE6D8C" w:rsidRPr="003D56F0" w:rsidRDefault="00CE6D8C" w:rsidP="003D56F0">
            <w:pPr>
              <w:rPr>
                <w:sz w:val="20"/>
                <w:szCs w:val="20"/>
              </w:rPr>
            </w:pPr>
            <w:r w:rsidRPr="003D56F0">
              <w:rPr>
                <w:sz w:val="20"/>
                <w:szCs w:val="20"/>
              </w:rPr>
              <w:t xml:space="preserve"> This intervention consisted of eight two-hour multi-parent group sessions and four one-hour family visits and seems to be with qualified counselling staff. There is a book online that quotes the cost of Familias Unidas as being around $200 per family. If we assume this cost is for 2007 as quoted, then converted to GBP 2015 using the EPPI converter this would equate to £154.25 per family for programme costs in the UK. We have taken the cost per family to be per individual in the modelling. </w:t>
            </w:r>
          </w:p>
          <w:p w14:paraId="7E19E64B" w14:textId="7B7E68E0" w:rsidR="00CE6D8C" w:rsidRPr="003D56F0" w:rsidRDefault="00CE6D8C" w:rsidP="003D56F0">
            <w:pPr>
              <w:rPr>
                <w:sz w:val="20"/>
                <w:szCs w:val="20"/>
              </w:rPr>
            </w:pPr>
            <w:r w:rsidRPr="003D56F0">
              <w:rPr>
                <w:sz w:val="20"/>
                <w:szCs w:val="20"/>
              </w:rPr>
              <w:t xml:space="preserve">In sensitivity analysis this cost was varied up to an estimate of </w:t>
            </w:r>
            <w:r w:rsidRPr="003D56F0">
              <w:rPr>
                <w:sz w:val="20"/>
                <w:szCs w:val="20"/>
              </w:rPr>
              <w:lastRenderedPageBreak/>
              <w:t xml:space="preserve">£238, the costs for a small school (~300 students) for one year is $100,000 which will be $333 per family. Assuming that this is for 2012 in the US, the equivalent for UK 2015 will be £238. However, this includes the costs of training guidance counsellors and so the cost is probably less in the following years as the training costs will be reduced if using the same counsellors </w:t>
            </w:r>
            <w:r w:rsidR="00055095" w:rsidRPr="003D56F0">
              <w:rPr>
                <w:sz w:val="20"/>
                <w:szCs w:val="20"/>
              </w:rPr>
              <w:fldChar w:fldCharType="begin" w:fldLock="1"/>
            </w:r>
            <w:r w:rsidR="00055095" w:rsidRPr="003D56F0">
              <w:rPr>
                <w:sz w:val="20"/>
                <w:szCs w:val="20"/>
              </w:rPr>
              <w:instrText>ADDIN CSL_CITATION { "citationItems" : [ { "id" : "ITEM-1", "itemData" : { "URL" : "http://www.blueprintsprograms.com/program-costs/familias-unidas", "author" : [ { "dropping-particle" : "", "family" : "Blueprints", "given" : "", "non-dropping-particle" : "", "parse-names" : false, "suffix" : "" } ], "id" : "ITEM-1", "issued" : { "date-parts" : [ [ "2016" ] ] }, "title" : "Familias Unidas", "type" : "webpage" }, "uris" : [ "http://www.mendeley.com/documents/?uuid=65a245b4-b654-425c-a9a8-066d23c96e1e" ] } ], "mendeley" : { "formattedCitation" : "(Blueprints 2016)", "plainTextFormattedCitation" : "(Blueprints 2016)" }, "properties" : { "noteIndex" : 0 }, "schema" : "https://github.com/citation-style-language/schema/raw/master/csl-citation.json" }</w:instrText>
            </w:r>
            <w:r w:rsidR="00055095" w:rsidRPr="003D56F0">
              <w:rPr>
                <w:sz w:val="20"/>
                <w:szCs w:val="20"/>
              </w:rPr>
              <w:fldChar w:fldCharType="separate"/>
            </w:r>
            <w:r w:rsidR="00055095" w:rsidRPr="003D56F0">
              <w:rPr>
                <w:noProof/>
                <w:sz w:val="20"/>
                <w:szCs w:val="20"/>
              </w:rPr>
              <w:t>(Blueprints 2016)</w:t>
            </w:r>
            <w:r w:rsidR="00055095" w:rsidRPr="003D56F0">
              <w:rPr>
                <w:sz w:val="20"/>
                <w:szCs w:val="20"/>
              </w:rPr>
              <w:fldChar w:fldCharType="end"/>
            </w:r>
            <w:r w:rsidR="00055095" w:rsidRPr="003D56F0">
              <w:rPr>
                <w:sz w:val="20"/>
                <w:szCs w:val="20"/>
              </w:rPr>
              <w:t xml:space="preserve">. </w:t>
            </w:r>
          </w:p>
          <w:p w14:paraId="42A4C12F" w14:textId="77777777" w:rsidR="00CE6D8C" w:rsidRPr="003D56F0" w:rsidRDefault="00CE6D8C" w:rsidP="003D56F0">
            <w:pPr>
              <w:rPr>
                <w:sz w:val="20"/>
                <w:szCs w:val="20"/>
              </w:rPr>
            </w:pPr>
          </w:p>
        </w:tc>
      </w:tr>
      <w:tr w:rsidR="00CE6D8C" w:rsidRPr="003D56F0" w14:paraId="5F06A306" w14:textId="77777777" w:rsidTr="00CE6D8C">
        <w:trPr>
          <w:trHeight w:val="600"/>
        </w:trPr>
        <w:tc>
          <w:tcPr>
            <w:tcW w:w="1815" w:type="dxa"/>
            <w:tcBorders>
              <w:top w:val="nil"/>
              <w:left w:val="single" w:sz="4" w:space="0" w:color="auto"/>
              <w:bottom w:val="single" w:sz="4" w:space="0" w:color="auto"/>
              <w:right w:val="single" w:sz="4" w:space="0" w:color="auto"/>
            </w:tcBorders>
            <w:shd w:val="clear" w:color="auto" w:fill="auto"/>
            <w:hideMark/>
          </w:tcPr>
          <w:p w14:paraId="599045E3" w14:textId="77777777" w:rsidR="00CE6D8C" w:rsidRPr="003D56F0" w:rsidRDefault="00CE6D8C" w:rsidP="003D56F0">
            <w:pPr>
              <w:rPr>
                <w:sz w:val="20"/>
                <w:szCs w:val="20"/>
              </w:rPr>
            </w:pPr>
            <w:r w:rsidRPr="003D56F0">
              <w:rPr>
                <w:sz w:val="20"/>
                <w:szCs w:val="20"/>
              </w:rPr>
              <w:lastRenderedPageBreak/>
              <w:t xml:space="preserve">Proportion of delinquent youth with high parental stress </w:t>
            </w:r>
          </w:p>
        </w:tc>
        <w:tc>
          <w:tcPr>
            <w:tcW w:w="1317" w:type="dxa"/>
            <w:tcBorders>
              <w:top w:val="nil"/>
              <w:left w:val="nil"/>
              <w:bottom w:val="single" w:sz="4" w:space="0" w:color="auto"/>
              <w:right w:val="single" w:sz="4" w:space="0" w:color="auto"/>
            </w:tcBorders>
            <w:shd w:val="clear" w:color="auto" w:fill="auto"/>
            <w:hideMark/>
          </w:tcPr>
          <w:p w14:paraId="0ED5F4DA" w14:textId="77777777" w:rsidR="00CE6D8C" w:rsidRPr="003D56F0" w:rsidRDefault="00CE6D8C" w:rsidP="003D56F0">
            <w:pPr>
              <w:rPr>
                <w:sz w:val="20"/>
                <w:szCs w:val="20"/>
              </w:rPr>
            </w:pPr>
            <w:r w:rsidRPr="003D56F0">
              <w:rPr>
                <w:sz w:val="20"/>
                <w:szCs w:val="20"/>
              </w:rPr>
              <w:t>32.6%</w:t>
            </w:r>
          </w:p>
        </w:tc>
        <w:tc>
          <w:tcPr>
            <w:tcW w:w="6110" w:type="dxa"/>
            <w:tcBorders>
              <w:top w:val="nil"/>
              <w:left w:val="nil"/>
              <w:bottom w:val="single" w:sz="4" w:space="0" w:color="auto"/>
              <w:right w:val="single" w:sz="4" w:space="0" w:color="auto"/>
            </w:tcBorders>
            <w:shd w:val="clear" w:color="auto" w:fill="auto"/>
            <w:hideMark/>
          </w:tcPr>
          <w:p w14:paraId="411F0B70" w14:textId="77777777" w:rsidR="00CE6D8C" w:rsidRPr="003D56F0" w:rsidRDefault="00CE6D8C" w:rsidP="003D56F0">
            <w:pPr>
              <w:rPr>
                <w:sz w:val="20"/>
                <w:szCs w:val="20"/>
              </w:rPr>
            </w:pPr>
            <w:r w:rsidRPr="003D56F0">
              <w:rPr>
                <w:sz w:val="20"/>
                <w:szCs w:val="20"/>
              </w:rPr>
              <w:t>The intervention in Prado paper is effective for 32.6% of delinquent youth who have low social support and high parental stress</w:t>
            </w:r>
          </w:p>
        </w:tc>
      </w:tr>
      <w:tr w:rsidR="00CE6D8C" w:rsidRPr="003D56F0" w14:paraId="00AC524C" w14:textId="77777777" w:rsidTr="00CE6D8C">
        <w:trPr>
          <w:trHeight w:val="900"/>
        </w:trPr>
        <w:tc>
          <w:tcPr>
            <w:tcW w:w="1815" w:type="dxa"/>
            <w:tcBorders>
              <w:top w:val="nil"/>
              <w:left w:val="single" w:sz="4" w:space="0" w:color="auto"/>
              <w:bottom w:val="single" w:sz="4" w:space="0" w:color="auto"/>
              <w:right w:val="single" w:sz="4" w:space="0" w:color="auto"/>
            </w:tcBorders>
            <w:shd w:val="clear" w:color="auto" w:fill="auto"/>
            <w:hideMark/>
          </w:tcPr>
          <w:p w14:paraId="1CA90721" w14:textId="77777777" w:rsidR="00CE6D8C" w:rsidRPr="003D56F0" w:rsidRDefault="00CE6D8C" w:rsidP="003D56F0">
            <w:pPr>
              <w:rPr>
                <w:sz w:val="20"/>
                <w:szCs w:val="20"/>
              </w:rPr>
            </w:pPr>
            <w:r w:rsidRPr="003D56F0">
              <w:rPr>
                <w:sz w:val="20"/>
                <w:szCs w:val="20"/>
              </w:rPr>
              <w:t>Drug use - base case model</w:t>
            </w:r>
          </w:p>
        </w:tc>
        <w:tc>
          <w:tcPr>
            <w:tcW w:w="1317" w:type="dxa"/>
            <w:tcBorders>
              <w:top w:val="nil"/>
              <w:left w:val="nil"/>
              <w:bottom w:val="single" w:sz="4" w:space="0" w:color="auto"/>
              <w:right w:val="single" w:sz="4" w:space="0" w:color="auto"/>
            </w:tcBorders>
            <w:shd w:val="clear" w:color="auto" w:fill="auto"/>
            <w:hideMark/>
          </w:tcPr>
          <w:p w14:paraId="1B8350B0" w14:textId="77777777" w:rsidR="00CE6D8C" w:rsidRPr="003D56F0" w:rsidRDefault="00CE6D8C" w:rsidP="003D56F0">
            <w:pPr>
              <w:rPr>
                <w:sz w:val="20"/>
                <w:szCs w:val="20"/>
              </w:rPr>
            </w:pPr>
            <w:r w:rsidRPr="003D56F0">
              <w:rPr>
                <w:sz w:val="20"/>
                <w:szCs w:val="20"/>
              </w:rPr>
              <w:t>27% (intervention), 32% (control)</w:t>
            </w:r>
          </w:p>
        </w:tc>
        <w:tc>
          <w:tcPr>
            <w:tcW w:w="6110" w:type="dxa"/>
            <w:tcBorders>
              <w:top w:val="nil"/>
              <w:left w:val="nil"/>
              <w:bottom w:val="single" w:sz="4" w:space="0" w:color="auto"/>
              <w:right w:val="single" w:sz="4" w:space="0" w:color="auto"/>
            </w:tcBorders>
            <w:shd w:val="clear" w:color="auto" w:fill="auto"/>
            <w:hideMark/>
          </w:tcPr>
          <w:p w14:paraId="17BB1F4C" w14:textId="77777777" w:rsidR="00CE6D8C" w:rsidRPr="003D56F0" w:rsidRDefault="00CE6D8C" w:rsidP="003D56F0">
            <w:pPr>
              <w:rPr>
                <w:sz w:val="20"/>
                <w:szCs w:val="20"/>
              </w:rPr>
            </w:pPr>
            <w:r w:rsidRPr="003D56F0">
              <w:rPr>
                <w:sz w:val="20"/>
                <w:szCs w:val="20"/>
              </w:rPr>
              <w:t>Prado paper reports the proportion of delinquent youth who have used drugs in the last 90 days.</w:t>
            </w:r>
          </w:p>
        </w:tc>
      </w:tr>
      <w:tr w:rsidR="00CE6D8C" w:rsidRPr="003D56F0" w14:paraId="336EC250" w14:textId="77777777" w:rsidTr="00CE6D8C">
        <w:trPr>
          <w:trHeight w:val="1500"/>
        </w:trPr>
        <w:tc>
          <w:tcPr>
            <w:tcW w:w="1815" w:type="dxa"/>
            <w:tcBorders>
              <w:top w:val="nil"/>
              <w:left w:val="single" w:sz="4" w:space="0" w:color="auto"/>
              <w:bottom w:val="single" w:sz="4" w:space="0" w:color="auto"/>
              <w:right w:val="single" w:sz="4" w:space="0" w:color="auto"/>
            </w:tcBorders>
            <w:shd w:val="clear" w:color="auto" w:fill="auto"/>
            <w:hideMark/>
          </w:tcPr>
          <w:p w14:paraId="6DDDDD1D" w14:textId="77777777" w:rsidR="00CE6D8C" w:rsidRPr="003D56F0" w:rsidRDefault="00CE6D8C" w:rsidP="003D56F0">
            <w:pPr>
              <w:rPr>
                <w:sz w:val="20"/>
                <w:szCs w:val="20"/>
              </w:rPr>
            </w:pPr>
            <w:r w:rsidRPr="003D56F0">
              <w:rPr>
                <w:sz w:val="20"/>
                <w:szCs w:val="20"/>
              </w:rPr>
              <w:t>Drug use - maintained reduction scenario</w:t>
            </w:r>
          </w:p>
        </w:tc>
        <w:tc>
          <w:tcPr>
            <w:tcW w:w="1317" w:type="dxa"/>
            <w:tcBorders>
              <w:top w:val="nil"/>
              <w:left w:val="nil"/>
              <w:bottom w:val="single" w:sz="4" w:space="0" w:color="auto"/>
              <w:right w:val="single" w:sz="4" w:space="0" w:color="auto"/>
            </w:tcBorders>
            <w:shd w:val="clear" w:color="auto" w:fill="auto"/>
            <w:hideMark/>
          </w:tcPr>
          <w:p w14:paraId="73788184" w14:textId="77777777" w:rsidR="00CE6D8C" w:rsidRPr="003D56F0" w:rsidRDefault="00CE6D8C" w:rsidP="003D56F0">
            <w:pPr>
              <w:rPr>
                <w:sz w:val="20"/>
                <w:szCs w:val="20"/>
              </w:rPr>
            </w:pPr>
            <w:r w:rsidRPr="003D56F0">
              <w:rPr>
                <w:sz w:val="20"/>
                <w:szCs w:val="20"/>
              </w:rPr>
              <w:t>15%,10% (intervention) and 26%,36% (control) in 6 months and 12 months follow up</w:t>
            </w:r>
          </w:p>
        </w:tc>
        <w:tc>
          <w:tcPr>
            <w:tcW w:w="6110" w:type="dxa"/>
            <w:tcBorders>
              <w:top w:val="nil"/>
              <w:left w:val="nil"/>
              <w:bottom w:val="single" w:sz="4" w:space="0" w:color="auto"/>
              <w:right w:val="single" w:sz="4" w:space="0" w:color="auto"/>
            </w:tcBorders>
            <w:shd w:val="clear" w:color="auto" w:fill="auto"/>
            <w:hideMark/>
          </w:tcPr>
          <w:p w14:paraId="710DA48E" w14:textId="77777777" w:rsidR="00CE6D8C" w:rsidRPr="003D56F0" w:rsidRDefault="00CE6D8C" w:rsidP="003D56F0">
            <w:pPr>
              <w:rPr>
                <w:sz w:val="20"/>
                <w:szCs w:val="20"/>
              </w:rPr>
            </w:pPr>
            <w:r w:rsidRPr="003D56F0">
              <w:rPr>
                <w:sz w:val="20"/>
                <w:szCs w:val="20"/>
              </w:rPr>
              <w:t xml:space="preserve">The model is restricted to available data for 1 year in scenario 1. In scenario 2 it is assumed that the proportion of drug users returns to baseline in 2 years. In scenario 3 the proportion of drug users increases to baseline for intervention group and stays constant for the control group in the second year. </w:t>
            </w:r>
          </w:p>
        </w:tc>
      </w:tr>
      <w:tr w:rsidR="00CE6D8C" w:rsidRPr="003D56F0" w14:paraId="3C324B5B" w14:textId="77777777" w:rsidTr="00CE6D8C">
        <w:trPr>
          <w:trHeight w:val="600"/>
        </w:trPr>
        <w:tc>
          <w:tcPr>
            <w:tcW w:w="1815" w:type="dxa"/>
            <w:tcBorders>
              <w:top w:val="nil"/>
              <w:left w:val="single" w:sz="4" w:space="0" w:color="auto"/>
              <w:bottom w:val="single" w:sz="4" w:space="0" w:color="auto"/>
              <w:right w:val="single" w:sz="4" w:space="0" w:color="auto"/>
            </w:tcBorders>
            <w:shd w:val="clear" w:color="auto" w:fill="auto"/>
            <w:hideMark/>
          </w:tcPr>
          <w:p w14:paraId="3B21521A" w14:textId="77777777" w:rsidR="00CE6D8C" w:rsidRPr="003D56F0" w:rsidRDefault="00CE6D8C" w:rsidP="003D56F0">
            <w:pPr>
              <w:rPr>
                <w:sz w:val="20"/>
                <w:szCs w:val="20"/>
              </w:rPr>
            </w:pPr>
            <w:r w:rsidRPr="003D56F0">
              <w:rPr>
                <w:sz w:val="20"/>
                <w:szCs w:val="20"/>
              </w:rPr>
              <w:t xml:space="preserve">Risk of psychosis in cannabis users </w:t>
            </w:r>
          </w:p>
        </w:tc>
        <w:tc>
          <w:tcPr>
            <w:tcW w:w="1317" w:type="dxa"/>
            <w:tcBorders>
              <w:top w:val="nil"/>
              <w:left w:val="nil"/>
              <w:bottom w:val="single" w:sz="4" w:space="0" w:color="auto"/>
              <w:right w:val="single" w:sz="4" w:space="0" w:color="auto"/>
            </w:tcBorders>
            <w:shd w:val="clear" w:color="auto" w:fill="auto"/>
            <w:hideMark/>
          </w:tcPr>
          <w:p w14:paraId="08577D86" w14:textId="77777777" w:rsidR="00CE6D8C" w:rsidRPr="003D56F0" w:rsidRDefault="00CE6D8C" w:rsidP="003D56F0">
            <w:pPr>
              <w:rPr>
                <w:sz w:val="20"/>
                <w:szCs w:val="20"/>
              </w:rPr>
            </w:pPr>
            <w:r w:rsidRPr="003D56F0">
              <w:rPr>
                <w:sz w:val="20"/>
                <w:szCs w:val="20"/>
              </w:rPr>
              <w:t>0.014</w:t>
            </w:r>
          </w:p>
        </w:tc>
        <w:tc>
          <w:tcPr>
            <w:tcW w:w="6110" w:type="dxa"/>
            <w:tcBorders>
              <w:top w:val="nil"/>
              <w:left w:val="nil"/>
              <w:bottom w:val="single" w:sz="4" w:space="0" w:color="auto"/>
              <w:right w:val="single" w:sz="4" w:space="0" w:color="auto"/>
            </w:tcBorders>
            <w:shd w:val="clear" w:color="auto" w:fill="auto"/>
            <w:hideMark/>
          </w:tcPr>
          <w:p w14:paraId="1F773B7F" w14:textId="77777777" w:rsidR="00CE6D8C" w:rsidRPr="003D56F0" w:rsidRDefault="00CE6D8C" w:rsidP="003D56F0">
            <w:pPr>
              <w:rPr>
                <w:sz w:val="20"/>
                <w:szCs w:val="20"/>
              </w:rPr>
            </w:pPr>
            <w:r w:rsidRPr="003D56F0">
              <w:rPr>
                <w:sz w:val="20"/>
                <w:szCs w:val="20"/>
              </w:rPr>
              <w:t>Based on Hall (2015) risk of psychosis is 7 in 1000 for non cannabis users and 14 in 1000 for cannabis users.</w:t>
            </w:r>
          </w:p>
        </w:tc>
      </w:tr>
      <w:tr w:rsidR="00CE6D8C" w:rsidRPr="003D56F0" w14:paraId="1F23A7DE" w14:textId="77777777" w:rsidTr="00CE6D8C">
        <w:trPr>
          <w:trHeight w:val="600"/>
        </w:trPr>
        <w:tc>
          <w:tcPr>
            <w:tcW w:w="1815" w:type="dxa"/>
            <w:tcBorders>
              <w:top w:val="nil"/>
              <w:left w:val="single" w:sz="4" w:space="0" w:color="auto"/>
              <w:bottom w:val="single" w:sz="4" w:space="0" w:color="auto"/>
              <w:right w:val="single" w:sz="4" w:space="0" w:color="auto"/>
            </w:tcBorders>
            <w:shd w:val="clear" w:color="auto" w:fill="auto"/>
            <w:hideMark/>
          </w:tcPr>
          <w:p w14:paraId="7081C230" w14:textId="77777777" w:rsidR="00CE6D8C" w:rsidRPr="003D56F0" w:rsidRDefault="00CE6D8C" w:rsidP="003D56F0">
            <w:pPr>
              <w:rPr>
                <w:sz w:val="20"/>
                <w:szCs w:val="20"/>
              </w:rPr>
            </w:pPr>
            <w:r w:rsidRPr="003D56F0">
              <w:rPr>
                <w:sz w:val="20"/>
                <w:szCs w:val="20"/>
              </w:rPr>
              <w:t>Psychosis service costs</w:t>
            </w:r>
          </w:p>
        </w:tc>
        <w:tc>
          <w:tcPr>
            <w:tcW w:w="1317" w:type="dxa"/>
            <w:tcBorders>
              <w:top w:val="nil"/>
              <w:left w:val="nil"/>
              <w:bottom w:val="single" w:sz="4" w:space="0" w:color="auto"/>
              <w:right w:val="single" w:sz="4" w:space="0" w:color="auto"/>
            </w:tcBorders>
            <w:shd w:val="clear" w:color="auto" w:fill="auto"/>
            <w:hideMark/>
          </w:tcPr>
          <w:p w14:paraId="3D03AD5D" w14:textId="77777777" w:rsidR="00CE6D8C" w:rsidRPr="003D56F0" w:rsidRDefault="00CE6D8C" w:rsidP="003D56F0">
            <w:pPr>
              <w:rPr>
                <w:sz w:val="20"/>
                <w:szCs w:val="20"/>
              </w:rPr>
            </w:pPr>
            <w:r w:rsidRPr="003D56F0">
              <w:rPr>
                <w:sz w:val="20"/>
                <w:szCs w:val="20"/>
              </w:rPr>
              <w:t>£13,136 per year</w:t>
            </w:r>
          </w:p>
        </w:tc>
        <w:tc>
          <w:tcPr>
            <w:tcW w:w="6110" w:type="dxa"/>
            <w:tcBorders>
              <w:top w:val="nil"/>
              <w:left w:val="nil"/>
              <w:bottom w:val="single" w:sz="4" w:space="0" w:color="auto"/>
              <w:right w:val="single" w:sz="4" w:space="0" w:color="auto"/>
            </w:tcBorders>
            <w:shd w:val="clear" w:color="auto" w:fill="auto"/>
            <w:hideMark/>
          </w:tcPr>
          <w:p w14:paraId="511EA16D" w14:textId="77777777" w:rsidR="00CE6D8C" w:rsidRPr="003D56F0" w:rsidRDefault="00CE6D8C" w:rsidP="003D56F0">
            <w:pPr>
              <w:rPr>
                <w:sz w:val="20"/>
                <w:szCs w:val="20"/>
              </w:rPr>
            </w:pPr>
            <w:r w:rsidRPr="003D56F0">
              <w:rPr>
                <w:sz w:val="20"/>
                <w:szCs w:val="20"/>
              </w:rPr>
              <w:t xml:space="preserve">Based on data on prevalence of psychosis for different age groups and annual costs for non-affective psychoses from Kirkbride et al (2012) </w:t>
            </w:r>
          </w:p>
        </w:tc>
      </w:tr>
      <w:tr w:rsidR="00CE6D8C" w:rsidRPr="003D56F0" w14:paraId="1881D4A1" w14:textId="77777777" w:rsidTr="00CE6D8C">
        <w:trPr>
          <w:trHeight w:val="300"/>
        </w:trPr>
        <w:tc>
          <w:tcPr>
            <w:tcW w:w="1815" w:type="dxa"/>
            <w:tcBorders>
              <w:top w:val="nil"/>
              <w:left w:val="single" w:sz="4" w:space="0" w:color="auto"/>
              <w:bottom w:val="single" w:sz="4" w:space="0" w:color="auto"/>
              <w:right w:val="single" w:sz="4" w:space="0" w:color="auto"/>
            </w:tcBorders>
            <w:shd w:val="clear" w:color="auto" w:fill="auto"/>
            <w:hideMark/>
          </w:tcPr>
          <w:p w14:paraId="35EBBE40" w14:textId="77777777" w:rsidR="00CE6D8C" w:rsidRPr="003D56F0" w:rsidRDefault="00CE6D8C" w:rsidP="003D56F0">
            <w:pPr>
              <w:rPr>
                <w:sz w:val="20"/>
                <w:szCs w:val="20"/>
              </w:rPr>
            </w:pPr>
            <w:r w:rsidRPr="003D56F0">
              <w:rPr>
                <w:sz w:val="20"/>
                <w:szCs w:val="20"/>
              </w:rPr>
              <w:t>Psychosis informal care costs</w:t>
            </w:r>
          </w:p>
        </w:tc>
        <w:tc>
          <w:tcPr>
            <w:tcW w:w="1317" w:type="dxa"/>
            <w:tcBorders>
              <w:top w:val="nil"/>
              <w:left w:val="nil"/>
              <w:bottom w:val="single" w:sz="4" w:space="0" w:color="auto"/>
              <w:right w:val="single" w:sz="4" w:space="0" w:color="auto"/>
            </w:tcBorders>
            <w:shd w:val="clear" w:color="auto" w:fill="auto"/>
            <w:hideMark/>
          </w:tcPr>
          <w:p w14:paraId="2FEE657B" w14:textId="77777777" w:rsidR="00CE6D8C" w:rsidRPr="003D56F0" w:rsidRDefault="00CE6D8C" w:rsidP="003D56F0">
            <w:pPr>
              <w:rPr>
                <w:sz w:val="20"/>
                <w:szCs w:val="20"/>
              </w:rPr>
            </w:pPr>
            <w:r w:rsidRPr="003D56F0">
              <w:rPr>
                <w:sz w:val="20"/>
                <w:szCs w:val="20"/>
              </w:rPr>
              <w:t>£4,424 per year</w:t>
            </w:r>
          </w:p>
        </w:tc>
        <w:tc>
          <w:tcPr>
            <w:tcW w:w="6110" w:type="dxa"/>
            <w:tcBorders>
              <w:top w:val="nil"/>
              <w:left w:val="nil"/>
              <w:bottom w:val="single" w:sz="4" w:space="0" w:color="auto"/>
              <w:right w:val="single" w:sz="4" w:space="0" w:color="auto"/>
            </w:tcBorders>
            <w:shd w:val="clear" w:color="auto" w:fill="auto"/>
            <w:hideMark/>
          </w:tcPr>
          <w:p w14:paraId="67B7FD6B" w14:textId="77777777" w:rsidR="00CE6D8C" w:rsidRPr="003D56F0" w:rsidRDefault="00CE6D8C" w:rsidP="003D56F0">
            <w:pPr>
              <w:rPr>
                <w:sz w:val="20"/>
                <w:szCs w:val="20"/>
              </w:rPr>
            </w:pPr>
            <w:r w:rsidRPr="003D56F0">
              <w:rPr>
                <w:sz w:val="20"/>
                <w:szCs w:val="20"/>
              </w:rPr>
              <w:t xml:space="preserve">Based on data on average informal care costs reported by Kirkbride et al. (2012) </w:t>
            </w:r>
          </w:p>
        </w:tc>
      </w:tr>
      <w:tr w:rsidR="00CE6D8C" w:rsidRPr="003D56F0" w14:paraId="51C5F532" w14:textId="77777777" w:rsidTr="00CE6D8C">
        <w:trPr>
          <w:trHeight w:val="600"/>
        </w:trPr>
        <w:tc>
          <w:tcPr>
            <w:tcW w:w="1815" w:type="dxa"/>
            <w:tcBorders>
              <w:top w:val="nil"/>
              <w:left w:val="single" w:sz="4" w:space="0" w:color="auto"/>
              <w:bottom w:val="single" w:sz="4" w:space="0" w:color="auto"/>
              <w:right w:val="single" w:sz="4" w:space="0" w:color="auto"/>
            </w:tcBorders>
            <w:shd w:val="clear" w:color="auto" w:fill="auto"/>
            <w:hideMark/>
          </w:tcPr>
          <w:p w14:paraId="47C6E766" w14:textId="77777777" w:rsidR="00CE6D8C" w:rsidRPr="003D56F0" w:rsidRDefault="00CE6D8C" w:rsidP="003D56F0">
            <w:pPr>
              <w:rPr>
                <w:sz w:val="20"/>
                <w:szCs w:val="20"/>
              </w:rPr>
            </w:pPr>
            <w:r w:rsidRPr="003D56F0">
              <w:rPr>
                <w:sz w:val="20"/>
                <w:szCs w:val="20"/>
              </w:rPr>
              <w:t>Utility scores of patients with psychosis</w:t>
            </w:r>
          </w:p>
        </w:tc>
        <w:tc>
          <w:tcPr>
            <w:tcW w:w="1317" w:type="dxa"/>
            <w:tcBorders>
              <w:top w:val="nil"/>
              <w:left w:val="nil"/>
              <w:bottom w:val="single" w:sz="4" w:space="0" w:color="auto"/>
              <w:right w:val="single" w:sz="4" w:space="0" w:color="auto"/>
            </w:tcBorders>
            <w:shd w:val="clear" w:color="auto" w:fill="auto"/>
            <w:hideMark/>
          </w:tcPr>
          <w:p w14:paraId="34A815C3" w14:textId="77777777" w:rsidR="00CE6D8C" w:rsidRPr="003D56F0" w:rsidRDefault="00CE6D8C" w:rsidP="003D56F0">
            <w:pPr>
              <w:rPr>
                <w:sz w:val="20"/>
                <w:szCs w:val="20"/>
              </w:rPr>
            </w:pPr>
            <w:r w:rsidRPr="003D56F0">
              <w:rPr>
                <w:sz w:val="20"/>
                <w:szCs w:val="20"/>
              </w:rPr>
              <w:t xml:space="preserve">0.68 </w:t>
            </w:r>
          </w:p>
        </w:tc>
        <w:tc>
          <w:tcPr>
            <w:tcW w:w="6110" w:type="dxa"/>
            <w:tcBorders>
              <w:top w:val="nil"/>
              <w:left w:val="nil"/>
              <w:bottom w:val="single" w:sz="4" w:space="0" w:color="auto"/>
              <w:right w:val="single" w:sz="4" w:space="0" w:color="auto"/>
            </w:tcBorders>
            <w:shd w:val="clear" w:color="auto" w:fill="auto"/>
            <w:hideMark/>
          </w:tcPr>
          <w:p w14:paraId="2F57AE49" w14:textId="77777777" w:rsidR="00CE6D8C" w:rsidRPr="003D56F0" w:rsidRDefault="00CE6D8C" w:rsidP="003D56F0">
            <w:pPr>
              <w:rPr>
                <w:sz w:val="20"/>
                <w:szCs w:val="20"/>
              </w:rPr>
            </w:pPr>
            <w:r w:rsidRPr="003D56F0">
              <w:rPr>
                <w:sz w:val="20"/>
                <w:szCs w:val="20"/>
              </w:rPr>
              <w:t>Based on EQ-5D scores for patients with schizophrenia (which were similar to SF-6D) reported in McCrone et al. (2012)</w:t>
            </w:r>
          </w:p>
        </w:tc>
      </w:tr>
      <w:tr w:rsidR="00CE6D8C" w:rsidRPr="003D56F0" w14:paraId="70F0E91D" w14:textId="77777777" w:rsidTr="00CE6D8C">
        <w:trPr>
          <w:trHeight w:val="600"/>
        </w:trPr>
        <w:tc>
          <w:tcPr>
            <w:tcW w:w="1815" w:type="dxa"/>
            <w:tcBorders>
              <w:top w:val="nil"/>
              <w:left w:val="single" w:sz="4" w:space="0" w:color="auto"/>
              <w:bottom w:val="single" w:sz="4" w:space="0" w:color="auto"/>
              <w:right w:val="single" w:sz="4" w:space="0" w:color="auto"/>
            </w:tcBorders>
            <w:shd w:val="clear" w:color="auto" w:fill="auto"/>
            <w:hideMark/>
          </w:tcPr>
          <w:p w14:paraId="325C4E5D" w14:textId="77777777" w:rsidR="00CE6D8C" w:rsidRPr="003D56F0" w:rsidRDefault="00CE6D8C" w:rsidP="003D56F0">
            <w:pPr>
              <w:rPr>
                <w:sz w:val="20"/>
                <w:szCs w:val="20"/>
              </w:rPr>
            </w:pPr>
            <w:r w:rsidRPr="003D56F0">
              <w:rPr>
                <w:sz w:val="20"/>
                <w:szCs w:val="20"/>
              </w:rPr>
              <w:t>Cannabis arrest cost</w:t>
            </w:r>
          </w:p>
        </w:tc>
        <w:tc>
          <w:tcPr>
            <w:tcW w:w="1317" w:type="dxa"/>
            <w:tcBorders>
              <w:top w:val="nil"/>
              <w:left w:val="nil"/>
              <w:bottom w:val="single" w:sz="4" w:space="0" w:color="auto"/>
              <w:right w:val="single" w:sz="4" w:space="0" w:color="auto"/>
            </w:tcBorders>
            <w:shd w:val="clear" w:color="auto" w:fill="auto"/>
            <w:hideMark/>
          </w:tcPr>
          <w:p w14:paraId="1A371F67" w14:textId="77777777" w:rsidR="00CE6D8C" w:rsidRPr="003D56F0" w:rsidRDefault="00CE6D8C" w:rsidP="003D56F0">
            <w:pPr>
              <w:rPr>
                <w:sz w:val="20"/>
                <w:szCs w:val="20"/>
              </w:rPr>
            </w:pPr>
            <w:r w:rsidRPr="003D56F0">
              <w:rPr>
                <w:sz w:val="20"/>
                <w:szCs w:val="20"/>
              </w:rPr>
              <w:t>£500 per cannabis offence</w:t>
            </w:r>
          </w:p>
        </w:tc>
        <w:tc>
          <w:tcPr>
            <w:tcW w:w="6110" w:type="dxa"/>
            <w:tcBorders>
              <w:top w:val="nil"/>
              <w:left w:val="nil"/>
              <w:bottom w:val="single" w:sz="4" w:space="0" w:color="auto"/>
              <w:right w:val="single" w:sz="4" w:space="0" w:color="auto"/>
            </w:tcBorders>
            <w:shd w:val="clear" w:color="auto" w:fill="auto"/>
            <w:hideMark/>
          </w:tcPr>
          <w:p w14:paraId="4FBC6F2F" w14:textId="68E52039" w:rsidR="00CE6D8C" w:rsidRPr="003D56F0" w:rsidRDefault="00CE6D8C" w:rsidP="003D56F0">
            <w:pPr>
              <w:rPr>
                <w:sz w:val="20"/>
                <w:szCs w:val="20"/>
              </w:rPr>
            </w:pPr>
            <w:r w:rsidRPr="003D56F0">
              <w:rPr>
                <w:sz w:val="20"/>
                <w:szCs w:val="20"/>
              </w:rPr>
              <w:t xml:space="preserve">Based on officers' time spent on investigating cannabis cases from </w:t>
            </w:r>
            <w:r w:rsidR="00055095" w:rsidRPr="003D56F0">
              <w:rPr>
                <w:sz w:val="20"/>
                <w:szCs w:val="20"/>
              </w:rPr>
              <w:fldChar w:fldCharType="begin" w:fldLock="1"/>
            </w:r>
            <w:r w:rsidR="00055095" w:rsidRPr="003D56F0">
              <w:rPr>
                <w:sz w:val="20"/>
                <w:szCs w:val="20"/>
              </w:rPr>
              <w:instrText>ADDIN CSL_CITATION { "citationItems" : [ { "id" : "ITEM-1", "itemData" : { "author" : [ { "dropping-particle" : "", "family" : "May", "given" : "Tiggey", "non-dropping-particle" : "", "parse-names" : false, "suffix" : "" }, { "dropping-particle" : "", "family" : "Warburton", "given" : "Hamish", "non-dropping-particle" : "", "parse-names" : false, "suffix" : "" }, { "dropping-particle" : "", "family" : "Turnbull", "given" : "Paul J", "non-dropping-particle" : "", "parse-names" : false, "suffix" : "" }, { "dropping-particle" : "", "family" : "Hough", "given" : "Mike", "non-dropping-particle" : "", "parse-names" : false, "suffix" : "" } ], "id" : "ITEM-1", "issued" : { "date-parts" : [ [ "2002" ] ] }, "title" : "Times they are a-changing Policing of cannabis", "type" : "report" }, "uris" : [ "http://www.mendeley.com/documents/?uuid=2f8462f6-3a03-4229-9251-dd772373d8e4" ] } ], "mendeley" : { "formattedCitation" : "(May et al. 2002)", "manualFormatting" : "May et al. (2002)", "plainTextFormattedCitation" : "(May et al. 2002)", "previouslyFormattedCitation" : "(May et al. 2002)" }, "properties" : { "noteIndex" : 0 }, "schema" : "https://github.com/citation-style-language/schema/raw/master/csl-citation.json" }</w:instrText>
            </w:r>
            <w:r w:rsidR="00055095" w:rsidRPr="003D56F0">
              <w:rPr>
                <w:sz w:val="20"/>
                <w:szCs w:val="20"/>
              </w:rPr>
              <w:fldChar w:fldCharType="separate"/>
            </w:r>
            <w:r w:rsidR="00055095" w:rsidRPr="003D56F0">
              <w:rPr>
                <w:noProof/>
                <w:sz w:val="20"/>
                <w:szCs w:val="20"/>
              </w:rPr>
              <w:t>May et al. (2002)</w:t>
            </w:r>
            <w:r w:rsidR="00055095" w:rsidRPr="003D56F0">
              <w:rPr>
                <w:sz w:val="20"/>
                <w:szCs w:val="20"/>
              </w:rPr>
              <w:fldChar w:fldCharType="end"/>
            </w:r>
          </w:p>
          <w:p w14:paraId="0B0243D5" w14:textId="0EBD7875" w:rsidR="00CE6D8C" w:rsidRPr="003D56F0" w:rsidRDefault="00CE6D8C" w:rsidP="003D56F0">
            <w:pPr>
              <w:rPr>
                <w:sz w:val="20"/>
                <w:szCs w:val="20"/>
              </w:rPr>
            </w:pPr>
            <w:r w:rsidRPr="003D56F0">
              <w:rPr>
                <w:sz w:val="20"/>
                <w:szCs w:val="20"/>
              </w:rPr>
              <w:t xml:space="preserve">Sensitivity analysis was used to adjust crime cost to account for average yearly cost per young offender who did not receive any custodial sentence to £5,677 from </w:t>
            </w:r>
            <w:r w:rsidR="00055095" w:rsidRPr="003D56F0">
              <w:rPr>
                <w:sz w:val="20"/>
                <w:szCs w:val="20"/>
              </w:rPr>
              <w:fldChar w:fldCharType="begin" w:fldLock="1"/>
            </w:r>
            <w:r w:rsidR="00055095" w:rsidRPr="003D56F0">
              <w:rPr>
                <w:sz w:val="20"/>
                <w:szCs w:val="20"/>
              </w:rPr>
              <w:instrText>ADDIN CSL_CITATION { "citationItems" : [ { "id" : "ITEM-1", "itemData" : { "author" : [ { "dropping-particle" : "", "family" : "National Audit Office", "given" : "", "non-dropping-particle" : "", "parse-names" : false, "suffix" : "" } ], "id" : "ITEM-1", "issue" : "June", "issued" : { "date-parts" : [ [ "2011" ] ] }, "number-of-pages" : "0-36", "title" : "The cost of a cohort of young offenders to the criminal justice system", "type" : "report" }, "uris" : [ "http://www.mendeley.com/documents/?uuid=23d54ffd-b0f0-47df-b28d-f7c517c29447" ] } ], "mendeley" : { "formattedCitation" : "(National Audit Office 2011)", "manualFormatting" : "National Audit Office (2011)", "plainTextFormattedCitation" : "(National Audit Office 2011)", "previouslyFormattedCitation" : "(National Audit Office 2011)" }, "properties" : { "noteIndex" : 0 }, "schema" : "https://github.com/citation-style-language/schema/raw/master/csl-citation.json" }</w:instrText>
            </w:r>
            <w:r w:rsidR="00055095" w:rsidRPr="003D56F0">
              <w:rPr>
                <w:sz w:val="20"/>
                <w:szCs w:val="20"/>
              </w:rPr>
              <w:fldChar w:fldCharType="separate"/>
            </w:r>
            <w:r w:rsidR="00055095" w:rsidRPr="003D56F0">
              <w:rPr>
                <w:noProof/>
                <w:sz w:val="20"/>
                <w:szCs w:val="20"/>
              </w:rPr>
              <w:t>National Audit Office (2011)</w:t>
            </w:r>
            <w:r w:rsidR="00055095" w:rsidRPr="003D56F0">
              <w:rPr>
                <w:sz w:val="20"/>
                <w:szCs w:val="20"/>
              </w:rPr>
              <w:fldChar w:fldCharType="end"/>
            </w:r>
            <w:r w:rsidRPr="003D56F0">
              <w:rPr>
                <w:sz w:val="20"/>
                <w:szCs w:val="20"/>
              </w:rPr>
              <w:t xml:space="preserve">(figure 15) </w:t>
            </w:r>
          </w:p>
        </w:tc>
      </w:tr>
      <w:tr w:rsidR="00CE6D8C" w:rsidRPr="003D56F0" w14:paraId="12091EC4" w14:textId="77777777" w:rsidTr="00CE6D8C">
        <w:trPr>
          <w:trHeight w:val="900"/>
        </w:trPr>
        <w:tc>
          <w:tcPr>
            <w:tcW w:w="1815" w:type="dxa"/>
            <w:tcBorders>
              <w:top w:val="nil"/>
              <w:left w:val="single" w:sz="4" w:space="0" w:color="auto"/>
              <w:bottom w:val="single" w:sz="4" w:space="0" w:color="auto"/>
              <w:right w:val="single" w:sz="4" w:space="0" w:color="auto"/>
            </w:tcBorders>
            <w:shd w:val="clear" w:color="auto" w:fill="auto"/>
          </w:tcPr>
          <w:p w14:paraId="652BFA37" w14:textId="77777777" w:rsidR="00CE6D8C" w:rsidRPr="003D56F0" w:rsidRDefault="00CE6D8C" w:rsidP="003D56F0">
            <w:pPr>
              <w:rPr>
                <w:sz w:val="20"/>
                <w:szCs w:val="20"/>
              </w:rPr>
            </w:pPr>
            <w:r w:rsidRPr="003D56F0">
              <w:rPr>
                <w:sz w:val="20"/>
                <w:szCs w:val="20"/>
              </w:rPr>
              <w:t xml:space="preserve">Number of cannabis offences per 1000 cannabis users in the UK </w:t>
            </w:r>
          </w:p>
        </w:tc>
        <w:tc>
          <w:tcPr>
            <w:tcW w:w="1317" w:type="dxa"/>
            <w:tcBorders>
              <w:top w:val="nil"/>
              <w:left w:val="nil"/>
              <w:bottom w:val="single" w:sz="4" w:space="0" w:color="auto"/>
              <w:right w:val="single" w:sz="4" w:space="0" w:color="auto"/>
            </w:tcBorders>
            <w:shd w:val="clear" w:color="auto" w:fill="auto"/>
            <w:noWrap/>
          </w:tcPr>
          <w:p w14:paraId="632AF369" w14:textId="77777777" w:rsidR="00CE6D8C" w:rsidRPr="003D56F0" w:rsidRDefault="00CE6D8C" w:rsidP="003D56F0">
            <w:pPr>
              <w:rPr>
                <w:sz w:val="20"/>
                <w:szCs w:val="20"/>
              </w:rPr>
            </w:pPr>
            <w:r w:rsidRPr="003D56F0">
              <w:rPr>
                <w:sz w:val="20"/>
                <w:szCs w:val="20"/>
              </w:rPr>
              <w:t xml:space="preserve">50.27 </w:t>
            </w:r>
          </w:p>
        </w:tc>
        <w:tc>
          <w:tcPr>
            <w:tcW w:w="6110" w:type="dxa"/>
            <w:tcBorders>
              <w:top w:val="nil"/>
              <w:left w:val="nil"/>
              <w:bottom w:val="single" w:sz="4" w:space="0" w:color="auto"/>
              <w:right w:val="single" w:sz="4" w:space="0" w:color="auto"/>
            </w:tcBorders>
            <w:shd w:val="clear" w:color="auto" w:fill="auto"/>
            <w:vAlign w:val="bottom"/>
          </w:tcPr>
          <w:p w14:paraId="01C8DE69" w14:textId="77777777" w:rsidR="00CE6D8C" w:rsidRPr="003D56F0" w:rsidRDefault="00CE6D8C" w:rsidP="003D56F0">
            <w:pPr>
              <w:rPr>
                <w:sz w:val="20"/>
                <w:szCs w:val="20"/>
              </w:rPr>
            </w:pPr>
            <w:r w:rsidRPr="003D56F0">
              <w:rPr>
                <w:sz w:val="20"/>
                <w:szCs w:val="20"/>
              </w:rPr>
              <w:t>Based on data for all drug offences in England and Wales (2014-2015) and  possession of cannabis offences of all police recorded drug offences from Office for National Statistics</w:t>
            </w:r>
          </w:p>
        </w:tc>
      </w:tr>
      <w:tr w:rsidR="00CE6D8C" w:rsidRPr="003D56F0" w14:paraId="53E9A4F6" w14:textId="77777777" w:rsidTr="00CE6D8C">
        <w:trPr>
          <w:trHeight w:val="900"/>
        </w:trPr>
        <w:tc>
          <w:tcPr>
            <w:tcW w:w="1815" w:type="dxa"/>
            <w:tcBorders>
              <w:top w:val="nil"/>
              <w:left w:val="single" w:sz="4" w:space="0" w:color="auto"/>
              <w:bottom w:val="single" w:sz="4" w:space="0" w:color="auto"/>
              <w:right w:val="single" w:sz="4" w:space="0" w:color="auto"/>
            </w:tcBorders>
            <w:shd w:val="clear" w:color="auto" w:fill="auto"/>
          </w:tcPr>
          <w:p w14:paraId="02EDF6AA" w14:textId="77777777" w:rsidR="00CE6D8C" w:rsidRPr="003D56F0" w:rsidRDefault="00CE6D8C" w:rsidP="003D56F0">
            <w:pPr>
              <w:rPr>
                <w:sz w:val="20"/>
                <w:szCs w:val="20"/>
              </w:rPr>
            </w:pPr>
            <w:r w:rsidRPr="003D56F0">
              <w:rPr>
                <w:sz w:val="20"/>
                <w:szCs w:val="20"/>
              </w:rPr>
              <w:t xml:space="preserve">Total costs of cannabis road traffic accidents (Not included in base case scenario, only as </w:t>
            </w:r>
            <w:r w:rsidRPr="003D56F0">
              <w:rPr>
                <w:sz w:val="20"/>
                <w:szCs w:val="20"/>
              </w:rPr>
              <w:lastRenderedPageBreak/>
              <w:t>a separate scenario)</w:t>
            </w:r>
          </w:p>
        </w:tc>
        <w:tc>
          <w:tcPr>
            <w:tcW w:w="1317" w:type="dxa"/>
            <w:tcBorders>
              <w:top w:val="nil"/>
              <w:left w:val="nil"/>
              <w:bottom w:val="single" w:sz="4" w:space="0" w:color="auto"/>
              <w:right w:val="single" w:sz="4" w:space="0" w:color="auto"/>
            </w:tcBorders>
            <w:shd w:val="clear" w:color="auto" w:fill="auto"/>
            <w:noWrap/>
          </w:tcPr>
          <w:p w14:paraId="7E1C7760" w14:textId="77777777" w:rsidR="00CE6D8C" w:rsidRPr="003D56F0" w:rsidRDefault="00CE6D8C" w:rsidP="003D56F0">
            <w:pPr>
              <w:rPr>
                <w:sz w:val="20"/>
                <w:szCs w:val="20"/>
              </w:rPr>
            </w:pPr>
            <w:r w:rsidRPr="003D56F0">
              <w:rPr>
                <w:sz w:val="20"/>
                <w:szCs w:val="20"/>
              </w:rPr>
              <w:lastRenderedPageBreak/>
              <w:t xml:space="preserve">£95.98 per cannabis </w:t>
            </w:r>
            <w:r w:rsidRPr="003D56F0">
              <w:rPr>
                <w:sz w:val="20"/>
                <w:szCs w:val="20"/>
              </w:rPr>
              <w:br/>
              <w:t>user</w:t>
            </w:r>
          </w:p>
        </w:tc>
        <w:tc>
          <w:tcPr>
            <w:tcW w:w="6110" w:type="dxa"/>
            <w:tcBorders>
              <w:top w:val="nil"/>
              <w:left w:val="nil"/>
              <w:bottom w:val="single" w:sz="4" w:space="0" w:color="auto"/>
              <w:right w:val="single" w:sz="4" w:space="0" w:color="auto"/>
            </w:tcBorders>
            <w:shd w:val="clear" w:color="auto" w:fill="auto"/>
          </w:tcPr>
          <w:p w14:paraId="251C90BF" w14:textId="77777777" w:rsidR="00CE6D8C" w:rsidRPr="003D56F0" w:rsidRDefault="00CE6D8C" w:rsidP="003D56F0">
            <w:pPr>
              <w:rPr>
                <w:sz w:val="20"/>
                <w:szCs w:val="20"/>
              </w:rPr>
            </w:pPr>
            <w:r w:rsidRPr="003D56F0">
              <w:rPr>
                <w:sz w:val="20"/>
                <w:szCs w:val="20"/>
              </w:rPr>
              <w:t>Based on total cost of cannabis road traffic accidents from Bryan et al. Licensing and regulation of the cannabis market in England and Wales: Towards a cost-benefit analysis. 2013.</w:t>
            </w:r>
          </w:p>
        </w:tc>
      </w:tr>
      <w:tr w:rsidR="00CE6D8C" w:rsidRPr="003D56F0" w14:paraId="5E50BE74" w14:textId="77777777" w:rsidTr="00CE6D8C">
        <w:trPr>
          <w:trHeight w:val="900"/>
        </w:trPr>
        <w:tc>
          <w:tcPr>
            <w:tcW w:w="1815" w:type="dxa"/>
            <w:tcBorders>
              <w:top w:val="nil"/>
              <w:left w:val="single" w:sz="4" w:space="0" w:color="auto"/>
              <w:bottom w:val="single" w:sz="4" w:space="0" w:color="auto"/>
              <w:right w:val="single" w:sz="4" w:space="0" w:color="auto"/>
            </w:tcBorders>
            <w:shd w:val="clear" w:color="auto" w:fill="auto"/>
          </w:tcPr>
          <w:p w14:paraId="456A4656" w14:textId="77777777" w:rsidR="00CE6D8C" w:rsidRPr="003D56F0" w:rsidRDefault="00CE6D8C" w:rsidP="003D56F0">
            <w:pPr>
              <w:rPr>
                <w:sz w:val="20"/>
                <w:szCs w:val="20"/>
              </w:rPr>
            </w:pPr>
            <w:r w:rsidRPr="003D56F0">
              <w:rPr>
                <w:sz w:val="20"/>
                <w:szCs w:val="20"/>
              </w:rPr>
              <w:lastRenderedPageBreak/>
              <w:t>Total social costs per user per year</w:t>
            </w:r>
          </w:p>
        </w:tc>
        <w:tc>
          <w:tcPr>
            <w:tcW w:w="1317" w:type="dxa"/>
            <w:tcBorders>
              <w:top w:val="nil"/>
              <w:left w:val="nil"/>
              <w:bottom w:val="single" w:sz="4" w:space="0" w:color="auto"/>
              <w:right w:val="single" w:sz="4" w:space="0" w:color="auto"/>
            </w:tcBorders>
            <w:shd w:val="clear" w:color="auto" w:fill="auto"/>
            <w:noWrap/>
          </w:tcPr>
          <w:p w14:paraId="19192A56" w14:textId="77777777" w:rsidR="00CE6D8C" w:rsidRPr="003D56F0" w:rsidRDefault="00CE6D8C" w:rsidP="003D56F0">
            <w:pPr>
              <w:rPr>
                <w:sz w:val="20"/>
                <w:szCs w:val="20"/>
              </w:rPr>
            </w:pPr>
            <w:r w:rsidRPr="003D56F0">
              <w:rPr>
                <w:sz w:val="20"/>
                <w:szCs w:val="20"/>
              </w:rPr>
              <w:t>£452</w:t>
            </w:r>
          </w:p>
        </w:tc>
        <w:tc>
          <w:tcPr>
            <w:tcW w:w="6110" w:type="dxa"/>
            <w:tcBorders>
              <w:top w:val="nil"/>
              <w:left w:val="nil"/>
              <w:bottom w:val="single" w:sz="4" w:space="0" w:color="auto"/>
              <w:right w:val="single" w:sz="4" w:space="0" w:color="auto"/>
            </w:tcBorders>
            <w:shd w:val="clear" w:color="auto" w:fill="auto"/>
          </w:tcPr>
          <w:p w14:paraId="7579D797" w14:textId="77777777" w:rsidR="00CE6D8C" w:rsidRPr="003D56F0" w:rsidRDefault="00CE6D8C" w:rsidP="003D56F0">
            <w:pPr>
              <w:rPr>
                <w:sz w:val="20"/>
                <w:szCs w:val="20"/>
              </w:rPr>
            </w:pPr>
            <w:r w:rsidRPr="003D56F0">
              <w:rPr>
                <w:sz w:val="20"/>
                <w:szCs w:val="20"/>
              </w:rPr>
              <w:t>Summed from above</w:t>
            </w:r>
          </w:p>
        </w:tc>
      </w:tr>
      <w:tr w:rsidR="00CE6D8C" w:rsidRPr="003D56F0" w14:paraId="64AF1BF4" w14:textId="77777777" w:rsidTr="00CE6D8C">
        <w:trPr>
          <w:trHeight w:val="900"/>
        </w:trPr>
        <w:tc>
          <w:tcPr>
            <w:tcW w:w="1815" w:type="dxa"/>
            <w:tcBorders>
              <w:top w:val="nil"/>
              <w:left w:val="single" w:sz="4" w:space="0" w:color="auto"/>
              <w:bottom w:val="single" w:sz="4" w:space="0" w:color="auto"/>
              <w:right w:val="single" w:sz="4" w:space="0" w:color="auto"/>
            </w:tcBorders>
            <w:shd w:val="clear" w:color="auto" w:fill="auto"/>
          </w:tcPr>
          <w:p w14:paraId="5AA7590E" w14:textId="77777777" w:rsidR="00CE6D8C" w:rsidRPr="003D56F0" w:rsidRDefault="00CE6D8C" w:rsidP="003D56F0">
            <w:pPr>
              <w:rPr>
                <w:sz w:val="20"/>
                <w:szCs w:val="20"/>
              </w:rPr>
            </w:pPr>
            <w:r w:rsidRPr="003D56F0">
              <w:rPr>
                <w:sz w:val="20"/>
                <w:szCs w:val="20"/>
              </w:rPr>
              <w:t>Total QALYs lost per user per year</w:t>
            </w:r>
          </w:p>
        </w:tc>
        <w:tc>
          <w:tcPr>
            <w:tcW w:w="1317" w:type="dxa"/>
            <w:tcBorders>
              <w:top w:val="nil"/>
              <w:left w:val="nil"/>
              <w:bottom w:val="single" w:sz="4" w:space="0" w:color="auto"/>
              <w:right w:val="single" w:sz="4" w:space="0" w:color="auto"/>
            </w:tcBorders>
            <w:shd w:val="clear" w:color="auto" w:fill="auto"/>
            <w:noWrap/>
          </w:tcPr>
          <w:p w14:paraId="61106405" w14:textId="77777777" w:rsidR="00CE6D8C" w:rsidRPr="003D56F0" w:rsidRDefault="00CE6D8C" w:rsidP="003D56F0">
            <w:pPr>
              <w:rPr>
                <w:sz w:val="20"/>
                <w:szCs w:val="20"/>
              </w:rPr>
            </w:pPr>
            <w:r w:rsidRPr="003D56F0">
              <w:rPr>
                <w:sz w:val="20"/>
                <w:szCs w:val="20"/>
              </w:rPr>
              <w:t xml:space="preserve">0.0010 </w:t>
            </w:r>
          </w:p>
        </w:tc>
        <w:tc>
          <w:tcPr>
            <w:tcW w:w="6110" w:type="dxa"/>
            <w:tcBorders>
              <w:top w:val="nil"/>
              <w:left w:val="nil"/>
              <w:bottom w:val="single" w:sz="4" w:space="0" w:color="auto"/>
              <w:right w:val="single" w:sz="4" w:space="0" w:color="auto"/>
            </w:tcBorders>
            <w:shd w:val="clear" w:color="auto" w:fill="auto"/>
          </w:tcPr>
          <w:p w14:paraId="4CDA1046" w14:textId="77777777" w:rsidR="00CE6D8C" w:rsidRPr="003D56F0" w:rsidRDefault="00CE6D8C" w:rsidP="003D56F0">
            <w:pPr>
              <w:rPr>
                <w:sz w:val="20"/>
                <w:szCs w:val="20"/>
              </w:rPr>
            </w:pPr>
            <w:r w:rsidRPr="003D56F0">
              <w:rPr>
                <w:sz w:val="20"/>
                <w:szCs w:val="20"/>
              </w:rPr>
              <w:t>Summed from above</w:t>
            </w:r>
          </w:p>
        </w:tc>
      </w:tr>
    </w:tbl>
    <w:p w14:paraId="43A639CC" w14:textId="77777777" w:rsidR="00F56C53" w:rsidRPr="003D56F0" w:rsidRDefault="00F56C53" w:rsidP="00CC7EC2">
      <w:pPr>
        <w:rPr>
          <w:sz w:val="20"/>
          <w:szCs w:val="20"/>
        </w:rPr>
      </w:pPr>
    </w:p>
    <w:p w14:paraId="4C119601" w14:textId="77777777" w:rsidR="00F56C53" w:rsidRPr="003D56F0" w:rsidRDefault="00F56C53" w:rsidP="00AD2788">
      <w:pPr>
        <w:rPr>
          <w:sz w:val="20"/>
          <w:szCs w:val="20"/>
          <w:lang w:val="en-US"/>
        </w:rPr>
      </w:pPr>
    </w:p>
    <w:p w14:paraId="59B47356" w14:textId="2E26874B" w:rsidR="00F56C53" w:rsidRPr="003D56F0" w:rsidRDefault="0060664A">
      <w:pPr>
        <w:pStyle w:val="Heading4"/>
        <w:rPr>
          <w:sz w:val="20"/>
          <w:szCs w:val="20"/>
        </w:rPr>
      </w:pPr>
      <w:r w:rsidRPr="003D56F0">
        <w:rPr>
          <w:sz w:val="20"/>
          <w:szCs w:val="20"/>
        </w:rPr>
        <w:t>Sensitivity Analysis Parameters</w:t>
      </w:r>
    </w:p>
    <w:p w14:paraId="73D846AB" w14:textId="77777777" w:rsidR="008327CD" w:rsidRPr="003D56F0" w:rsidRDefault="008327CD">
      <w:pPr>
        <w:rPr>
          <w:sz w:val="20"/>
          <w:szCs w:val="20"/>
        </w:rPr>
      </w:pPr>
    </w:p>
    <w:tbl>
      <w:tblPr>
        <w:tblW w:w="44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26"/>
        <w:gridCol w:w="1273"/>
        <w:gridCol w:w="1276"/>
        <w:gridCol w:w="1133"/>
      </w:tblGrid>
      <w:tr w:rsidR="0060664A" w:rsidRPr="003D56F0" w14:paraId="02474402" w14:textId="77777777" w:rsidTr="00CF40BF">
        <w:trPr>
          <w:trHeight w:val="663"/>
        </w:trPr>
        <w:tc>
          <w:tcPr>
            <w:tcW w:w="2729" w:type="pct"/>
            <w:shd w:val="clear" w:color="auto" w:fill="auto"/>
            <w:noWrap/>
            <w:tcMar>
              <w:top w:w="28" w:type="dxa"/>
              <w:left w:w="28" w:type="dxa"/>
              <w:bottom w:w="28" w:type="dxa"/>
              <w:right w:w="28" w:type="dxa"/>
            </w:tcMar>
            <w:hideMark/>
          </w:tcPr>
          <w:p w14:paraId="0DFEA461" w14:textId="77777777" w:rsidR="0060664A" w:rsidRPr="003D56F0" w:rsidRDefault="0060664A" w:rsidP="003D56F0">
            <w:pPr>
              <w:rPr>
                <w:sz w:val="20"/>
                <w:szCs w:val="20"/>
              </w:rPr>
            </w:pPr>
            <w:r w:rsidRPr="003D56F0">
              <w:rPr>
                <w:sz w:val="20"/>
                <w:szCs w:val="20"/>
              </w:rPr>
              <w:t>Variable description</w:t>
            </w:r>
          </w:p>
        </w:tc>
        <w:tc>
          <w:tcPr>
            <w:tcW w:w="785" w:type="pct"/>
            <w:shd w:val="clear" w:color="auto" w:fill="auto"/>
            <w:noWrap/>
            <w:tcMar>
              <w:top w:w="28" w:type="dxa"/>
              <w:left w:w="28" w:type="dxa"/>
              <w:bottom w:w="28" w:type="dxa"/>
              <w:right w:w="28" w:type="dxa"/>
            </w:tcMar>
            <w:hideMark/>
          </w:tcPr>
          <w:p w14:paraId="7CF4E730" w14:textId="77777777" w:rsidR="0060664A" w:rsidRPr="003D56F0" w:rsidRDefault="0060664A" w:rsidP="003D56F0">
            <w:pPr>
              <w:rPr>
                <w:sz w:val="20"/>
                <w:szCs w:val="20"/>
              </w:rPr>
            </w:pPr>
            <w:r w:rsidRPr="003D56F0">
              <w:rPr>
                <w:sz w:val="20"/>
                <w:szCs w:val="20"/>
              </w:rPr>
              <w:t>Parameters</w:t>
            </w:r>
          </w:p>
        </w:tc>
        <w:tc>
          <w:tcPr>
            <w:tcW w:w="787" w:type="pct"/>
            <w:shd w:val="clear" w:color="auto" w:fill="auto"/>
            <w:noWrap/>
            <w:tcMar>
              <w:top w:w="28" w:type="dxa"/>
              <w:left w:w="28" w:type="dxa"/>
              <w:bottom w:w="28" w:type="dxa"/>
              <w:right w:w="28" w:type="dxa"/>
            </w:tcMar>
            <w:hideMark/>
          </w:tcPr>
          <w:p w14:paraId="5A56275A" w14:textId="77777777" w:rsidR="0060664A" w:rsidRPr="003D56F0" w:rsidRDefault="0060664A" w:rsidP="003D56F0">
            <w:pPr>
              <w:rPr>
                <w:sz w:val="20"/>
                <w:szCs w:val="20"/>
              </w:rPr>
            </w:pPr>
            <w:r w:rsidRPr="003D56F0">
              <w:rPr>
                <w:sz w:val="20"/>
                <w:szCs w:val="20"/>
              </w:rPr>
              <w:t xml:space="preserve">Low </w:t>
            </w:r>
          </w:p>
        </w:tc>
        <w:tc>
          <w:tcPr>
            <w:tcW w:w="699" w:type="pct"/>
            <w:shd w:val="clear" w:color="auto" w:fill="auto"/>
            <w:noWrap/>
            <w:tcMar>
              <w:top w:w="28" w:type="dxa"/>
              <w:left w:w="28" w:type="dxa"/>
              <w:bottom w:w="28" w:type="dxa"/>
              <w:right w:w="28" w:type="dxa"/>
            </w:tcMar>
            <w:hideMark/>
          </w:tcPr>
          <w:p w14:paraId="36309EC2" w14:textId="77777777" w:rsidR="0060664A" w:rsidRPr="003D56F0" w:rsidRDefault="0060664A" w:rsidP="003D56F0">
            <w:pPr>
              <w:rPr>
                <w:sz w:val="20"/>
                <w:szCs w:val="20"/>
              </w:rPr>
            </w:pPr>
            <w:r w:rsidRPr="003D56F0">
              <w:rPr>
                <w:sz w:val="20"/>
                <w:szCs w:val="20"/>
              </w:rPr>
              <w:t>High</w:t>
            </w:r>
          </w:p>
        </w:tc>
      </w:tr>
      <w:tr w:rsidR="00EB1785" w:rsidRPr="003D56F0" w14:paraId="0BC26FDF" w14:textId="77777777" w:rsidTr="00CF40BF">
        <w:trPr>
          <w:trHeight w:val="300"/>
        </w:trPr>
        <w:tc>
          <w:tcPr>
            <w:tcW w:w="2729" w:type="pct"/>
            <w:shd w:val="clear" w:color="auto" w:fill="auto"/>
            <w:noWrap/>
            <w:tcMar>
              <w:top w:w="28" w:type="dxa"/>
              <w:left w:w="28" w:type="dxa"/>
              <w:bottom w:w="28" w:type="dxa"/>
              <w:right w:w="28" w:type="dxa"/>
            </w:tcMar>
            <w:vAlign w:val="bottom"/>
          </w:tcPr>
          <w:p w14:paraId="614E5808" w14:textId="4616A783" w:rsidR="00EB1785" w:rsidRPr="003D56F0" w:rsidRDefault="00EB1785" w:rsidP="003D56F0">
            <w:pPr>
              <w:rPr>
                <w:sz w:val="20"/>
                <w:szCs w:val="20"/>
              </w:rPr>
            </w:pPr>
            <w:r w:rsidRPr="003D56F0">
              <w:rPr>
                <w:sz w:val="20"/>
                <w:szCs w:val="20"/>
              </w:rPr>
              <w:t>Psychosis among regular cannabis users (assume causal relationship)</w:t>
            </w:r>
          </w:p>
        </w:tc>
        <w:tc>
          <w:tcPr>
            <w:tcW w:w="785" w:type="pct"/>
            <w:shd w:val="clear" w:color="auto" w:fill="auto"/>
            <w:noWrap/>
            <w:tcMar>
              <w:top w:w="28" w:type="dxa"/>
              <w:left w:w="28" w:type="dxa"/>
              <w:bottom w:w="28" w:type="dxa"/>
              <w:right w:w="28" w:type="dxa"/>
            </w:tcMar>
            <w:vAlign w:val="bottom"/>
          </w:tcPr>
          <w:p w14:paraId="15940666" w14:textId="6E251977" w:rsidR="00EB1785" w:rsidRPr="003D56F0" w:rsidRDefault="00EB1785" w:rsidP="003D56F0">
            <w:pPr>
              <w:rPr>
                <w:rFonts w:eastAsia="Times New Roman"/>
                <w:color w:val="000000"/>
                <w:sz w:val="20"/>
                <w:szCs w:val="20"/>
              </w:rPr>
            </w:pPr>
            <w:r w:rsidRPr="003D56F0">
              <w:rPr>
                <w:sz w:val="20"/>
                <w:szCs w:val="20"/>
              </w:rPr>
              <w:t>0.014</w:t>
            </w:r>
          </w:p>
        </w:tc>
        <w:tc>
          <w:tcPr>
            <w:tcW w:w="787" w:type="pct"/>
            <w:shd w:val="clear" w:color="auto" w:fill="auto"/>
            <w:noWrap/>
            <w:tcMar>
              <w:top w:w="28" w:type="dxa"/>
              <w:left w:w="28" w:type="dxa"/>
              <w:bottom w:w="28" w:type="dxa"/>
              <w:right w:w="28" w:type="dxa"/>
            </w:tcMar>
            <w:vAlign w:val="bottom"/>
          </w:tcPr>
          <w:p w14:paraId="6AC62236" w14:textId="1F5CD768" w:rsidR="00EB1785" w:rsidRPr="003D56F0" w:rsidRDefault="00EB1785" w:rsidP="003D56F0">
            <w:pPr>
              <w:rPr>
                <w:rFonts w:eastAsia="Times New Roman"/>
                <w:color w:val="000000"/>
                <w:sz w:val="20"/>
                <w:szCs w:val="20"/>
              </w:rPr>
            </w:pPr>
            <w:r w:rsidRPr="003D56F0">
              <w:rPr>
                <w:sz w:val="20"/>
                <w:szCs w:val="20"/>
              </w:rPr>
              <w:t>0.011</w:t>
            </w:r>
          </w:p>
        </w:tc>
        <w:tc>
          <w:tcPr>
            <w:tcW w:w="699" w:type="pct"/>
            <w:shd w:val="clear" w:color="auto" w:fill="auto"/>
            <w:noWrap/>
            <w:tcMar>
              <w:top w:w="28" w:type="dxa"/>
              <w:left w:w="28" w:type="dxa"/>
              <w:bottom w:w="28" w:type="dxa"/>
              <w:right w:w="28" w:type="dxa"/>
            </w:tcMar>
            <w:vAlign w:val="bottom"/>
          </w:tcPr>
          <w:p w14:paraId="4E1B636F" w14:textId="47C07125" w:rsidR="00EB1785" w:rsidRPr="003D56F0" w:rsidRDefault="00EB1785" w:rsidP="003D56F0">
            <w:pPr>
              <w:rPr>
                <w:rFonts w:eastAsia="Times New Roman"/>
                <w:color w:val="000000"/>
                <w:sz w:val="20"/>
                <w:szCs w:val="20"/>
              </w:rPr>
            </w:pPr>
            <w:r w:rsidRPr="003D56F0">
              <w:rPr>
                <w:sz w:val="20"/>
                <w:szCs w:val="20"/>
              </w:rPr>
              <w:t>0.018</w:t>
            </w:r>
          </w:p>
        </w:tc>
      </w:tr>
      <w:tr w:rsidR="00EB1785" w:rsidRPr="003D56F0" w14:paraId="0BEBEB02" w14:textId="77777777" w:rsidTr="00CF40BF">
        <w:trPr>
          <w:trHeight w:val="300"/>
        </w:trPr>
        <w:tc>
          <w:tcPr>
            <w:tcW w:w="2729" w:type="pct"/>
            <w:shd w:val="clear" w:color="auto" w:fill="auto"/>
            <w:noWrap/>
            <w:tcMar>
              <w:top w:w="28" w:type="dxa"/>
              <w:left w:w="28" w:type="dxa"/>
              <w:bottom w:w="28" w:type="dxa"/>
              <w:right w:w="28" w:type="dxa"/>
            </w:tcMar>
            <w:vAlign w:val="bottom"/>
          </w:tcPr>
          <w:p w14:paraId="3D4A699F" w14:textId="204ED202" w:rsidR="00EB1785" w:rsidRPr="003D56F0" w:rsidRDefault="00EB1785" w:rsidP="003D56F0">
            <w:pPr>
              <w:rPr>
                <w:rFonts w:eastAsia="Times New Roman"/>
                <w:color w:val="000000"/>
                <w:sz w:val="20"/>
                <w:szCs w:val="20"/>
              </w:rPr>
            </w:pPr>
            <w:r w:rsidRPr="003D56F0">
              <w:rPr>
                <w:sz w:val="20"/>
                <w:szCs w:val="20"/>
              </w:rPr>
              <w:t>Average cost of Familias Unidas</w:t>
            </w:r>
          </w:p>
        </w:tc>
        <w:tc>
          <w:tcPr>
            <w:tcW w:w="785" w:type="pct"/>
            <w:shd w:val="clear" w:color="auto" w:fill="auto"/>
            <w:noWrap/>
            <w:tcMar>
              <w:top w:w="28" w:type="dxa"/>
              <w:left w:w="28" w:type="dxa"/>
              <w:bottom w:w="28" w:type="dxa"/>
              <w:right w:w="28" w:type="dxa"/>
            </w:tcMar>
            <w:vAlign w:val="bottom"/>
          </w:tcPr>
          <w:p w14:paraId="6AC2C7A9" w14:textId="001C5022" w:rsidR="00EB1785" w:rsidRPr="003D56F0" w:rsidRDefault="00510C97" w:rsidP="003D56F0">
            <w:pPr>
              <w:rPr>
                <w:rFonts w:eastAsia="Times New Roman"/>
                <w:color w:val="000000"/>
                <w:sz w:val="20"/>
                <w:szCs w:val="20"/>
              </w:rPr>
            </w:pPr>
            <w:r w:rsidRPr="003D56F0">
              <w:rPr>
                <w:sz w:val="20"/>
                <w:szCs w:val="20"/>
              </w:rPr>
              <w:t>£</w:t>
            </w:r>
            <w:r w:rsidR="00EB1785" w:rsidRPr="003D56F0">
              <w:rPr>
                <w:sz w:val="20"/>
                <w:szCs w:val="20"/>
              </w:rPr>
              <w:t>154</w:t>
            </w:r>
          </w:p>
        </w:tc>
        <w:tc>
          <w:tcPr>
            <w:tcW w:w="787" w:type="pct"/>
            <w:shd w:val="clear" w:color="auto" w:fill="auto"/>
            <w:noWrap/>
            <w:tcMar>
              <w:top w:w="28" w:type="dxa"/>
              <w:left w:w="28" w:type="dxa"/>
              <w:bottom w:w="28" w:type="dxa"/>
              <w:right w:w="28" w:type="dxa"/>
            </w:tcMar>
            <w:vAlign w:val="bottom"/>
          </w:tcPr>
          <w:p w14:paraId="4D728280" w14:textId="066877E9" w:rsidR="00EB1785" w:rsidRPr="003D56F0" w:rsidRDefault="00510C97" w:rsidP="003D56F0">
            <w:pPr>
              <w:rPr>
                <w:rFonts w:eastAsia="Times New Roman"/>
                <w:color w:val="000000"/>
                <w:sz w:val="20"/>
                <w:szCs w:val="20"/>
              </w:rPr>
            </w:pPr>
            <w:r w:rsidRPr="003D56F0">
              <w:rPr>
                <w:sz w:val="20"/>
                <w:szCs w:val="20"/>
              </w:rPr>
              <w:t>£116</w:t>
            </w:r>
          </w:p>
        </w:tc>
        <w:tc>
          <w:tcPr>
            <w:tcW w:w="699" w:type="pct"/>
            <w:shd w:val="clear" w:color="auto" w:fill="auto"/>
            <w:noWrap/>
            <w:tcMar>
              <w:top w:w="28" w:type="dxa"/>
              <w:left w:w="28" w:type="dxa"/>
              <w:bottom w:w="28" w:type="dxa"/>
              <w:right w:w="28" w:type="dxa"/>
            </w:tcMar>
            <w:vAlign w:val="bottom"/>
          </w:tcPr>
          <w:p w14:paraId="3D0535C0" w14:textId="70CCE93A" w:rsidR="00EB1785" w:rsidRPr="003D56F0" w:rsidRDefault="00510C97" w:rsidP="003D56F0">
            <w:pPr>
              <w:rPr>
                <w:rFonts w:eastAsia="Times New Roman"/>
                <w:color w:val="000000"/>
                <w:sz w:val="20"/>
                <w:szCs w:val="20"/>
              </w:rPr>
            </w:pPr>
            <w:r w:rsidRPr="003D56F0">
              <w:rPr>
                <w:sz w:val="20"/>
                <w:szCs w:val="20"/>
              </w:rPr>
              <w:t>£193</w:t>
            </w:r>
          </w:p>
        </w:tc>
      </w:tr>
      <w:tr w:rsidR="00EB1785" w:rsidRPr="003D56F0" w14:paraId="6CD218CA" w14:textId="77777777" w:rsidTr="00CF40BF">
        <w:trPr>
          <w:trHeight w:val="300"/>
        </w:trPr>
        <w:tc>
          <w:tcPr>
            <w:tcW w:w="2729" w:type="pct"/>
            <w:shd w:val="clear" w:color="auto" w:fill="auto"/>
            <w:noWrap/>
            <w:tcMar>
              <w:top w:w="28" w:type="dxa"/>
              <w:left w:w="28" w:type="dxa"/>
              <w:bottom w:w="28" w:type="dxa"/>
              <w:right w:w="28" w:type="dxa"/>
            </w:tcMar>
            <w:vAlign w:val="bottom"/>
          </w:tcPr>
          <w:p w14:paraId="74A3608C" w14:textId="1D07988B" w:rsidR="00EB1785" w:rsidRPr="003D56F0" w:rsidRDefault="00EB1785" w:rsidP="003D56F0">
            <w:pPr>
              <w:rPr>
                <w:rFonts w:eastAsia="Times New Roman"/>
                <w:color w:val="000000"/>
                <w:sz w:val="20"/>
                <w:szCs w:val="20"/>
              </w:rPr>
            </w:pPr>
            <w:r w:rsidRPr="003D56F0">
              <w:rPr>
                <w:sz w:val="20"/>
                <w:szCs w:val="20"/>
              </w:rPr>
              <w:t>Average cost of community based practice (control group)</w:t>
            </w:r>
          </w:p>
        </w:tc>
        <w:tc>
          <w:tcPr>
            <w:tcW w:w="785" w:type="pct"/>
            <w:shd w:val="clear" w:color="auto" w:fill="auto"/>
            <w:noWrap/>
            <w:tcMar>
              <w:top w:w="28" w:type="dxa"/>
              <w:left w:w="28" w:type="dxa"/>
              <w:bottom w:w="28" w:type="dxa"/>
              <w:right w:w="28" w:type="dxa"/>
            </w:tcMar>
            <w:vAlign w:val="bottom"/>
          </w:tcPr>
          <w:p w14:paraId="3ABBDD3C" w14:textId="593AD7C8" w:rsidR="00EB1785" w:rsidRPr="003D56F0" w:rsidRDefault="00510C97" w:rsidP="003D56F0">
            <w:pPr>
              <w:rPr>
                <w:rFonts w:eastAsia="Times New Roman"/>
                <w:color w:val="000000"/>
                <w:sz w:val="20"/>
                <w:szCs w:val="20"/>
              </w:rPr>
            </w:pPr>
            <w:r w:rsidRPr="003D56F0">
              <w:rPr>
                <w:sz w:val="20"/>
                <w:szCs w:val="20"/>
              </w:rPr>
              <w:t>£</w:t>
            </w:r>
            <w:r w:rsidR="00EB1785" w:rsidRPr="003D56F0">
              <w:rPr>
                <w:sz w:val="20"/>
                <w:szCs w:val="20"/>
              </w:rPr>
              <w:t>100</w:t>
            </w:r>
          </w:p>
        </w:tc>
        <w:tc>
          <w:tcPr>
            <w:tcW w:w="787" w:type="pct"/>
            <w:shd w:val="clear" w:color="auto" w:fill="auto"/>
            <w:noWrap/>
            <w:tcMar>
              <w:top w:w="28" w:type="dxa"/>
              <w:left w:w="28" w:type="dxa"/>
              <w:bottom w:w="28" w:type="dxa"/>
              <w:right w:w="28" w:type="dxa"/>
            </w:tcMar>
            <w:vAlign w:val="bottom"/>
          </w:tcPr>
          <w:p w14:paraId="542322BC" w14:textId="4174ECAC" w:rsidR="00EB1785" w:rsidRPr="003D56F0" w:rsidRDefault="00510C97" w:rsidP="003D56F0">
            <w:pPr>
              <w:rPr>
                <w:rFonts w:eastAsia="Times New Roman"/>
                <w:color w:val="000000"/>
                <w:sz w:val="20"/>
                <w:szCs w:val="20"/>
              </w:rPr>
            </w:pPr>
            <w:r w:rsidRPr="003D56F0">
              <w:rPr>
                <w:sz w:val="20"/>
                <w:szCs w:val="20"/>
              </w:rPr>
              <w:t>£</w:t>
            </w:r>
            <w:r w:rsidR="00EB1785" w:rsidRPr="003D56F0">
              <w:rPr>
                <w:sz w:val="20"/>
                <w:szCs w:val="20"/>
              </w:rPr>
              <w:t>75.00</w:t>
            </w:r>
          </w:p>
        </w:tc>
        <w:tc>
          <w:tcPr>
            <w:tcW w:w="699" w:type="pct"/>
            <w:shd w:val="clear" w:color="auto" w:fill="auto"/>
            <w:noWrap/>
            <w:tcMar>
              <w:top w:w="28" w:type="dxa"/>
              <w:left w:w="28" w:type="dxa"/>
              <w:bottom w:w="28" w:type="dxa"/>
              <w:right w:w="28" w:type="dxa"/>
            </w:tcMar>
            <w:vAlign w:val="bottom"/>
          </w:tcPr>
          <w:p w14:paraId="62F85B44" w14:textId="3DA8629E" w:rsidR="00EB1785" w:rsidRPr="003D56F0" w:rsidRDefault="00510C97" w:rsidP="003D56F0">
            <w:pPr>
              <w:rPr>
                <w:rFonts w:eastAsia="Times New Roman"/>
                <w:color w:val="000000"/>
                <w:sz w:val="20"/>
                <w:szCs w:val="20"/>
              </w:rPr>
            </w:pPr>
            <w:r w:rsidRPr="003D56F0">
              <w:rPr>
                <w:sz w:val="20"/>
                <w:szCs w:val="20"/>
              </w:rPr>
              <w:t>£</w:t>
            </w:r>
            <w:r w:rsidR="00EB1785" w:rsidRPr="003D56F0">
              <w:rPr>
                <w:sz w:val="20"/>
                <w:szCs w:val="20"/>
              </w:rPr>
              <w:t>125.00</w:t>
            </w:r>
          </w:p>
        </w:tc>
      </w:tr>
      <w:tr w:rsidR="00EB1785" w:rsidRPr="003D56F0" w14:paraId="3A1B11A0" w14:textId="77777777" w:rsidTr="00CF40BF">
        <w:trPr>
          <w:trHeight w:val="300"/>
        </w:trPr>
        <w:tc>
          <w:tcPr>
            <w:tcW w:w="2729" w:type="pct"/>
            <w:shd w:val="clear" w:color="auto" w:fill="auto"/>
            <w:noWrap/>
            <w:tcMar>
              <w:top w:w="28" w:type="dxa"/>
              <w:left w:w="28" w:type="dxa"/>
              <w:bottom w:w="28" w:type="dxa"/>
              <w:right w:w="28" w:type="dxa"/>
            </w:tcMar>
            <w:vAlign w:val="bottom"/>
          </w:tcPr>
          <w:p w14:paraId="530DFC76" w14:textId="7205C1E6" w:rsidR="00EB1785" w:rsidRPr="003D56F0" w:rsidRDefault="00EB1785" w:rsidP="003D56F0">
            <w:pPr>
              <w:rPr>
                <w:rFonts w:eastAsia="Times New Roman"/>
                <w:color w:val="000000"/>
                <w:sz w:val="20"/>
                <w:szCs w:val="20"/>
              </w:rPr>
            </w:pPr>
            <w:r w:rsidRPr="003D56F0">
              <w:rPr>
                <w:sz w:val="20"/>
                <w:szCs w:val="20"/>
              </w:rPr>
              <w:t>Proportion of individuals with high parental stress using cannabis (baseline/intervention)</w:t>
            </w:r>
          </w:p>
        </w:tc>
        <w:tc>
          <w:tcPr>
            <w:tcW w:w="785" w:type="pct"/>
            <w:shd w:val="clear" w:color="auto" w:fill="auto"/>
            <w:noWrap/>
            <w:tcMar>
              <w:top w:w="28" w:type="dxa"/>
              <w:left w:w="28" w:type="dxa"/>
              <w:bottom w:w="28" w:type="dxa"/>
              <w:right w:w="28" w:type="dxa"/>
            </w:tcMar>
            <w:vAlign w:val="bottom"/>
          </w:tcPr>
          <w:p w14:paraId="5A9B171A" w14:textId="156E25A3" w:rsidR="00EB1785" w:rsidRPr="003D56F0" w:rsidRDefault="00EB1785" w:rsidP="003D56F0">
            <w:pPr>
              <w:rPr>
                <w:rFonts w:eastAsia="Times New Roman"/>
                <w:color w:val="000000"/>
                <w:sz w:val="20"/>
                <w:szCs w:val="20"/>
              </w:rPr>
            </w:pPr>
            <w:r w:rsidRPr="003D56F0">
              <w:rPr>
                <w:sz w:val="20"/>
                <w:szCs w:val="20"/>
              </w:rPr>
              <w:t>0.27</w:t>
            </w:r>
          </w:p>
        </w:tc>
        <w:tc>
          <w:tcPr>
            <w:tcW w:w="787" w:type="pct"/>
            <w:shd w:val="clear" w:color="auto" w:fill="auto"/>
            <w:noWrap/>
            <w:tcMar>
              <w:top w:w="28" w:type="dxa"/>
              <w:left w:w="28" w:type="dxa"/>
              <w:bottom w:w="28" w:type="dxa"/>
              <w:right w:w="28" w:type="dxa"/>
            </w:tcMar>
            <w:vAlign w:val="bottom"/>
          </w:tcPr>
          <w:p w14:paraId="0AD2314A" w14:textId="1FAA3217" w:rsidR="00EB1785" w:rsidRPr="003D56F0" w:rsidRDefault="00EB1785" w:rsidP="003D56F0">
            <w:pPr>
              <w:rPr>
                <w:rFonts w:eastAsia="Times New Roman"/>
                <w:color w:val="000000"/>
                <w:sz w:val="20"/>
                <w:szCs w:val="20"/>
              </w:rPr>
            </w:pPr>
            <w:r w:rsidRPr="003D56F0">
              <w:rPr>
                <w:sz w:val="20"/>
                <w:szCs w:val="20"/>
              </w:rPr>
              <w:t>0.20</w:t>
            </w:r>
          </w:p>
        </w:tc>
        <w:tc>
          <w:tcPr>
            <w:tcW w:w="699" w:type="pct"/>
            <w:shd w:val="clear" w:color="auto" w:fill="auto"/>
            <w:noWrap/>
            <w:tcMar>
              <w:top w:w="28" w:type="dxa"/>
              <w:left w:w="28" w:type="dxa"/>
              <w:bottom w:w="28" w:type="dxa"/>
              <w:right w:w="28" w:type="dxa"/>
            </w:tcMar>
            <w:vAlign w:val="bottom"/>
          </w:tcPr>
          <w:p w14:paraId="3CB9AC7D" w14:textId="5F506D20" w:rsidR="00EB1785" w:rsidRPr="003D56F0" w:rsidRDefault="00EB1785" w:rsidP="003D56F0">
            <w:pPr>
              <w:rPr>
                <w:rFonts w:eastAsia="Times New Roman"/>
                <w:color w:val="000000"/>
                <w:sz w:val="20"/>
                <w:szCs w:val="20"/>
              </w:rPr>
            </w:pPr>
            <w:r w:rsidRPr="003D56F0">
              <w:rPr>
                <w:sz w:val="20"/>
                <w:szCs w:val="20"/>
              </w:rPr>
              <w:t>0.34</w:t>
            </w:r>
          </w:p>
        </w:tc>
      </w:tr>
      <w:tr w:rsidR="00EB1785" w:rsidRPr="003D56F0" w14:paraId="6C953BC9" w14:textId="77777777" w:rsidTr="00CF40BF">
        <w:trPr>
          <w:trHeight w:val="300"/>
        </w:trPr>
        <w:tc>
          <w:tcPr>
            <w:tcW w:w="2729" w:type="pct"/>
            <w:shd w:val="clear" w:color="auto" w:fill="auto"/>
            <w:noWrap/>
            <w:tcMar>
              <w:top w:w="28" w:type="dxa"/>
              <w:left w:w="28" w:type="dxa"/>
              <w:bottom w:w="28" w:type="dxa"/>
              <w:right w:w="28" w:type="dxa"/>
            </w:tcMar>
            <w:vAlign w:val="bottom"/>
          </w:tcPr>
          <w:p w14:paraId="3B7FF547" w14:textId="1749A5CE" w:rsidR="00EB1785" w:rsidRPr="003D56F0" w:rsidRDefault="00EB1785" w:rsidP="003D56F0">
            <w:pPr>
              <w:rPr>
                <w:rFonts w:eastAsia="Times New Roman"/>
                <w:color w:val="000000"/>
                <w:sz w:val="20"/>
                <w:szCs w:val="20"/>
              </w:rPr>
            </w:pPr>
            <w:r w:rsidRPr="003D56F0">
              <w:rPr>
                <w:sz w:val="20"/>
                <w:szCs w:val="20"/>
              </w:rPr>
              <w:t>Proportion of individuals with high parental stress using cannabis (baseline/control)</w:t>
            </w:r>
          </w:p>
        </w:tc>
        <w:tc>
          <w:tcPr>
            <w:tcW w:w="785" w:type="pct"/>
            <w:shd w:val="clear" w:color="auto" w:fill="auto"/>
            <w:noWrap/>
            <w:tcMar>
              <w:top w:w="28" w:type="dxa"/>
              <w:left w:w="28" w:type="dxa"/>
              <w:bottom w:w="28" w:type="dxa"/>
              <w:right w:w="28" w:type="dxa"/>
            </w:tcMar>
            <w:vAlign w:val="bottom"/>
          </w:tcPr>
          <w:p w14:paraId="36F16994" w14:textId="3E6034BC" w:rsidR="00EB1785" w:rsidRPr="003D56F0" w:rsidRDefault="00EB1785" w:rsidP="003D56F0">
            <w:pPr>
              <w:rPr>
                <w:rFonts w:eastAsia="Times New Roman"/>
                <w:color w:val="000000"/>
                <w:sz w:val="20"/>
                <w:szCs w:val="20"/>
              </w:rPr>
            </w:pPr>
            <w:r w:rsidRPr="003D56F0">
              <w:rPr>
                <w:sz w:val="20"/>
                <w:szCs w:val="20"/>
              </w:rPr>
              <w:t>0.32</w:t>
            </w:r>
          </w:p>
        </w:tc>
        <w:tc>
          <w:tcPr>
            <w:tcW w:w="787" w:type="pct"/>
            <w:shd w:val="clear" w:color="auto" w:fill="auto"/>
            <w:noWrap/>
            <w:tcMar>
              <w:top w:w="28" w:type="dxa"/>
              <w:left w:w="28" w:type="dxa"/>
              <w:bottom w:w="28" w:type="dxa"/>
              <w:right w:w="28" w:type="dxa"/>
            </w:tcMar>
            <w:vAlign w:val="bottom"/>
          </w:tcPr>
          <w:p w14:paraId="666C22DD" w14:textId="2B775D7C" w:rsidR="00EB1785" w:rsidRPr="003D56F0" w:rsidRDefault="00EB1785" w:rsidP="003D56F0">
            <w:pPr>
              <w:rPr>
                <w:rFonts w:eastAsia="Times New Roman"/>
                <w:color w:val="000000"/>
                <w:sz w:val="20"/>
                <w:szCs w:val="20"/>
              </w:rPr>
            </w:pPr>
            <w:r w:rsidRPr="003D56F0">
              <w:rPr>
                <w:sz w:val="20"/>
                <w:szCs w:val="20"/>
              </w:rPr>
              <w:t>0.24</w:t>
            </w:r>
          </w:p>
        </w:tc>
        <w:tc>
          <w:tcPr>
            <w:tcW w:w="699" w:type="pct"/>
            <w:shd w:val="clear" w:color="auto" w:fill="auto"/>
            <w:noWrap/>
            <w:tcMar>
              <w:top w:w="28" w:type="dxa"/>
              <w:left w:w="28" w:type="dxa"/>
              <w:bottom w:w="28" w:type="dxa"/>
              <w:right w:w="28" w:type="dxa"/>
            </w:tcMar>
            <w:vAlign w:val="bottom"/>
          </w:tcPr>
          <w:p w14:paraId="5D8258CB" w14:textId="1D4A375D" w:rsidR="00EB1785" w:rsidRPr="003D56F0" w:rsidRDefault="00EB1785" w:rsidP="003D56F0">
            <w:pPr>
              <w:rPr>
                <w:rFonts w:eastAsia="Times New Roman"/>
                <w:color w:val="000000"/>
                <w:sz w:val="20"/>
                <w:szCs w:val="20"/>
              </w:rPr>
            </w:pPr>
            <w:r w:rsidRPr="003D56F0">
              <w:rPr>
                <w:sz w:val="20"/>
                <w:szCs w:val="20"/>
              </w:rPr>
              <w:t>0.40</w:t>
            </w:r>
          </w:p>
        </w:tc>
      </w:tr>
      <w:tr w:rsidR="00EB1785" w:rsidRPr="003D56F0" w14:paraId="251DDB1F" w14:textId="77777777" w:rsidTr="00CF40BF">
        <w:trPr>
          <w:trHeight w:val="300"/>
        </w:trPr>
        <w:tc>
          <w:tcPr>
            <w:tcW w:w="2729" w:type="pct"/>
            <w:shd w:val="clear" w:color="auto" w:fill="auto"/>
            <w:noWrap/>
            <w:tcMar>
              <w:top w:w="28" w:type="dxa"/>
              <w:left w:w="28" w:type="dxa"/>
              <w:bottom w:w="28" w:type="dxa"/>
              <w:right w:w="28" w:type="dxa"/>
            </w:tcMar>
            <w:vAlign w:val="bottom"/>
          </w:tcPr>
          <w:p w14:paraId="34237845" w14:textId="4D2A7B9A" w:rsidR="00EB1785" w:rsidRPr="003D56F0" w:rsidRDefault="00EB1785" w:rsidP="003D56F0">
            <w:pPr>
              <w:rPr>
                <w:rFonts w:eastAsia="Times New Roman"/>
                <w:color w:val="000000"/>
                <w:sz w:val="20"/>
                <w:szCs w:val="20"/>
              </w:rPr>
            </w:pPr>
            <w:r w:rsidRPr="003D56F0">
              <w:rPr>
                <w:sz w:val="20"/>
                <w:szCs w:val="20"/>
              </w:rPr>
              <w:t>Proportion of individuals with parental stress using cannabis (6 m follow up/intervention)</w:t>
            </w:r>
          </w:p>
        </w:tc>
        <w:tc>
          <w:tcPr>
            <w:tcW w:w="785" w:type="pct"/>
            <w:shd w:val="clear" w:color="auto" w:fill="auto"/>
            <w:noWrap/>
            <w:tcMar>
              <w:top w:w="28" w:type="dxa"/>
              <w:left w:w="28" w:type="dxa"/>
              <w:bottom w:w="28" w:type="dxa"/>
              <w:right w:w="28" w:type="dxa"/>
            </w:tcMar>
            <w:vAlign w:val="bottom"/>
          </w:tcPr>
          <w:p w14:paraId="4FC9B845" w14:textId="5B5437B0" w:rsidR="00EB1785" w:rsidRPr="003D56F0" w:rsidRDefault="00EB1785" w:rsidP="003D56F0">
            <w:pPr>
              <w:rPr>
                <w:rFonts w:eastAsia="Times New Roman"/>
                <w:color w:val="000000"/>
                <w:sz w:val="20"/>
                <w:szCs w:val="20"/>
              </w:rPr>
            </w:pPr>
            <w:r w:rsidRPr="003D56F0">
              <w:rPr>
                <w:sz w:val="20"/>
                <w:szCs w:val="20"/>
              </w:rPr>
              <w:t>0.15</w:t>
            </w:r>
          </w:p>
        </w:tc>
        <w:tc>
          <w:tcPr>
            <w:tcW w:w="787" w:type="pct"/>
            <w:shd w:val="clear" w:color="auto" w:fill="auto"/>
            <w:noWrap/>
            <w:tcMar>
              <w:top w:w="28" w:type="dxa"/>
              <w:left w:w="28" w:type="dxa"/>
              <w:bottom w:w="28" w:type="dxa"/>
              <w:right w:w="28" w:type="dxa"/>
            </w:tcMar>
            <w:vAlign w:val="bottom"/>
          </w:tcPr>
          <w:p w14:paraId="08AF1AAB" w14:textId="433AB20B" w:rsidR="00EB1785" w:rsidRPr="003D56F0" w:rsidRDefault="00EB1785" w:rsidP="003D56F0">
            <w:pPr>
              <w:rPr>
                <w:rFonts w:eastAsia="Times New Roman"/>
                <w:color w:val="000000"/>
                <w:sz w:val="20"/>
                <w:szCs w:val="20"/>
              </w:rPr>
            </w:pPr>
            <w:r w:rsidRPr="003D56F0">
              <w:rPr>
                <w:sz w:val="20"/>
                <w:szCs w:val="20"/>
              </w:rPr>
              <w:t>0.11</w:t>
            </w:r>
          </w:p>
        </w:tc>
        <w:tc>
          <w:tcPr>
            <w:tcW w:w="699" w:type="pct"/>
            <w:shd w:val="clear" w:color="auto" w:fill="auto"/>
            <w:noWrap/>
            <w:tcMar>
              <w:top w:w="28" w:type="dxa"/>
              <w:left w:w="28" w:type="dxa"/>
              <w:bottom w:w="28" w:type="dxa"/>
              <w:right w:w="28" w:type="dxa"/>
            </w:tcMar>
            <w:vAlign w:val="bottom"/>
          </w:tcPr>
          <w:p w14:paraId="409EBF4E" w14:textId="3DCD1FDF" w:rsidR="00EB1785" w:rsidRPr="003D56F0" w:rsidRDefault="00EB1785" w:rsidP="003D56F0">
            <w:pPr>
              <w:rPr>
                <w:rFonts w:eastAsia="Times New Roman"/>
                <w:color w:val="000000"/>
                <w:sz w:val="20"/>
                <w:szCs w:val="20"/>
              </w:rPr>
            </w:pPr>
            <w:r w:rsidRPr="003D56F0">
              <w:rPr>
                <w:sz w:val="20"/>
                <w:szCs w:val="20"/>
              </w:rPr>
              <w:t>0.19</w:t>
            </w:r>
          </w:p>
        </w:tc>
      </w:tr>
      <w:tr w:rsidR="00EB1785" w:rsidRPr="003D56F0" w14:paraId="2D8E9737" w14:textId="77777777" w:rsidTr="00CF40BF">
        <w:trPr>
          <w:trHeight w:val="300"/>
        </w:trPr>
        <w:tc>
          <w:tcPr>
            <w:tcW w:w="2729" w:type="pct"/>
            <w:shd w:val="clear" w:color="auto" w:fill="auto"/>
            <w:noWrap/>
            <w:tcMar>
              <w:top w:w="28" w:type="dxa"/>
              <w:left w:w="28" w:type="dxa"/>
              <w:bottom w:w="28" w:type="dxa"/>
              <w:right w:w="28" w:type="dxa"/>
            </w:tcMar>
            <w:vAlign w:val="bottom"/>
          </w:tcPr>
          <w:p w14:paraId="056BE831" w14:textId="07C10AEA" w:rsidR="00EB1785" w:rsidRPr="003D56F0" w:rsidRDefault="00EB1785" w:rsidP="003D56F0">
            <w:pPr>
              <w:rPr>
                <w:rFonts w:eastAsia="Times New Roman"/>
                <w:color w:val="000000"/>
                <w:sz w:val="20"/>
                <w:szCs w:val="20"/>
              </w:rPr>
            </w:pPr>
            <w:r w:rsidRPr="003D56F0">
              <w:rPr>
                <w:sz w:val="20"/>
                <w:szCs w:val="20"/>
              </w:rPr>
              <w:t>Proportion of individuals with parental stress using cannabis (6 m follow up/control)</w:t>
            </w:r>
          </w:p>
        </w:tc>
        <w:tc>
          <w:tcPr>
            <w:tcW w:w="785" w:type="pct"/>
            <w:shd w:val="clear" w:color="auto" w:fill="auto"/>
            <w:noWrap/>
            <w:tcMar>
              <w:top w:w="28" w:type="dxa"/>
              <w:left w:w="28" w:type="dxa"/>
              <w:bottom w:w="28" w:type="dxa"/>
              <w:right w:w="28" w:type="dxa"/>
            </w:tcMar>
            <w:vAlign w:val="bottom"/>
          </w:tcPr>
          <w:p w14:paraId="17B74E8F" w14:textId="37DC4DF9" w:rsidR="00EB1785" w:rsidRPr="003D56F0" w:rsidRDefault="00EB1785" w:rsidP="003D56F0">
            <w:pPr>
              <w:rPr>
                <w:rFonts w:eastAsia="Times New Roman"/>
                <w:color w:val="000000"/>
                <w:sz w:val="20"/>
                <w:szCs w:val="20"/>
              </w:rPr>
            </w:pPr>
            <w:r w:rsidRPr="003D56F0">
              <w:rPr>
                <w:sz w:val="20"/>
                <w:szCs w:val="20"/>
              </w:rPr>
              <w:t>0.26</w:t>
            </w:r>
          </w:p>
        </w:tc>
        <w:tc>
          <w:tcPr>
            <w:tcW w:w="787" w:type="pct"/>
            <w:shd w:val="clear" w:color="auto" w:fill="auto"/>
            <w:noWrap/>
            <w:tcMar>
              <w:top w:w="28" w:type="dxa"/>
              <w:left w:w="28" w:type="dxa"/>
              <w:bottom w:w="28" w:type="dxa"/>
              <w:right w:w="28" w:type="dxa"/>
            </w:tcMar>
            <w:vAlign w:val="bottom"/>
          </w:tcPr>
          <w:p w14:paraId="6E4D849C" w14:textId="014C799E" w:rsidR="00EB1785" w:rsidRPr="003D56F0" w:rsidRDefault="00EB1785" w:rsidP="003D56F0">
            <w:pPr>
              <w:rPr>
                <w:rFonts w:eastAsia="Times New Roman"/>
                <w:color w:val="000000"/>
                <w:sz w:val="20"/>
                <w:szCs w:val="20"/>
              </w:rPr>
            </w:pPr>
            <w:r w:rsidRPr="003D56F0">
              <w:rPr>
                <w:sz w:val="20"/>
                <w:szCs w:val="20"/>
              </w:rPr>
              <w:t>0.20</w:t>
            </w:r>
          </w:p>
        </w:tc>
        <w:tc>
          <w:tcPr>
            <w:tcW w:w="699" w:type="pct"/>
            <w:shd w:val="clear" w:color="auto" w:fill="auto"/>
            <w:noWrap/>
            <w:tcMar>
              <w:top w:w="28" w:type="dxa"/>
              <w:left w:w="28" w:type="dxa"/>
              <w:bottom w:w="28" w:type="dxa"/>
              <w:right w:w="28" w:type="dxa"/>
            </w:tcMar>
            <w:vAlign w:val="bottom"/>
          </w:tcPr>
          <w:p w14:paraId="2EE54B82" w14:textId="6DE26070" w:rsidR="00EB1785" w:rsidRPr="003D56F0" w:rsidRDefault="00EB1785" w:rsidP="003D56F0">
            <w:pPr>
              <w:rPr>
                <w:rFonts w:eastAsia="Times New Roman"/>
                <w:color w:val="000000"/>
                <w:sz w:val="20"/>
                <w:szCs w:val="20"/>
              </w:rPr>
            </w:pPr>
            <w:r w:rsidRPr="003D56F0">
              <w:rPr>
                <w:sz w:val="20"/>
                <w:szCs w:val="20"/>
              </w:rPr>
              <w:t>0.33</w:t>
            </w:r>
          </w:p>
        </w:tc>
      </w:tr>
      <w:tr w:rsidR="00EB1785" w:rsidRPr="003D56F0" w14:paraId="146C7EE4" w14:textId="77777777" w:rsidTr="00CF40BF">
        <w:trPr>
          <w:trHeight w:val="300"/>
        </w:trPr>
        <w:tc>
          <w:tcPr>
            <w:tcW w:w="2729" w:type="pct"/>
            <w:shd w:val="clear" w:color="auto" w:fill="auto"/>
            <w:noWrap/>
            <w:tcMar>
              <w:top w:w="28" w:type="dxa"/>
              <w:left w:w="28" w:type="dxa"/>
              <w:bottom w:w="28" w:type="dxa"/>
              <w:right w:w="28" w:type="dxa"/>
            </w:tcMar>
            <w:vAlign w:val="bottom"/>
          </w:tcPr>
          <w:p w14:paraId="524BDC6A" w14:textId="07D41710" w:rsidR="00EB1785" w:rsidRPr="003D56F0" w:rsidRDefault="00EB1785" w:rsidP="003D56F0">
            <w:pPr>
              <w:rPr>
                <w:rFonts w:eastAsia="Times New Roman"/>
                <w:color w:val="000000"/>
                <w:sz w:val="20"/>
                <w:szCs w:val="20"/>
              </w:rPr>
            </w:pPr>
            <w:r w:rsidRPr="003D56F0">
              <w:rPr>
                <w:sz w:val="20"/>
                <w:szCs w:val="20"/>
              </w:rPr>
              <w:t>Proportion of individuals with parental stress using cannabis (12 m follow up/intervention)</w:t>
            </w:r>
          </w:p>
        </w:tc>
        <w:tc>
          <w:tcPr>
            <w:tcW w:w="785" w:type="pct"/>
            <w:shd w:val="clear" w:color="auto" w:fill="auto"/>
            <w:noWrap/>
            <w:tcMar>
              <w:top w:w="28" w:type="dxa"/>
              <w:left w:w="28" w:type="dxa"/>
              <w:bottom w:w="28" w:type="dxa"/>
              <w:right w:w="28" w:type="dxa"/>
            </w:tcMar>
            <w:vAlign w:val="bottom"/>
          </w:tcPr>
          <w:p w14:paraId="4353BAA1" w14:textId="5EE6B43E" w:rsidR="00EB1785" w:rsidRPr="003D56F0" w:rsidRDefault="00EB1785" w:rsidP="003D56F0">
            <w:pPr>
              <w:rPr>
                <w:rFonts w:eastAsia="Times New Roman"/>
                <w:color w:val="000000"/>
                <w:sz w:val="20"/>
                <w:szCs w:val="20"/>
              </w:rPr>
            </w:pPr>
            <w:r w:rsidRPr="003D56F0">
              <w:rPr>
                <w:sz w:val="20"/>
                <w:szCs w:val="20"/>
              </w:rPr>
              <w:t>0.10</w:t>
            </w:r>
          </w:p>
        </w:tc>
        <w:tc>
          <w:tcPr>
            <w:tcW w:w="787" w:type="pct"/>
            <w:shd w:val="clear" w:color="auto" w:fill="auto"/>
            <w:noWrap/>
            <w:tcMar>
              <w:top w:w="28" w:type="dxa"/>
              <w:left w:w="28" w:type="dxa"/>
              <w:bottom w:w="28" w:type="dxa"/>
              <w:right w:w="28" w:type="dxa"/>
            </w:tcMar>
            <w:vAlign w:val="bottom"/>
          </w:tcPr>
          <w:p w14:paraId="7E2B9072" w14:textId="209A91D1" w:rsidR="00EB1785" w:rsidRPr="003D56F0" w:rsidRDefault="00EB1785" w:rsidP="003D56F0">
            <w:pPr>
              <w:rPr>
                <w:rFonts w:eastAsia="Times New Roman"/>
                <w:color w:val="000000"/>
                <w:sz w:val="20"/>
                <w:szCs w:val="20"/>
              </w:rPr>
            </w:pPr>
            <w:r w:rsidRPr="003D56F0">
              <w:rPr>
                <w:sz w:val="20"/>
                <w:szCs w:val="20"/>
              </w:rPr>
              <w:t>0.08</w:t>
            </w:r>
          </w:p>
        </w:tc>
        <w:tc>
          <w:tcPr>
            <w:tcW w:w="699" w:type="pct"/>
            <w:shd w:val="clear" w:color="auto" w:fill="auto"/>
            <w:noWrap/>
            <w:tcMar>
              <w:top w:w="28" w:type="dxa"/>
              <w:left w:w="28" w:type="dxa"/>
              <w:bottom w:w="28" w:type="dxa"/>
              <w:right w:w="28" w:type="dxa"/>
            </w:tcMar>
            <w:vAlign w:val="bottom"/>
          </w:tcPr>
          <w:p w14:paraId="68515D13" w14:textId="64D8B7CB" w:rsidR="00EB1785" w:rsidRPr="003D56F0" w:rsidRDefault="00EB1785" w:rsidP="003D56F0">
            <w:pPr>
              <w:rPr>
                <w:rFonts w:eastAsia="Times New Roman"/>
                <w:color w:val="000000"/>
                <w:sz w:val="20"/>
                <w:szCs w:val="20"/>
              </w:rPr>
            </w:pPr>
            <w:r w:rsidRPr="003D56F0">
              <w:rPr>
                <w:sz w:val="20"/>
                <w:szCs w:val="20"/>
              </w:rPr>
              <w:t>0.13</w:t>
            </w:r>
          </w:p>
        </w:tc>
      </w:tr>
      <w:tr w:rsidR="00EB1785" w:rsidRPr="003D56F0" w14:paraId="2A95060D" w14:textId="77777777" w:rsidTr="00CF40BF">
        <w:trPr>
          <w:trHeight w:val="300"/>
        </w:trPr>
        <w:tc>
          <w:tcPr>
            <w:tcW w:w="2729" w:type="pct"/>
            <w:shd w:val="clear" w:color="auto" w:fill="auto"/>
            <w:noWrap/>
            <w:tcMar>
              <w:top w:w="28" w:type="dxa"/>
              <w:left w:w="28" w:type="dxa"/>
              <w:bottom w:w="28" w:type="dxa"/>
              <w:right w:w="28" w:type="dxa"/>
            </w:tcMar>
            <w:vAlign w:val="bottom"/>
          </w:tcPr>
          <w:p w14:paraId="214CB444" w14:textId="7B6AA8F5" w:rsidR="00EB1785" w:rsidRPr="003D56F0" w:rsidRDefault="00EB1785" w:rsidP="003D56F0">
            <w:pPr>
              <w:rPr>
                <w:rFonts w:eastAsia="Times New Roman"/>
                <w:color w:val="000000"/>
                <w:sz w:val="20"/>
                <w:szCs w:val="20"/>
              </w:rPr>
            </w:pPr>
            <w:r w:rsidRPr="003D56F0">
              <w:rPr>
                <w:sz w:val="20"/>
                <w:szCs w:val="20"/>
              </w:rPr>
              <w:t>Proportion of individuals with parental stress using cannabis (12 m follow up/control)</w:t>
            </w:r>
          </w:p>
        </w:tc>
        <w:tc>
          <w:tcPr>
            <w:tcW w:w="785" w:type="pct"/>
            <w:shd w:val="clear" w:color="auto" w:fill="auto"/>
            <w:noWrap/>
            <w:tcMar>
              <w:top w:w="28" w:type="dxa"/>
              <w:left w:w="28" w:type="dxa"/>
              <w:bottom w:w="28" w:type="dxa"/>
              <w:right w:w="28" w:type="dxa"/>
            </w:tcMar>
            <w:vAlign w:val="bottom"/>
          </w:tcPr>
          <w:p w14:paraId="16AC5A77" w14:textId="5E907D6E" w:rsidR="00EB1785" w:rsidRPr="003D56F0" w:rsidRDefault="00EB1785" w:rsidP="003D56F0">
            <w:pPr>
              <w:rPr>
                <w:rFonts w:eastAsia="Times New Roman"/>
                <w:color w:val="000000"/>
                <w:sz w:val="20"/>
                <w:szCs w:val="20"/>
              </w:rPr>
            </w:pPr>
            <w:r w:rsidRPr="003D56F0">
              <w:rPr>
                <w:sz w:val="20"/>
                <w:szCs w:val="20"/>
              </w:rPr>
              <w:t>0.36</w:t>
            </w:r>
          </w:p>
        </w:tc>
        <w:tc>
          <w:tcPr>
            <w:tcW w:w="787" w:type="pct"/>
            <w:shd w:val="clear" w:color="auto" w:fill="auto"/>
            <w:noWrap/>
            <w:tcMar>
              <w:top w:w="28" w:type="dxa"/>
              <w:left w:w="28" w:type="dxa"/>
              <w:bottom w:w="28" w:type="dxa"/>
              <w:right w:w="28" w:type="dxa"/>
            </w:tcMar>
            <w:vAlign w:val="bottom"/>
          </w:tcPr>
          <w:p w14:paraId="6D173ED3" w14:textId="690FE1C7" w:rsidR="00EB1785" w:rsidRPr="003D56F0" w:rsidRDefault="00EB1785" w:rsidP="003D56F0">
            <w:pPr>
              <w:rPr>
                <w:rFonts w:eastAsia="Times New Roman"/>
                <w:color w:val="000000"/>
                <w:sz w:val="20"/>
                <w:szCs w:val="20"/>
              </w:rPr>
            </w:pPr>
            <w:r w:rsidRPr="003D56F0">
              <w:rPr>
                <w:sz w:val="20"/>
                <w:szCs w:val="20"/>
              </w:rPr>
              <w:t>0.27</w:t>
            </w:r>
          </w:p>
        </w:tc>
        <w:tc>
          <w:tcPr>
            <w:tcW w:w="699" w:type="pct"/>
            <w:shd w:val="clear" w:color="auto" w:fill="auto"/>
            <w:noWrap/>
            <w:tcMar>
              <w:top w:w="28" w:type="dxa"/>
              <w:left w:w="28" w:type="dxa"/>
              <w:bottom w:w="28" w:type="dxa"/>
              <w:right w:w="28" w:type="dxa"/>
            </w:tcMar>
            <w:vAlign w:val="bottom"/>
          </w:tcPr>
          <w:p w14:paraId="2FD21C50" w14:textId="215572E0" w:rsidR="00EB1785" w:rsidRPr="003D56F0" w:rsidRDefault="00EB1785" w:rsidP="003D56F0">
            <w:pPr>
              <w:rPr>
                <w:rFonts w:eastAsia="Times New Roman"/>
                <w:color w:val="000000"/>
                <w:sz w:val="20"/>
                <w:szCs w:val="20"/>
              </w:rPr>
            </w:pPr>
            <w:r w:rsidRPr="003D56F0">
              <w:rPr>
                <w:sz w:val="20"/>
                <w:szCs w:val="20"/>
              </w:rPr>
              <w:t>0.45</w:t>
            </w:r>
          </w:p>
        </w:tc>
      </w:tr>
      <w:tr w:rsidR="00EB1785" w:rsidRPr="003D56F0" w14:paraId="399B2F37" w14:textId="77777777" w:rsidTr="00CF40BF">
        <w:trPr>
          <w:trHeight w:val="300"/>
        </w:trPr>
        <w:tc>
          <w:tcPr>
            <w:tcW w:w="2729" w:type="pct"/>
            <w:shd w:val="clear" w:color="auto" w:fill="auto"/>
            <w:noWrap/>
            <w:tcMar>
              <w:top w:w="28" w:type="dxa"/>
              <w:left w:w="28" w:type="dxa"/>
              <w:bottom w:w="28" w:type="dxa"/>
              <w:right w:w="28" w:type="dxa"/>
            </w:tcMar>
            <w:vAlign w:val="bottom"/>
          </w:tcPr>
          <w:p w14:paraId="1B5C4975" w14:textId="0F3E5E68" w:rsidR="00EB1785" w:rsidRPr="003D56F0" w:rsidRDefault="00EB1785" w:rsidP="003D56F0">
            <w:pPr>
              <w:rPr>
                <w:rFonts w:eastAsia="Times New Roman"/>
                <w:color w:val="000000"/>
                <w:sz w:val="20"/>
                <w:szCs w:val="20"/>
              </w:rPr>
            </w:pPr>
            <w:r w:rsidRPr="003D56F0">
              <w:rPr>
                <w:sz w:val="20"/>
                <w:szCs w:val="20"/>
              </w:rPr>
              <w:t>Proportion of individuals with parental stress using cannabis (18 m follow up/intervention)</w:t>
            </w:r>
          </w:p>
        </w:tc>
        <w:tc>
          <w:tcPr>
            <w:tcW w:w="785" w:type="pct"/>
            <w:shd w:val="clear" w:color="auto" w:fill="auto"/>
            <w:noWrap/>
            <w:tcMar>
              <w:top w:w="28" w:type="dxa"/>
              <w:left w:w="28" w:type="dxa"/>
              <w:bottom w:w="28" w:type="dxa"/>
              <w:right w:w="28" w:type="dxa"/>
            </w:tcMar>
            <w:vAlign w:val="bottom"/>
          </w:tcPr>
          <w:p w14:paraId="3E7AC95F" w14:textId="7E29B045" w:rsidR="00EB1785" w:rsidRPr="003D56F0" w:rsidRDefault="00EB1785" w:rsidP="003D56F0">
            <w:pPr>
              <w:rPr>
                <w:rFonts w:eastAsia="Times New Roman"/>
                <w:color w:val="000000"/>
                <w:sz w:val="20"/>
                <w:szCs w:val="20"/>
              </w:rPr>
            </w:pPr>
            <w:r w:rsidRPr="003D56F0">
              <w:rPr>
                <w:sz w:val="20"/>
                <w:szCs w:val="20"/>
              </w:rPr>
              <w:t>0.19</w:t>
            </w:r>
          </w:p>
        </w:tc>
        <w:tc>
          <w:tcPr>
            <w:tcW w:w="787" w:type="pct"/>
            <w:shd w:val="clear" w:color="auto" w:fill="auto"/>
            <w:noWrap/>
            <w:tcMar>
              <w:top w:w="28" w:type="dxa"/>
              <w:left w:w="28" w:type="dxa"/>
              <w:bottom w:w="28" w:type="dxa"/>
              <w:right w:w="28" w:type="dxa"/>
            </w:tcMar>
            <w:vAlign w:val="bottom"/>
          </w:tcPr>
          <w:p w14:paraId="078C2060" w14:textId="6624BE36" w:rsidR="00EB1785" w:rsidRPr="003D56F0" w:rsidRDefault="00EB1785" w:rsidP="003D56F0">
            <w:pPr>
              <w:rPr>
                <w:rFonts w:eastAsia="Times New Roman"/>
                <w:color w:val="000000"/>
                <w:sz w:val="20"/>
                <w:szCs w:val="20"/>
              </w:rPr>
            </w:pPr>
            <w:r w:rsidRPr="003D56F0">
              <w:rPr>
                <w:sz w:val="20"/>
                <w:szCs w:val="20"/>
              </w:rPr>
              <w:t>0.14</w:t>
            </w:r>
          </w:p>
        </w:tc>
        <w:tc>
          <w:tcPr>
            <w:tcW w:w="699" w:type="pct"/>
            <w:shd w:val="clear" w:color="auto" w:fill="auto"/>
            <w:noWrap/>
            <w:tcMar>
              <w:top w:w="28" w:type="dxa"/>
              <w:left w:w="28" w:type="dxa"/>
              <w:bottom w:w="28" w:type="dxa"/>
              <w:right w:w="28" w:type="dxa"/>
            </w:tcMar>
            <w:vAlign w:val="bottom"/>
          </w:tcPr>
          <w:p w14:paraId="25C2B4B4" w14:textId="2AA1F85B" w:rsidR="00EB1785" w:rsidRPr="003D56F0" w:rsidRDefault="00EB1785" w:rsidP="003D56F0">
            <w:pPr>
              <w:rPr>
                <w:rFonts w:eastAsia="Times New Roman"/>
                <w:color w:val="000000"/>
                <w:sz w:val="20"/>
                <w:szCs w:val="20"/>
              </w:rPr>
            </w:pPr>
            <w:r w:rsidRPr="003D56F0">
              <w:rPr>
                <w:sz w:val="20"/>
                <w:szCs w:val="20"/>
              </w:rPr>
              <w:t>0.24</w:t>
            </w:r>
          </w:p>
        </w:tc>
      </w:tr>
      <w:tr w:rsidR="00EB1785" w:rsidRPr="003D56F0" w14:paraId="204A8A6A" w14:textId="77777777" w:rsidTr="00CF40BF">
        <w:trPr>
          <w:trHeight w:val="300"/>
        </w:trPr>
        <w:tc>
          <w:tcPr>
            <w:tcW w:w="2729" w:type="pct"/>
            <w:shd w:val="clear" w:color="auto" w:fill="auto"/>
            <w:noWrap/>
            <w:tcMar>
              <w:top w:w="28" w:type="dxa"/>
              <w:left w:w="28" w:type="dxa"/>
              <w:bottom w:w="28" w:type="dxa"/>
              <w:right w:w="28" w:type="dxa"/>
            </w:tcMar>
            <w:vAlign w:val="bottom"/>
          </w:tcPr>
          <w:p w14:paraId="70FC5381" w14:textId="05D9C4B3" w:rsidR="00EB1785" w:rsidRPr="003D56F0" w:rsidRDefault="00EB1785" w:rsidP="003D56F0">
            <w:pPr>
              <w:rPr>
                <w:rFonts w:eastAsia="Times New Roman"/>
                <w:color w:val="000000"/>
                <w:sz w:val="20"/>
                <w:szCs w:val="20"/>
              </w:rPr>
            </w:pPr>
            <w:r w:rsidRPr="003D56F0">
              <w:rPr>
                <w:sz w:val="20"/>
                <w:szCs w:val="20"/>
              </w:rPr>
              <w:t>Proportion of individuals with parental stress using cannabis (18 m follow up/control)</w:t>
            </w:r>
          </w:p>
        </w:tc>
        <w:tc>
          <w:tcPr>
            <w:tcW w:w="785" w:type="pct"/>
            <w:shd w:val="clear" w:color="auto" w:fill="auto"/>
            <w:noWrap/>
            <w:tcMar>
              <w:top w:w="28" w:type="dxa"/>
              <w:left w:w="28" w:type="dxa"/>
              <w:bottom w:w="28" w:type="dxa"/>
              <w:right w:w="28" w:type="dxa"/>
            </w:tcMar>
            <w:vAlign w:val="bottom"/>
          </w:tcPr>
          <w:p w14:paraId="1B1C7660" w14:textId="0FB3CD68" w:rsidR="00EB1785" w:rsidRPr="003D56F0" w:rsidRDefault="00EB1785" w:rsidP="003D56F0">
            <w:pPr>
              <w:rPr>
                <w:rFonts w:eastAsia="Times New Roman"/>
                <w:color w:val="000000"/>
                <w:sz w:val="20"/>
                <w:szCs w:val="20"/>
              </w:rPr>
            </w:pPr>
            <w:r w:rsidRPr="003D56F0">
              <w:rPr>
                <w:sz w:val="20"/>
                <w:szCs w:val="20"/>
              </w:rPr>
              <w:t>0.34</w:t>
            </w:r>
          </w:p>
        </w:tc>
        <w:tc>
          <w:tcPr>
            <w:tcW w:w="787" w:type="pct"/>
            <w:shd w:val="clear" w:color="auto" w:fill="auto"/>
            <w:noWrap/>
            <w:tcMar>
              <w:top w:w="28" w:type="dxa"/>
              <w:left w:w="28" w:type="dxa"/>
              <w:bottom w:w="28" w:type="dxa"/>
              <w:right w:w="28" w:type="dxa"/>
            </w:tcMar>
            <w:vAlign w:val="bottom"/>
          </w:tcPr>
          <w:p w14:paraId="2DF5F3C1" w14:textId="22C193A0" w:rsidR="00EB1785" w:rsidRPr="003D56F0" w:rsidRDefault="00EB1785" w:rsidP="003D56F0">
            <w:pPr>
              <w:rPr>
                <w:rFonts w:eastAsia="Times New Roman"/>
                <w:color w:val="000000"/>
                <w:sz w:val="20"/>
                <w:szCs w:val="20"/>
              </w:rPr>
            </w:pPr>
            <w:r w:rsidRPr="003D56F0">
              <w:rPr>
                <w:sz w:val="20"/>
                <w:szCs w:val="20"/>
              </w:rPr>
              <w:t>0.26</w:t>
            </w:r>
          </w:p>
        </w:tc>
        <w:tc>
          <w:tcPr>
            <w:tcW w:w="699" w:type="pct"/>
            <w:shd w:val="clear" w:color="auto" w:fill="auto"/>
            <w:noWrap/>
            <w:tcMar>
              <w:top w:w="28" w:type="dxa"/>
              <w:left w:w="28" w:type="dxa"/>
              <w:bottom w:w="28" w:type="dxa"/>
              <w:right w:w="28" w:type="dxa"/>
            </w:tcMar>
            <w:vAlign w:val="bottom"/>
          </w:tcPr>
          <w:p w14:paraId="4F94F367" w14:textId="77492F6C" w:rsidR="00EB1785" w:rsidRPr="003D56F0" w:rsidRDefault="00EB1785" w:rsidP="003D56F0">
            <w:pPr>
              <w:rPr>
                <w:rFonts w:eastAsia="Times New Roman"/>
                <w:color w:val="000000"/>
                <w:sz w:val="20"/>
                <w:szCs w:val="20"/>
              </w:rPr>
            </w:pPr>
            <w:r w:rsidRPr="003D56F0">
              <w:rPr>
                <w:sz w:val="20"/>
                <w:szCs w:val="20"/>
              </w:rPr>
              <w:t>0.43</w:t>
            </w:r>
          </w:p>
        </w:tc>
      </w:tr>
      <w:tr w:rsidR="00EB1785" w:rsidRPr="003D56F0" w14:paraId="618BA7D2" w14:textId="77777777" w:rsidTr="00CF40BF">
        <w:trPr>
          <w:trHeight w:val="300"/>
        </w:trPr>
        <w:tc>
          <w:tcPr>
            <w:tcW w:w="2729" w:type="pct"/>
            <w:shd w:val="clear" w:color="auto" w:fill="auto"/>
            <w:noWrap/>
            <w:tcMar>
              <w:top w:w="28" w:type="dxa"/>
              <w:left w:w="28" w:type="dxa"/>
              <w:bottom w:w="28" w:type="dxa"/>
              <w:right w:w="28" w:type="dxa"/>
            </w:tcMar>
            <w:vAlign w:val="bottom"/>
          </w:tcPr>
          <w:p w14:paraId="44079767" w14:textId="7FDBB7B0" w:rsidR="00EB1785" w:rsidRPr="003D56F0" w:rsidRDefault="00EB1785" w:rsidP="003D56F0">
            <w:pPr>
              <w:rPr>
                <w:rFonts w:eastAsia="Times New Roman"/>
                <w:color w:val="000000"/>
                <w:sz w:val="20"/>
                <w:szCs w:val="20"/>
              </w:rPr>
            </w:pPr>
            <w:r w:rsidRPr="003D56F0">
              <w:rPr>
                <w:sz w:val="20"/>
                <w:szCs w:val="20"/>
              </w:rPr>
              <w:t>Psychosis service costs</w:t>
            </w:r>
          </w:p>
        </w:tc>
        <w:tc>
          <w:tcPr>
            <w:tcW w:w="785" w:type="pct"/>
            <w:shd w:val="clear" w:color="auto" w:fill="auto"/>
            <w:noWrap/>
            <w:tcMar>
              <w:top w:w="28" w:type="dxa"/>
              <w:left w:w="28" w:type="dxa"/>
              <w:bottom w:w="28" w:type="dxa"/>
              <w:right w:w="28" w:type="dxa"/>
            </w:tcMar>
            <w:vAlign w:val="bottom"/>
          </w:tcPr>
          <w:p w14:paraId="724832A4" w14:textId="2B22E1E3" w:rsidR="00EB1785" w:rsidRPr="003D56F0" w:rsidRDefault="00EB1785" w:rsidP="003D56F0">
            <w:pPr>
              <w:rPr>
                <w:rFonts w:eastAsia="Times New Roman"/>
                <w:color w:val="000000"/>
                <w:sz w:val="20"/>
                <w:szCs w:val="20"/>
              </w:rPr>
            </w:pPr>
            <w:r w:rsidRPr="003D56F0">
              <w:rPr>
                <w:sz w:val="20"/>
                <w:szCs w:val="20"/>
              </w:rPr>
              <w:t>13136</w:t>
            </w:r>
          </w:p>
        </w:tc>
        <w:tc>
          <w:tcPr>
            <w:tcW w:w="787" w:type="pct"/>
            <w:shd w:val="clear" w:color="auto" w:fill="auto"/>
            <w:noWrap/>
            <w:tcMar>
              <w:top w:w="28" w:type="dxa"/>
              <w:left w:w="28" w:type="dxa"/>
              <w:bottom w:w="28" w:type="dxa"/>
              <w:right w:w="28" w:type="dxa"/>
            </w:tcMar>
            <w:vAlign w:val="bottom"/>
          </w:tcPr>
          <w:p w14:paraId="56CBB0D1" w14:textId="4DAD3B51" w:rsidR="00EB1785" w:rsidRPr="003D56F0" w:rsidRDefault="00EB1785" w:rsidP="003D56F0">
            <w:pPr>
              <w:rPr>
                <w:rFonts w:eastAsia="Times New Roman"/>
                <w:color w:val="000000"/>
                <w:sz w:val="20"/>
                <w:szCs w:val="20"/>
              </w:rPr>
            </w:pPr>
            <w:r w:rsidRPr="003D56F0">
              <w:rPr>
                <w:sz w:val="20"/>
                <w:szCs w:val="20"/>
              </w:rPr>
              <w:t>9852</w:t>
            </w:r>
          </w:p>
        </w:tc>
        <w:tc>
          <w:tcPr>
            <w:tcW w:w="699" w:type="pct"/>
            <w:shd w:val="clear" w:color="auto" w:fill="auto"/>
            <w:noWrap/>
            <w:tcMar>
              <w:top w:w="28" w:type="dxa"/>
              <w:left w:w="28" w:type="dxa"/>
              <w:bottom w:w="28" w:type="dxa"/>
              <w:right w:w="28" w:type="dxa"/>
            </w:tcMar>
            <w:vAlign w:val="bottom"/>
          </w:tcPr>
          <w:p w14:paraId="5F4B29B3" w14:textId="09C980A6" w:rsidR="00EB1785" w:rsidRPr="003D56F0" w:rsidRDefault="00EB1785" w:rsidP="003D56F0">
            <w:pPr>
              <w:rPr>
                <w:rFonts w:eastAsia="Times New Roman"/>
                <w:color w:val="000000"/>
                <w:sz w:val="20"/>
                <w:szCs w:val="20"/>
              </w:rPr>
            </w:pPr>
            <w:r w:rsidRPr="003D56F0">
              <w:rPr>
                <w:sz w:val="20"/>
                <w:szCs w:val="20"/>
              </w:rPr>
              <w:t>16420</w:t>
            </w:r>
          </w:p>
        </w:tc>
      </w:tr>
      <w:tr w:rsidR="00EB1785" w:rsidRPr="003D56F0" w14:paraId="54C7B592" w14:textId="77777777" w:rsidTr="00CF40BF">
        <w:trPr>
          <w:trHeight w:val="300"/>
        </w:trPr>
        <w:tc>
          <w:tcPr>
            <w:tcW w:w="2729" w:type="pct"/>
            <w:shd w:val="clear" w:color="auto" w:fill="auto"/>
            <w:noWrap/>
            <w:tcMar>
              <w:top w:w="28" w:type="dxa"/>
              <w:left w:w="28" w:type="dxa"/>
              <w:bottom w:w="28" w:type="dxa"/>
              <w:right w:w="28" w:type="dxa"/>
            </w:tcMar>
            <w:vAlign w:val="bottom"/>
          </w:tcPr>
          <w:p w14:paraId="0A9F9B1E" w14:textId="74407A2F" w:rsidR="00EB1785" w:rsidRPr="003D56F0" w:rsidRDefault="00EB1785" w:rsidP="003D56F0">
            <w:pPr>
              <w:rPr>
                <w:rFonts w:eastAsia="Times New Roman"/>
                <w:color w:val="000000"/>
                <w:sz w:val="20"/>
                <w:szCs w:val="20"/>
              </w:rPr>
            </w:pPr>
            <w:r w:rsidRPr="003D56F0">
              <w:rPr>
                <w:sz w:val="20"/>
                <w:szCs w:val="20"/>
              </w:rPr>
              <w:t xml:space="preserve">Psychosis informal care costs </w:t>
            </w:r>
          </w:p>
        </w:tc>
        <w:tc>
          <w:tcPr>
            <w:tcW w:w="785" w:type="pct"/>
            <w:shd w:val="clear" w:color="auto" w:fill="auto"/>
            <w:noWrap/>
            <w:tcMar>
              <w:top w:w="28" w:type="dxa"/>
              <w:left w:w="28" w:type="dxa"/>
              <w:bottom w:w="28" w:type="dxa"/>
              <w:right w:w="28" w:type="dxa"/>
            </w:tcMar>
            <w:vAlign w:val="bottom"/>
          </w:tcPr>
          <w:p w14:paraId="280E9442" w14:textId="689C4A2B" w:rsidR="00EB1785" w:rsidRPr="003D56F0" w:rsidRDefault="00EB1785" w:rsidP="003D56F0">
            <w:pPr>
              <w:rPr>
                <w:rFonts w:eastAsia="Times New Roman"/>
                <w:color w:val="000000"/>
                <w:sz w:val="20"/>
                <w:szCs w:val="20"/>
              </w:rPr>
            </w:pPr>
            <w:r w:rsidRPr="003D56F0">
              <w:rPr>
                <w:sz w:val="20"/>
                <w:szCs w:val="20"/>
              </w:rPr>
              <w:t>4424</w:t>
            </w:r>
          </w:p>
        </w:tc>
        <w:tc>
          <w:tcPr>
            <w:tcW w:w="787" w:type="pct"/>
            <w:shd w:val="clear" w:color="auto" w:fill="auto"/>
            <w:noWrap/>
            <w:tcMar>
              <w:top w:w="28" w:type="dxa"/>
              <w:left w:w="28" w:type="dxa"/>
              <w:bottom w:w="28" w:type="dxa"/>
              <w:right w:w="28" w:type="dxa"/>
            </w:tcMar>
            <w:vAlign w:val="bottom"/>
          </w:tcPr>
          <w:p w14:paraId="525A70F5" w14:textId="12591B34" w:rsidR="00EB1785" w:rsidRPr="003D56F0" w:rsidRDefault="00EB1785" w:rsidP="003D56F0">
            <w:pPr>
              <w:rPr>
                <w:rFonts w:eastAsia="Times New Roman"/>
                <w:color w:val="000000"/>
                <w:sz w:val="20"/>
                <w:szCs w:val="20"/>
              </w:rPr>
            </w:pPr>
            <w:r w:rsidRPr="003D56F0">
              <w:rPr>
                <w:sz w:val="20"/>
                <w:szCs w:val="20"/>
              </w:rPr>
              <w:t>3318</w:t>
            </w:r>
          </w:p>
        </w:tc>
        <w:tc>
          <w:tcPr>
            <w:tcW w:w="699" w:type="pct"/>
            <w:shd w:val="clear" w:color="auto" w:fill="auto"/>
            <w:noWrap/>
            <w:tcMar>
              <w:top w:w="28" w:type="dxa"/>
              <w:left w:w="28" w:type="dxa"/>
              <w:bottom w:w="28" w:type="dxa"/>
              <w:right w:w="28" w:type="dxa"/>
            </w:tcMar>
            <w:vAlign w:val="bottom"/>
          </w:tcPr>
          <w:p w14:paraId="72AC3DB1" w14:textId="7F754485" w:rsidR="00EB1785" w:rsidRPr="003D56F0" w:rsidRDefault="00EB1785" w:rsidP="003D56F0">
            <w:pPr>
              <w:rPr>
                <w:rFonts w:eastAsia="Times New Roman"/>
                <w:color w:val="000000"/>
                <w:sz w:val="20"/>
                <w:szCs w:val="20"/>
              </w:rPr>
            </w:pPr>
            <w:r w:rsidRPr="003D56F0">
              <w:rPr>
                <w:sz w:val="20"/>
                <w:szCs w:val="20"/>
              </w:rPr>
              <w:t>5530</w:t>
            </w:r>
          </w:p>
        </w:tc>
      </w:tr>
      <w:tr w:rsidR="00EB1785" w:rsidRPr="003D56F0" w14:paraId="60AA512C" w14:textId="77777777" w:rsidTr="00CF40BF">
        <w:trPr>
          <w:trHeight w:val="300"/>
        </w:trPr>
        <w:tc>
          <w:tcPr>
            <w:tcW w:w="2729" w:type="pct"/>
            <w:shd w:val="clear" w:color="auto" w:fill="auto"/>
            <w:noWrap/>
            <w:tcMar>
              <w:top w:w="28" w:type="dxa"/>
              <w:left w:w="28" w:type="dxa"/>
              <w:bottom w:w="28" w:type="dxa"/>
              <w:right w:w="28" w:type="dxa"/>
            </w:tcMar>
            <w:vAlign w:val="bottom"/>
          </w:tcPr>
          <w:p w14:paraId="722556D9" w14:textId="4ED63F71" w:rsidR="00EB1785" w:rsidRPr="003D56F0" w:rsidRDefault="00EB1785" w:rsidP="003D56F0">
            <w:pPr>
              <w:rPr>
                <w:rFonts w:eastAsia="Times New Roman"/>
                <w:color w:val="000000"/>
                <w:sz w:val="20"/>
                <w:szCs w:val="20"/>
              </w:rPr>
            </w:pPr>
            <w:r w:rsidRPr="003D56F0">
              <w:rPr>
                <w:sz w:val="20"/>
                <w:szCs w:val="20"/>
              </w:rPr>
              <w:t>Cost of cannabis arrest</w:t>
            </w:r>
          </w:p>
        </w:tc>
        <w:tc>
          <w:tcPr>
            <w:tcW w:w="785" w:type="pct"/>
            <w:shd w:val="clear" w:color="auto" w:fill="auto"/>
            <w:noWrap/>
            <w:tcMar>
              <w:top w:w="28" w:type="dxa"/>
              <w:left w:w="28" w:type="dxa"/>
              <w:bottom w:w="28" w:type="dxa"/>
              <w:right w:w="28" w:type="dxa"/>
            </w:tcMar>
            <w:vAlign w:val="bottom"/>
          </w:tcPr>
          <w:p w14:paraId="1D81C85B" w14:textId="0C4CBA81" w:rsidR="00EB1785" w:rsidRPr="003D56F0" w:rsidRDefault="00EB1785" w:rsidP="003D56F0">
            <w:pPr>
              <w:rPr>
                <w:rFonts w:eastAsia="Times New Roman"/>
                <w:color w:val="000000"/>
                <w:sz w:val="20"/>
                <w:szCs w:val="20"/>
              </w:rPr>
            </w:pPr>
            <w:r w:rsidRPr="003D56F0">
              <w:rPr>
                <w:sz w:val="20"/>
                <w:szCs w:val="20"/>
              </w:rPr>
              <w:t>500</w:t>
            </w:r>
          </w:p>
        </w:tc>
        <w:tc>
          <w:tcPr>
            <w:tcW w:w="787" w:type="pct"/>
            <w:shd w:val="clear" w:color="auto" w:fill="auto"/>
            <w:noWrap/>
            <w:tcMar>
              <w:top w:w="28" w:type="dxa"/>
              <w:left w:w="28" w:type="dxa"/>
              <w:bottom w:w="28" w:type="dxa"/>
              <w:right w:w="28" w:type="dxa"/>
            </w:tcMar>
            <w:vAlign w:val="bottom"/>
          </w:tcPr>
          <w:p w14:paraId="16F018C3" w14:textId="50D2B014" w:rsidR="00EB1785" w:rsidRPr="003D56F0" w:rsidRDefault="00EB1785" w:rsidP="003D56F0">
            <w:pPr>
              <w:rPr>
                <w:rFonts w:eastAsia="Times New Roman"/>
                <w:color w:val="000000"/>
                <w:sz w:val="20"/>
                <w:szCs w:val="20"/>
              </w:rPr>
            </w:pPr>
            <w:r w:rsidRPr="003D56F0">
              <w:rPr>
                <w:sz w:val="20"/>
                <w:szCs w:val="20"/>
              </w:rPr>
              <w:t>375</w:t>
            </w:r>
          </w:p>
        </w:tc>
        <w:tc>
          <w:tcPr>
            <w:tcW w:w="699" w:type="pct"/>
            <w:shd w:val="clear" w:color="auto" w:fill="auto"/>
            <w:noWrap/>
            <w:tcMar>
              <w:top w:w="28" w:type="dxa"/>
              <w:left w:w="28" w:type="dxa"/>
              <w:bottom w:w="28" w:type="dxa"/>
              <w:right w:w="28" w:type="dxa"/>
            </w:tcMar>
            <w:vAlign w:val="bottom"/>
          </w:tcPr>
          <w:p w14:paraId="13F2B22E" w14:textId="3DB9E295" w:rsidR="00EB1785" w:rsidRPr="003D56F0" w:rsidRDefault="00EB1785" w:rsidP="003D56F0">
            <w:pPr>
              <w:rPr>
                <w:rFonts w:eastAsia="Times New Roman"/>
                <w:color w:val="000000"/>
                <w:sz w:val="20"/>
                <w:szCs w:val="20"/>
              </w:rPr>
            </w:pPr>
            <w:r w:rsidRPr="003D56F0">
              <w:rPr>
                <w:sz w:val="20"/>
                <w:szCs w:val="20"/>
              </w:rPr>
              <w:t>5677</w:t>
            </w:r>
          </w:p>
        </w:tc>
      </w:tr>
      <w:tr w:rsidR="00510C97" w:rsidRPr="003D56F0" w14:paraId="6D72E1E1" w14:textId="77777777" w:rsidTr="002006E5">
        <w:trPr>
          <w:trHeight w:val="300"/>
        </w:trPr>
        <w:tc>
          <w:tcPr>
            <w:tcW w:w="2729" w:type="pct"/>
            <w:shd w:val="clear" w:color="auto" w:fill="auto"/>
            <w:noWrap/>
            <w:tcMar>
              <w:top w:w="28" w:type="dxa"/>
              <w:left w:w="28" w:type="dxa"/>
              <w:bottom w:w="28" w:type="dxa"/>
              <w:right w:w="28" w:type="dxa"/>
            </w:tcMar>
          </w:tcPr>
          <w:p w14:paraId="21D28CF2" w14:textId="1233AA32" w:rsidR="00510C97" w:rsidRPr="003D56F0" w:rsidRDefault="00510C97" w:rsidP="003D56F0">
            <w:pPr>
              <w:rPr>
                <w:rFonts w:eastAsia="Times New Roman"/>
                <w:color w:val="000000"/>
                <w:sz w:val="20"/>
                <w:szCs w:val="20"/>
              </w:rPr>
            </w:pPr>
            <w:r w:rsidRPr="003D56F0">
              <w:rPr>
                <w:sz w:val="20"/>
                <w:szCs w:val="20"/>
              </w:rPr>
              <w:t>Total cost of cannabis road traffic accidents</w:t>
            </w:r>
          </w:p>
        </w:tc>
        <w:tc>
          <w:tcPr>
            <w:tcW w:w="785" w:type="pct"/>
            <w:shd w:val="clear" w:color="auto" w:fill="auto"/>
            <w:noWrap/>
            <w:tcMar>
              <w:top w:w="28" w:type="dxa"/>
              <w:left w:w="28" w:type="dxa"/>
              <w:bottom w:w="28" w:type="dxa"/>
              <w:right w:w="28" w:type="dxa"/>
            </w:tcMar>
          </w:tcPr>
          <w:p w14:paraId="2575E719" w14:textId="6314EB79" w:rsidR="00510C97" w:rsidRPr="003D56F0" w:rsidRDefault="00510C97" w:rsidP="003D56F0">
            <w:pPr>
              <w:rPr>
                <w:rFonts w:eastAsia="Times New Roman"/>
                <w:color w:val="000000"/>
                <w:sz w:val="20"/>
                <w:szCs w:val="20"/>
              </w:rPr>
            </w:pPr>
            <w:r w:rsidRPr="003D56F0">
              <w:rPr>
                <w:sz w:val="20"/>
                <w:szCs w:val="20"/>
              </w:rPr>
              <w:t>£96</w:t>
            </w:r>
          </w:p>
        </w:tc>
        <w:tc>
          <w:tcPr>
            <w:tcW w:w="787" w:type="pct"/>
            <w:shd w:val="clear" w:color="auto" w:fill="auto"/>
            <w:noWrap/>
            <w:tcMar>
              <w:top w:w="28" w:type="dxa"/>
              <w:left w:w="28" w:type="dxa"/>
              <w:bottom w:w="28" w:type="dxa"/>
              <w:right w:w="28" w:type="dxa"/>
            </w:tcMar>
          </w:tcPr>
          <w:p w14:paraId="372F72FD" w14:textId="69C40F2E" w:rsidR="00510C97" w:rsidRPr="003D56F0" w:rsidRDefault="00510C97" w:rsidP="003D56F0">
            <w:pPr>
              <w:rPr>
                <w:rFonts w:eastAsia="Times New Roman"/>
                <w:color w:val="000000"/>
                <w:sz w:val="20"/>
                <w:szCs w:val="20"/>
              </w:rPr>
            </w:pPr>
            <w:r w:rsidRPr="003D56F0">
              <w:rPr>
                <w:sz w:val="20"/>
                <w:szCs w:val="20"/>
              </w:rPr>
              <w:t>£0</w:t>
            </w:r>
          </w:p>
        </w:tc>
        <w:tc>
          <w:tcPr>
            <w:tcW w:w="699" w:type="pct"/>
            <w:shd w:val="clear" w:color="auto" w:fill="auto"/>
            <w:noWrap/>
            <w:tcMar>
              <w:top w:w="28" w:type="dxa"/>
              <w:left w:w="28" w:type="dxa"/>
              <w:bottom w:w="28" w:type="dxa"/>
              <w:right w:w="28" w:type="dxa"/>
            </w:tcMar>
          </w:tcPr>
          <w:p w14:paraId="325B23A3" w14:textId="218755BE" w:rsidR="00510C97" w:rsidRPr="003D56F0" w:rsidRDefault="00510C97" w:rsidP="003D56F0">
            <w:pPr>
              <w:rPr>
                <w:rFonts w:eastAsia="Times New Roman"/>
                <w:color w:val="000000"/>
                <w:sz w:val="20"/>
                <w:szCs w:val="20"/>
              </w:rPr>
            </w:pPr>
            <w:r w:rsidRPr="003D56F0">
              <w:rPr>
                <w:sz w:val="20"/>
                <w:szCs w:val="20"/>
              </w:rPr>
              <w:t>£120</w:t>
            </w:r>
          </w:p>
        </w:tc>
      </w:tr>
      <w:tr w:rsidR="00510C97" w:rsidRPr="003D56F0" w14:paraId="49771EE9" w14:textId="77777777" w:rsidTr="002006E5">
        <w:trPr>
          <w:trHeight w:val="300"/>
        </w:trPr>
        <w:tc>
          <w:tcPr>
            <w:tcW w:w="2729" w:type="pct"/>
            <w:shd w:val="clear" w:color="auto" w:fill="auto"/>
            <w:noWrap/>
            <w:tcMar>
              <w:top w:w="28" w:type="dxa"/>
              <w:left w:w="28" w:type="dxa"/>
              <w:bottom w:w="28" w:type="dxa"/>
              <w:right w:w="28" w:type="dxa"/>
            </w:tcMar>
          </w:tcPr>
          <w:p w14:paraId="76FB9508" w14:textId="349A5A59" w:rsidR="00510C97" w:rsidRPr="003D56F0" w:rsidRDefault="00510C97" w:rsidP="003D56F0">
            <w:pPr>
              <w:rPr>
                <w:rFonts w:eastAsia="Times New Roman"/>
                <w:color w:val="000000"/>
                <w:sz w:val="20"/>
                <w:szCs w:val="20"/>
              </w:rPr>
            </w:pPr>
            <w:r w:rsidRPr="003D56F0">
              <w:rPr>
                <w:sz w:val="20"/>
                <w:szCs w:val="20"/>
              </w:rPr>
              <w:t>Cannabis offences in England and Wales (2014-2015) per 1,000 cannabis users</w:t>
            </w:r>
          </w:p>
        </w:tc>
        <w:tc>
          <w:tcPr>
            <w:tcW w:w="785" w:type="pct"/>
            <w:shd w:val="clear" w:color="auto" w:fill="auto"/>
            <w:noWrap/>
            <w:tcMar>
              <w:top w:w="28" w:type="dxa"/>
              <w:left w:w="28" w:type="dxa"/>
              <w:bottom w:w="28" w:type="dxa"/>
              <w:right w:w="28" w:type="dxa"/>
            </w:tcMar>
          </w:tcPr>
          <w:p w14:paraId="2C914DBE" w14:textId="2088D68F" w:rsidR="00510C97" w:rsidRPr="003D56F0" w:rsidRDefault="00510C97" w:rsidP="003D56F0">
            <w:pPr>
              <w:rPr>
                <w:rFonts w:eastAsia="Times New Roman"/>
                <w:color w:val="000000"/>
                <w:sz w:val="20"/>
                <w:szCs w:val="20"/>
              </w:rPr>
            </w:pPr>
            <w:r w:rsidRPr="003D56F0">
              <w:rPr>
                <w:sz w:val="20"/>
                <w:szCs w:val="20"/>
              </w:rPr>
              <w:t>50.27</w:t>
            </w:r>
          </w:p>
        </w:tc>
        <w:tc>
          <w:tcPr>
            <w:tcW w:w="787" w:type="pct"/>
            <w:shd w:val="clear" w:color="auto" w:fill="auto"/>
            <w:noWrap/>
            <w:tcMar>
              <w:top w:w="28" w:type="dxa"/>
              <w:left w:w="28" w:type="dxa"/>
              <w:bottom w:w="28" w:type="dxa"/>
              <w:right w:w="28" w:type="dxa"/>
            </w:tcMar>
          </w:tcPr>
          <w:p w14:paraId="5D6032D6" w14:textId="5FF1216E" w:rsidR="00510C97" w:rsidRPr="003D56F0" w:rsidRDefault="00510C97" w:rsidP="003D56F0">
            <w:pPr>
              <w:rPr>
                <w:rFonts w:eastAsia="Times New Roman"/>
                <w:color w:val="000000"/>
                <w:sz w:val="20"/>
                <w:szCs w:val="20"/>
              </w:rPr>
            </w:pPr>
            <w:r w:rsidRPr="003D56F0">
              <w:rPr>
                <w:sz w:val="20"/>
                <w:szCs w:val="20"/>
              </w:rPr>
              <w:t>37.70</w:t>
            </w:r>
          </w:p>
        </w:tc>
        <w:tc>
          <w:tcPr>
            <w:tcW w:w="699" w:type="pct"/>
            <w:shd w:val="clear" w:color="auto" w:fill="auto"/>
            <w:noWrap/>
            <w:tcMar>
              <w:top w:w="28" w:type="dxa"/>
              <w:left w:w="28" w:type="dxa"/>
              <w:bottom w:w="28" w:type="dxa"/>
              <w:right w:w="28" w:type="dxa"/>
            </w:tcMar>
          </w:tcPr>
          <w:p w14:paraId="4E8B1A27" w14:textId="409C56C5" w:rsidR="00510C97" w:rsidRPr="003D56F0" w:rsidRDefault="00510C97" w:rsidP="003D56F0">
            <w:pPr>
              <w:rPr>
                <w:rFonts w:eastAsia="Times New Roman"/>
                <w:color w:val="000000"/>
                <w:sz w:val="20"/>
                <w:szCs w:val="20"/>
              </w:rPr>
            </w:pPr>
            <w:r w:rsidRPr="003D56F0">
              <w:rPr>
                <w:sz w:val="20"/>
                <w:szCs w:val="20"/>
              </w:rPr>
              <w:t>62.84</w:t>
            </w:r>
          </w:p>
        </w:tc>
      </w:tr>
    </w:tbl>
    <w:p w14:paraId="5D8388FB" w14:textId="77777777" w:rsidR="008327CD" w:rsidRPr="003D56F0" w:rsidRDefault="008327CD" w:rsidP="00CC7EC2">
      <w:pPr>
        <w:rPr>
          <w:sz w:val="20"/>
          <w:szCs w:val="20"/>
        </w:rPr>
      </w:pPr>
    </w:p>
    <w:p w14:paraId="0D9DC07E" w14:textId="77777777" w:rsidR="008327CD" w:rsidRPr="003D56F0" w:rsidRDefault="008327CD" w:rsidP="00AD2788">
      <w:pPr>
        <w:rPr>
          <w:sz w:val="20"/>
          <w:szCs w:val="20"/>
        </w:rPr>
      </w:pPr>
    </w:p>
    <w:p w14:paraId="3CA20D8E" w14:textId="2CD04745" w:rsidR="00CE6D8C" w:rsidRPr="003D56F0" w:rsidRDefault="00CE6D8C" w:rsidP="003D56F0">
      <w:pPr>
        <w:rPr>
          <w:sz w:val="20"/>
          <w:szCs w:val="20"/>
        </w:rPr>
      </w:pPr>
      <w:r w:rsidRPr="003D56F0">
        <w:rPr>
          <w:sz w:val="20"/>
          <w:szCs w:val="20"/>
        </w:rPr>
        <w:br w:type="page"/>
      </w:r>
    </w:p>
    <w:p w14:paraId="7319778C" w14:textId="77777777" w:rsidR="00CE6D8C" w:rsidRPr="003D56F0" w:rsidRDefault="00CE6D8C" w:rsidP="00CC7EC2">
      <w:pPr>
        <w:pStyle w:val="Heading3"/>
        <w:rPr>
          <w:sz w:val="20"/>
          <w:szCs w:val="20"/>
        </w:rPr>
      </w:pPr>
      <w:bookmarkStart w:id="79" w:name="_Toc452035658"/>
      <w:r w:rsidRPr="003D56F0">
        <w:rPr>
          <w:sz w:val="20"/>
          <w:szCs w:val="20"/>
        </w:rPr>
        <w:lastRenderedPageBreak/>
        <w:t>7.4 Model based on Martin et al. (2010): "Brief intervention for regular ecstasy (MDMA) users: Pilot randomised trial of a Check-up model."</w:t>
      </w:r>
      <w:bookmarkEnd w:id="79"/>
    </w:p>
    <w:tbl>
      <w:tblPr>
        <w:tblW w:w="5000" w:type="pct"/>
        <w:tblLayout w:type="fixed"/>
        <w:tblLook w:val="04A0" w:firstRow="1" w:lastRow="0" w:firstColumn="1" w:lastColumn="0" w:noHBand="0" w:noVBand="1"/>
      </w:tblPr>
      <w:tblGrid>
        <w:gridCol w:w="1320"/>
        <w:gridCol w:w="1349"/>
        <w:gridCol w:w="6573"/>
      </w:tblGrid>
      <w:tr w:rsidR="00CE6D8C" w:rsidRPr="003D56F0" w14:paraId="20CE5EF5" w14:textId="77777777" w:rsidTr="00AC1AF3">
        <w:trPr>
          <w:trHeight w:val="300"/>
          <w:tblHeader/>
        </w:trPr>
        <w:tc>
          <w:tcPr>
            <w:tcW w:w="714" w:type="pct"/>
            <w:tcBorders>
              <w:top w:val="single" w:sz="4" w:space="0" w:color="auto"/>
              <w:left w:val="single" w:sz="4" w:space="0" w:color="auto"/>
              <w:bottom w:val="single" w:sz="4" w:space="0" w:color="auto"/>
              <w:right w:val="single" w:sz="4" w:space="0" w:color="auto"/>
            </w:tcBorders>
            <w:shd w:val="clear" w:color="auto" w:fill="auto"/>
            <w:hideMark/>
          </w:tcPr>
          <w:p w14:paraId="5FCE0FF1" w14:textId="77777777" w:rsidR="00CE6D8C" w:rsidRPr="003D56F0" w:rsidRDefault="00CE6D8C" w:rsidP="00AD2788">
            <w:pPr>
              <w:rPr>
                <w:sz w:val="20"/>
                <w:szCs w:val="20"/>
              </w:rPr>
            </w:pPr>
            <w:r w:rsidRPr="003D56F0">
              <w:rPr>
                <w:sz w:val="20"/>
                <w:szCs w:val="20"/>
              </w:rPr>
              <w:t>Input/Outcome</w:t>
            </w:r>
          </w:p>
        </w:tc>
        <w:tc>
          <w:tcPr>
            <w:tcW w:w="730" w:type="pct"/>
            <w:tcBorders>
              <w:top w:val="single" w:sz="4" w:space="0" w:color="auto"/>
              <w:left w:val="nil"/>
              <w:bottom w:val="single" w:sz="4" w:space="0" w:color="auto"/>
              <w:right w:val="single" w:sz="4" w:space="0" w:color="auto"/>
            </w:tcBorders>
            <w:shd w:val="clear" w:color="auto" w:fill="auto"/>
            <w:hideMark/>
          </w:tcPr>
          <w:p w14:paraId="7F4675B3" w14:textId="77777777" w:rsidR="00CE6D8C" w:rsidRPr="003D56F0" w:rsidRDefault="00CE6D8C">
            <w:pPr>
              <w:rPr>
                <w:sz w:val="20"/>
                <w:szCs w:val="20"/>
              </w:rPr>
            </w:pPr>
            <w:r w:rsidRPr="003D56F0">
              <w:rPr>
                <w:sz w:val="20"/>
                <w:szCs w:val="20"/>
              </w:rPr>
              <w:t>Assumption</w:t>
            </w:r>
          </w:p>
        </w:tc>
        <w:tc>
          <w:tcPr>
            <w:tcW w:w="3556" w:type="pct"/>
            <w:tcBorders>
              <w:top w:val="single" w:sz="4" w:space="0" w:color="auto"/>
              <w:left w:val="nil"/>
              <w:bottom w:val="single" w:sz="4" w:space="0" w:color="auto"/>
              <w:right w:val="single" w:sz="4" w:space="0" w:color="auto"/>
            </w:tcBorders>
            <w:shd w:val="clear" w:color="auto" w:fill="auto"/>
            <w:hideMark/>
          </w:tcPr>
          <w:p w14:paraId="4D1E5C79" w14:textId="77777777" w:rsidR="00CE6D8C" w:rsidRPr="003D56F0" w:rsidRDefault="00CE6D8C">
            <w:pPr>
              <w:rPr>
                <w:sz w:val="20"/>
                <w:szCs w:val="20"/>
              </w:rPr>
            </w:pPr>
            <w:r w:rsidRPr="003D56F0">
              <w:rPr>
                <w:sz w:val="20"/>
                <w:szCs w:val="20"/>
              </w:rPr>
              <w:t>Data source</w:t>
            </w:r>
          </w:p>
        </w:tc>
      </w:tr>
      <w:tr w:rsidR="00CE6D8C" w:rsidRPr="003D56F0" w14:paraId="65F6DAB4" w14:textId="77777777" w:rsidTr="00AC1AF3">
        <w:trPr>
          <w:trHeight w:val="811"/>
        </w:trPr>
        <w:tc>
          <w:tcPr>
            <w:tcW w:w="714" w:type="pct"/>
            <w:tcBorders>
              <w:top w:val="nil"/>
              <w:left w:val="single" w:sz="4" w:space="0" w:color="auto"/>
              <w:bottom w:val="single" w:sz="4" w:space="0" w:color="auto"/>
              <w:right w:val="single" w:sz="4" w:space="0" w:color="auto"/>
            </w:tcBorders>
            <w:shd w:val="clear" w:color="auto" w:fill="auto"/>
            <w:hideMark/>
          </w:tcPr>
          <w:p w14:paraId="281D9E0B" w14:textId="77777777" w:rsidR="00CE6D8C" w:rsidRPr="003D56F0" w:rsidRDefault="00CE6D8C" w:rsidP="00CC7EC2">
            <w:pPr>
              <w:rPr>
                <w:sz w:val="20"/>
                <w:szCs w:val="20"/>
              </w:rPr>
            </w:pPr>
            <w:r w:rsidRPr="003D56F0">
              <w:rPr>
                <w:sz w:val="20"/>
                <w:szCs w:val="20"/>
              </w:rPr>
              <w:t>Target population</w:t>
            </w:r>
          </w:p>
        </w:tc>
        <w:tc>
          <w:tcPr>
            <w:tcW w:w="730" w:type="pct"/>
            <w:tcBorders>
              <w:top w:val="nil"/>
              <w:left w:val="nil"/>
              <w:bottom w:val="single" w:sz="4" w:space="0" w:color="auto"/>
              <w:right w:val="single" w:sz="4" w:space="0" w:color="auto"/>
            </w:tcBorders>
            <w:shd w:val="clear" w:color="auto" w:fill="auto"/>
            <w:hideMark/>
          </w:tcPr>
          <w:p w14:paraId="1344D8F3" w14:textId="77777777" w:rsidR="00CE6D8C" w:rsidRPr="003D56F0" w:rsidRDefault="00CE6D8C" w:rsidP="00AD2788">
            <w:pPr>
              <w:rPr>
                <w:sz w:val="20"/>
                <w:szCs w:val="20"/>
              </w:rPr>
            </w:pPr>
            <w:r w:rsidRPr="003D56F0">
              <w:rPr>
                <w:sz w:val="20"/>
                <w:szCs w:val="20"/>
              </w:rPr>
              <w:t>637,261</w:t>
            </w:r>
          </w:p>
        </w:tc>
        <w:tc>
          <w:tcPr>
            <w:tcW w:w="3556" w:type="pct"/>
            <w:tcBorders>
              <w:top w:val="nil"/>
              <w:left w:val="nil"/>
              <w:bottom w:val="single" w:sz="4" w:space="0" w:color="auto"/>
              <w:right w:val="single" w:sz="4" w:space="0" w:color="auto"/>
            </w:tcBorders>
            <w:shd w:val="clear" w:color="auto" w:fill="auto"/>
            <w:hideMark/>
          </w:tcPr>
          <w:p w14:paraId="5343AAA8" w14:textId="77777777" w:rsidR="00CE6D8C" w:rsidRPr="003D56F0" w:rsidRDefault="00CE6D8C" w:rsidP="003D56F0">
            <w:pPr>
              <w:rPr>
                <w:rFonts w:eastAsia="Times New Roman"/>
                <w:color w:val="000000"/>
                <w:sz w:val="20"/>
                <w:szCs w:val="20"/>
              </w:rPr>
            </w:pPr>
            <w:r w:rsidRPr="003D56F0">
              <w:rPr>
                <w:sz w:val="20"/>
                <w:szCs w:val="20"/>
              </w:rPr>
              <w:t>It was assumed that 5.4% of those aged 16-24 and 1.7% of those aged 25-59 participated in ecstasy consumption (CSEW 2014/15). Applying these to population estimates from the ONS,  gave estimates of 400,663 users (16-24) and 237,261 users (25-59).</w:t>
            </w:r>
          </w:p>
        </w:tc>
      </w:tr>
      <w:tr w:rsidR="00CE6D8C" w:rsidRPr="003D56F0" w14:paraId="46883F94" w14:textId="77777777" w:rsidTr="00AC1AF3">
        <w:trPr>
          <w:trHeight w:val="300"/>
        </w:trPr>
        <w:tc>
          <w:tcPr>
            <w:tcW w:w="714" w:type="pct"/>
            <w:tcBorders>
              <w:top w:val="nil"/>
              <w:left w:val="single" w:sz="4" w:space="0" w:color="auto"/>
              <w:bottom w:val="single" w:sz="4" w:space="0" w:color="auto"/>
              <w:right w:val="single" w:sz="4" w:space="0" w:color="auto"/>
            </w:tcBorders>
            <w:shd w:val="clear" w:color="auto" w:fill="auto"/>
            <w:hideMark/>
          </w:tcPr>
          <w:p w14:paraId="4A3105E7" w14:textId="77777777" w:rsidR="00CE6D8C" w:rsidRPr="003D56F0" w:rsidRDefault="00CE6D8C" w:rsidP="00CC7EC2">
            <w:pPr>
              <w:rPr>
                <w:sz w:val="20"/>
                <w:szCs w:val="20"/>
              </w:rPr>
            </w:pPr>
            <w:r w:rsidRPr="003D56F0">
              <w:rPr>
                <w:sz w:val="20"/>
                <w:szCs w:val="20"/>
              </w:rPr>
              <w:t>Intervention cost</w:t>
            </w:r>
          </w:p>
        </w:tc>
        <w:tc>
          <w:tcPr>
            <w:tcW w:w="730" w:type="pct"/>
            <w:tcBorders>
              <w:top w:val="nil"/>
              <w:left w:val="nil"/>
              <w:bottom w:val="single" w:sz="4" w:space="0" w:color="auto"/>
              <w:right w:val="single" w:sz="4" w:space="0" w:color="auto"/>
            </w:tcBorders>
            <w:shd w:val="clear" w:color="auto" w:fill="auto"/>
            <w:hideMark/>
          </w:tcPr>
          <w:p w14:paraId="55BC58F1" w14:textId="77777777" w:rsidR="00CE6D8C" w:rsidRPr="003D56F0" w:rsidRDefault="00CE6D8C" w:rsidP="00AD2788">
            <w:pPr>
              <w:rPr>
                <w:sz w:val="20"/>
                <w:szCs w:val="20"/>
              </w:rPr>
            </w:pPr>
            <w:r w:rsidRPr="003D56F0">
              <w:rPr>
                <w:sz w:val="20"/>
                <w:szCs w:val="20"/>
              </w:rPr>
              <w:t> £67</w:t>
            </w:r>
          </w:p>
        </w:tc>
        <w:tc>
          <w:tcPr>
            <w:tcW w:w="3556" w:type="pct"/>
            <w:tcBorders>
              <w:top w:val="nil"/>
              <w:left w:val="nil"/>
              <w:bottom w:val="single" w:sz="4" w:space="0" w:color="auto"/>
              <w:right w:val="single" w:sz="4" w:space="0" w:color="auto"/>
            </w:tcBorders>
            <w:shd w:val="clear" w:color="auto" w:fill="auto"/>
            <w:hideMark/>
          </w:tcPr>
          <w:p w14:paraId="35ACF037" w14:textId="77777777" w:rsidR="00CE6D8C" w:rsidRPr="003D56F0" w:rsidRDefault="00CE6D8C" w:rsidP="003D56F0">
            <w:pPr>
              <w:rPr>
                <w:rFonts w:eastAsia="Times New Roman"/>
                <w:color w:val="000000"/>
                <w:sz w:val="20"/>
                <w:szCs w:val="20"/>
              </w:rPr>
            </w:pPr>
            <w:r w:rsidRPr="003D56F0">
              <w:rPr>
                <w:rFonts w:eastAsia="Times New Roman"/>
                <w:color w:val="000000"/>
                <w:sz w:val="20"/>
                <w:szCs w:val="20"/>
              </w:rPr>
              <w:t>Based on </w:t>
            </w:r>
            <w:r w:rsidRPr="003D56F0">
              <w:rPr>
                <w:sz w:val="20"/>
                <w:szCs w:val="20"/>
              </w:rPr>
              <w:t>salary costs of a mental health nurse from PSSRU, which are £67 an hour for face to face contact.</w:t>
            </w:r>
          </w:p>
        </w:tc>
      </w:tr>
      <w:tr w:rsidR="00CE6D8C" w:rsidRPr="003D56F0" w14:paraId="44A2C46D" w14:textId="77777777" w:rsidTr="00AC1AF3">
        <w:trPr>
          <w:trHeight w:val="1450"/>
        </w:trPr>
        <w:tc>
          <w:tcPr>
            <w:tcW w:w="714" w:type="pct"/>
            <w:tcBorders>
              <w:top w:val="nil"/>
              <w:left w:val="single" w:sz="4" w:space="0" w:color="auto"/>
              <w:bottom w:val="single" w:sz="4" w:space="0" w:color="auto"/>
              <w:right w:val="single" w:sz="4" w:space="0" w:color="auto"/>
            </w:tcBorders>
            <w:shd w:val="clear" w:color="auto" w:fill="auto"/>
            <w:hideMark/>
          </w:tcPr>
          <w:p w14:paraId="73FBE32F" w14:textId="77777777" w:rsidR="00CE6D8C" w:rsidRPr="003D56F0" w:rsidRDefault="00CE6D8C" w:rsidP="00CC7EC2">
            <w:pPr>
              <w:rPr>
                <w:sz w:val="20"/>
                <w:szCs w:val="20"/>
              </w:rPr>
            </w:pPr>
            <w:r w:rsidRPr="003D56F0">
              <w:rPr>
                <w:sz w:val="20"/>
                <w:szCs w:val="20"/>
              </w:rPr>
              <w:t>Drug use - base case model</w:t>
            </w:r>
          </w:p>
        </w:tc>
        <w:tc>
          <w:tcPr>
            <w:tcW w:w="730" w:type="pct"/>
            <w:tcBorders>
              <w:top w:val="nil"/>
              <w:left w:val="nil"/>
              <w:bottom w:val="single" w:sz="4" w:space="0" w:color="auto"/>
              <w:right w:val="single" w:sz="4" w:space="0" w:color="auto"/>
            </w:tcBorders>
            <w:shd w:val="clear" w:color="auto" w:fill="auto"/>
            <w:hideMark/>
          </w:tcPr>
          <w:p w14:paraId="21477AC9" w14:textId="77777777" w:rsidR="00CE6D8C" w:rsidRPr="003D56F0" w:rsidRDefault="00CE6D8C" w:rsidP="00AD2788">
            <w:pPr>
              <w:rPr>
                <w:sz w:val="20"/>
                <w:szCs w:val="20"/>
              </w:rPr>
            </w:pPr>
            <w:r w:rsidRPr="003D56F0">
              <w:rPr>
                <w:b/>
                <w:bCs/>
                <w:sz w:val="20"/>
                <w:szCs w:val="20"/>
              </w:rPr>
              <w:t>Intervention:</w:t>
            </w:r>
            <w:r w:rsidRPr="003D56F0">
              <w:rPr>
                <w:sz w:val="20"/>
                <w:szCs w:val="20"/>
              </w:rPr>
              <w:t xml:space="preserve"> 0.674 (3 months)--&gt;1.0 (12 months)</w:t>
            </w:r>
            <w:r w:rsidRPr="003D56F0">
              <w:rPr>
                <w:sz w:val="20"/>
                <w:szCs w:val="20"/>
              </w:rPr>
              <w:br/>
            </w:r>
            <w:r w:rsidRPr="003D56F0">
              <w:rPr>
                <w:b/>
                <w:bCs/>
                <w:sz w:val="20"/>
                <w:szCs w:val="20"/>
              </w:rPr>
              <w:t>Control:</w:t>
            </w:r>
            <w:r w:rsidRPr="003D56F0">
              <w:rPr>
                <w:sz w:val="20"/>
                <w:szCs w:val="20"/>
              </w:rPr>
              <w:t xml:space="preserve"> 1.0 (3 months)--&gt; 1.0 (12months)</w:t>
            </w:r>
          </w:p>
        </w:tc>
        <w:tc>
          <w:tcPr>
            <w:tcW w:w="3556" w:type="pct"/>
            <w:tcBorders>
              <w:top w:val="nil"/>
              <w:left w:val="nil"/>
              <w:bottom w:val="single" w:sz="4" w:space="0" w:color="auto"/>
              <w:right w:val="single" w:sz="4" w:space="0" w:color="auto"/>
            </w:tcBorders>
            <w:shd w:val="clear" w:color="auto" w:fill="auto"/>
            <w:hideMark/>
          </w:tcPr>
          <w:p w14:paraId="4E3E3C79" w14:textId="77777777" w:rsidR="00CE6D8C" w:rsidRPr="003D56F0" w:rsidRDefault="00CE6D8C" w:rsidP="003D56F0">
            <w:pPr>
              <w:rPr>
                <w:rFonts w:eastAsia="Times New Roman"/>
                <w:color w:val="000000"/>
                <w:sz w:val="20"/>
                <w:szCs w:val="20"/>
              </w:rPr>
            </w:pPr>
            <w:r w:rsidRPr="003D56F0">
              <w:rPr>
                <w:sz w:val="20"/>
                <w:szCs w:val="20"/>
              </w:rPr>
              <w:t>Number of ecstasy pills consumed (90 days):</w:t>
            </w:r>
            <w:r w:rsidRPr="003D56F0">
              <w:rPr>
                <w:sz w:val="20"/>
                <w:szCs w:val="20"/>
              </w:rPr>
              <w:br/>
            </w:r>
            <w:r w:rsidRPr="003D56F0">
              <w:rPr>
                <w:b/>
                <w:bCs/>
                <w:sz w:val="20"/>
                <w:szCs w:val="20"/>
              </w:rPr>
              <w:t>Intervention:</w:t>
            </w:r>
            <w:r w:rsidRPr="003D56F0">
              <w:rPr>
                <w:sz w:val="20"/>
                <w:szCs w:val="20"/>
              </w:rPr>
              <w:t xml:space="preserve"> 16.48 (baseline)--&gt; 11.11 (3 months)... </w:t>
            </w:r>
            <w:r w:rsidRPr="003D56F0">
              <w:rPr>
                <w:b/>
                <w:bCs/>
                <w:sz w:val="20"/>
                <w:szCs w:val="20"/>
                <w:u w:val="single"/>
              </w:rPr>
              <w:t>Reduction of 32.6%.</w:t>
            </w:r>
            <w:r w:rsidRPr="003D56F0">
              <w:rPr>
                <w:sz w:val="20"/>
                <w:szCs w:val="20"/>
              </w:rPr>
              <w:br/>
            </w:r>
            <w:r w:rsidRPr="003D56F0">
              <w:rPr>
                <w:b/>
                <w:bCs/>
                <w:sz w:val="20"/>
                <w:szCs w:val="20"/>
              </w:rPr>
              <w:t xml:space="preserve">Control: </w:t>
            </w:r>
            <w:r w:rsidRPr="003D56F0">
              <w:rPr>
                <w:sz w:val="20"/>
                <w:szCs w:val="20"/>
              </w:rPr>
              <w:t>20.14 (baseline)--&gt;20.95 (3 months) Martin et al. (2010)</w:t>
            </w:r>
          </w:p>
        </w:tc>
      </w:tr>
      <w:tr w:rsidR="00CE6D8C" w:rsidRPr="003D56F0" w14:paraId="7CD6A4A3" w14:textId="77777777" w:rsidTr="00AC1AF3">
        <w:trPr>
          <w:trHeight w:val="1200"/>
        </w:trPr>
        <w:tc>
          <w:tcPr>
            <w:tcW w:w="714" w:type="pct"/>
            <w:tcBorders>
              <w:top w:val="nil"/>
              <w:left w:val="single" w:sz="4" w:space="0" w:color="auto"/>
              <w:bottom w:val="single" w:sz="4" w:space="0" w:color="auto"/>
              <w:right w:val="single" w:sz="4" w:space="0" w:color="auto"/>
            </w:tcBorders>
            <w:shd w:val="clear" w:color="auto" w:fill="auto"/>
            <w:hideMark/>
          </w:tcPr>
          <w:p w14:paraId="3356549A" w14:textId="77777777" w:rsidR="00CE6D8C" w:rsidRPr="003D56F0" w:rsidRDefault="00CE6D8C" w:rsidP="00CC7EC2">
            <w:pPr>
              <w:rPr>
                <w:sz w:val="20"/>
                <w:szCs w:val="20"/>
              </w:rPr>
            </w:pPr>
            <w:r w:rsidRPr="003D56F0">
              <w:rPr>
                <w:sz w:val="20"/>
                <w:szCs w:val="20"/>
              </w:rPr>
              <w:t>Drug use - maintained reduction scenario</w:t>
            </w:r>
          </w:p>
        </w:tc>
        <w:tc>
          <w:tcPr>
            <w:tcW w:w="730" w:type="pct"/>
            <w:tcBorders>
              <w:top w:val="nil"/>
              <w:left w:val="nil"/>
              <w:bottom w:val="single" w:sz="4" w:space="0" w:color="auto"/>
              <w:right w:val="single" w:sz="4" w:space="0" w:color="auto"/>
            </w:tcBorders>
            <w:shd w:val="clear" w:color="auto" w:fill="auto"/>
            <w:hideMark/>
          </w:tcPr>
          <w:p w14:paraId="11F86AF8" w14:textId="77777777" w:rsidR="00CE6D8C" w:rsidRPr="003D56F0" w:rsidRDefault="00CE6D8C" w:rsidP="00AD2788">
            <w:pPr>
              <w:rPr>
                <w:sz w:val="20"/>
                <w:szCs w:val="20"/>
              </w:rPr>
            </w:pPr>
            <w:r w:rsidRPr="003D56F0">
              <w:rPr>
                <w:b/>
                <w:bCs/>
                <w:sz w:val="20"/>
                <w:szCs w:val="20"/>
              </w:rPr>
              <w:t>Intervention:</w:t>
            </w:r>
            <w:r w:rsidRPr="003D56F0">
              <w:rPr>
                <w:sz w:val="20"/>
                <w:szCs w:val="20"/>
              </w:rPr>
              <w:t xml:space="preserve"> Linear increase from 0.674 (3months) to 1.0 (24 months)</w:t>
            </w:r>
            <w:r w:rsidRPr="003D56F0">
              <w:rPr>
                <w:sz w:val="20"/>
                <w:szCs w:val="20"/>
              </w:rPr>
              <w:br/>
            </w:r>
            <w:r w:rsidRPr="003D56F0">
              <w:rPr>
                <w:b/>
                <w:bCs/>
                <w:sz w:val="20"/>
                <w:szCs w:val="20"/>
              </w:rPr>
              <w:t xml:space="preserve">Control: </w:t>
            </w:r>
            <w:r w:rsidRPr="003D56F0">
              <w:rPr>
                <w:sz w:val="20"/>
                <w:szCs w:val="20"/>
              </w:rPr>
              <w:t>1.0 (3 months)--&gt;1.0 (24 months)</w:t>
            </w:r>
          </w:p>
        </w:tc>
        <w:tc>
          <w:tcPr>
            <w:tcW w:w="3556" w:type="pct"/>
            <w:tcBorders>
              <w:top w:val="nil"/>
              <w:left w:val="nil"/>
              <w:bottom w:val="single" w:sz="4" w:space="0" w:color="auto"/>
              <w:right w:val="single" w:sz="4" w:space="0" w:color="auto"/>
            </w:tcBorders>
            <w:shd w:val="clear" w:color="auto" w:fill="auto"/>
            <w:hideMark/>
          </w:tcPr>
          <w:p w14:paraId="022C6977" w14:textId="77777777" w:rsidR="00CE6D8C" w:rsidRPr="003D56F0" w:rsidRDefault="00CE6D8C">
            <w:pPr>
              <w:rPr>
                <w:sz w:val="20"/>
                <w:szCs w:val="20"/>
              </w:rPr>
            </w:pPr>
          </w:p>
        </w:tc>
      </w:tr>
      <w:tr w:rsidR="00CE6D8C" w:rsidRPr="003D56F0" w14:paraId="11072341" w14:textId="77777777" w:rsidTr="00AC1AF3">
        <w:trPr>
          <w:trHeight w:val="1330"/>
        </w:trPr>
        <w:tc>
          <w:tcPr>
            <w:tcW w:w="714" w:type="pct"/>
            <w:tcBorders>
              <w:top w:val="nil"/>
              <w:left w:val="single" w:sz="4" w:space="0" w:color="auto"/>
              <w:bottom w:val="single" w:sz="4" w:space="0" w:color="auto"/>
              <w:right w:val="single" w:sz="4" w:space="0" w:color="auto"/>
            </w:tcBorders>
            <w:shd w:val="clear" w:color="auto" w:fill="auto"/>
            <w:hideMark/>
          </w:tcPr>
          <w:p w14:paraId="5176FA13" w14:textId="77777777" w:rsidR="00CE6D8C" w:rsidRPr="003D56F0" w:rsidRDefault="00CE6D8C" w:rsidP="00CC7EC2">
            <w:pPr>
              <w:rPr>
                <w:sz w:val="20"/>
                <w:szCs w:val="20"/>
              </w:rPr>
            </w:pPr>
            <w:r w:rsidRPr="003D56F0">
              <w:rPr>
                <w:sz w:val="20"/>
                <w:szCs w:val="20"/>
              </w:rPr>
              <w:t>Ecstasy specific hospital (inpatient) costs</w:t>
            </w:r>
          </w:p>
        </w:tc>
        <w:tc>
          <w:tcPr>
            <w:tcW w:w="730" w:type="pct"/>
            <w:tcBorders>
              <w:top w:val="nil"/>
              <w:left w:val="nil"/>
              <w:bottom w:val="single" w:sz="4" w:space="0" w:color="auto"/>
              <w:right w:val="single" w:sz="4" w:space="0" w:color="auto"/>
            </w:tcBorders>
            <w:shd w:val="clear" w:color="auto" w:fill="auto"/>
            <w:hideMark/>
          </w:tcPr>
          <w:p w14:paraId="5C649B38" w14:textId="77777777" w:rsidR="00CE6D8C" w:rsidRPr="003D56F0" w:rsidRDefault="00CE6D8C" w:rsidP="00AD2788">
            <w:pPr>
              <w:rPr>
                <w:sz w:val="20"/>
                <w:szCs w:val="20"/>
              </w:rPr>
            </w:pPr>
            <w:r w:rsidRPr="003D56F0">
              <w:rPr>
                <w:sz w:val="20"/>
                <w:szCs w:val="20"/>
              </w:rPr>
              <w:t>£0.02 per tablet</w:t>
            </w:r>
          </w:p>
        </w:tc>
        <w:tc>
          <w:tcPr>
            <w:tcW w:w="3556" w:type="pct"/>
            <w:tcBorders>
              <w:top w:val="nil"/>
              <w:left w:val="nil"/>
              <w:bottom w:val="single" w:sz="4" w:space="0" w:color="auto"/>
              <w:right w:val="single" w:sz="4" w:space="0" w:color="auto"/>
            </w:tcBorders>
            <w:shd w:val="clear" w:color="auto" w:fill="auto"/>
            <w:hideMark/>
          </w:tcPr>
          <w:p w14:paraId="1AA397E6" w14:textId="77777777" w:rsidR="00CE6D8C" w:rsidRPr="003D56F0" w:rsidRDefault="00CE6D8C" w:rsidP="003D56F0">
            <w:pPr>
              <w:rPr>
                <w:rFonts w:eastAsia="Times New Roman"/>
                <w:color w:val="000000"/>
                <w:sz w:val="20"/>
                <w:szCs w:val="20"/>
              </w:rPr>
            </w:pPr>
            <w:r w:rsidRPr="003D56F0">
              <w:rPr>
                <w:sz w:val="20"/>
                <w:szCs w:val="20"/>
              </w:rPr>
              <w:t xml:space="preserve">Based on an estimated 1,556 annual admissions for ecstasy poisoning out of an estimated 26m tablets consumed annually (ACPO 2008). Assumption of 3 hour stay in the case of ecstasy poisoning, (Horyniak 2013) at a cost of £124 per hour of patient contact (NHS reference costs), giving an estimate of £372 per admission or £0.02 per tablet. </w:t>
            </w:r>
          </w:p>
        </w:tc>
      </w:tr>
      <w:tr w:rsidR="00CE6D8C" w:rsidRPr="003D56F0" w14:paraId="78858D22" w14:textId="77777777" w:rsidTr="00AC1AF3">
        <w:trPr>
          <w:trHeight w:val="853"/>
        </w:trPr>
        <w:tc>
          <w:tcPr>
            <w:tcW w:w="714" w:type="pct"/>
            <w:tcBorders>
              <w:top w:val="nil"/>
              <w:left w:val="single" w:sz="4" w:space="0" w:color="auto"/>
              <w:bottom w:val="single" w:sz="4" w:space="0" w:color="auto"/>
              <w:right w:val="single" w:sz="4" w:space="0" w:color="auto"/>
            </w:tcBorders>
            <w:shd w:val="clear" w:color="auto" w:fill="auto"/>
            <w:hideMark/>
          </w:tcPr>
          <w:p w14:paraId="59E04024" w14:textId="77777777" w:rsidR="00CE6D8C" w:rsidRPr="003D56F0" w:rsidRDefault="00CE6D8C" w:rsidP="00CC7EC2">
            <w:pPr>
              <w:rPr>
                <w:sz w:val="20"/>
                <w:szCs w:val="20"/>
              </w:rPr>
            </w:pPr>
            <w:r w:rsidRPr="003D56F0">
              <w:rPr>
                <w:sz w:val="20"/>
                <w:szCs w:val="20"/>
              </w:rPr>
              <w:t>Ecstasy specific A&amp;E costs</w:t>
            </w:r>
          </w:p>
        </w:tc>
        <w:tc>
          <w:tcPr>
            <w:tcW w:w="730" w:type="pct"/>
            <w:tcBorders>
              <w:top w:val="nil"/>
              <w:left w:val="nil"/>
              <w:bottom w:val="single" w:sz="4" w:space="0" w:color="auto"/>
              <w:right w:val="single" w:sz="4" w:space="0" w:color="auto"/>
            </w:tcBorders>
            <w:shd w:val="clear" w:color="auto" w:fill="auto"/>
            <w:hideMark/>
          </w:tcPr>
          <w:p w14:paraId="0B098284" w14:textId="77777777" w:rsidR="00CE6D8C" w:rsidRPr="003D56F0" w:rsidRDefault="00CE6D8C" w:rsidP="00AD2788">
            <w:pPr>
              <w:rPr>
                <w:sz w:val="20"/>
                <w:szCs w:val="20"/>
              </w:rPr>
            </w:pPr>
            <w:r w:rsidRPr="003D56F0">
              <w:rPr>
                <w:sz w:val="20"/>
                <w:szCs w:val="20"/>
              </w:rPr>
              <w:t>£0.15 per tablet</w:t>
            </w:r>
          </w:p>
        </w:tc>
        <w:tc>
          <w:tcPr>
            <w:tcW w:w="3556" w:type="pct"/>
            <w:tcBorders>
              <w:top w:val="nil"/>
              <w:left w:val="nil"/>
              <w:bottom w:val="single" w:sz="4" w:space="0" w:color="auto"/>
              <w:right w:val="single" w:sz="4" w:space="0" w:color="auto"/>
            </w:tcBorders>
            <w:shd w:val="clear" w:color="auto" w:fill="auto"/>
            <w:hideMark/>
          </w:tcPr>
          <w:p w14:paraId="06E0C8D7" w14:textId="77777777" w:rsidR="00CE6D8C" w:rsidRPr="003D56F0" w:rsidRDefault="00CE6D8C" w:rsidP="003D56F0">
            <w:pPr>
              <w:rPr>
                <w:rFonts w:eastAsia="Times New Roman"/>
                <w:color w:val="000000"/>
                <w:sz w:val="20"/>
                <w:szCs w:val="20"/>
              </w:rPr>
            </w:pPr>
            <w:r w:rsidRPr="003D56F0">
              <w:rPr>
                <w:sz w:val="20"/>
                <w:szCs w:val="20"/>
              </w:rPr>
              <w:t xml:space="preserve">Assumed that all inpatient admissions citing ecstasy poisoning resulted from an initial A&amp;E admission, at a cost of £109 per A&amp;E visit (NHS reference costs). Estimated that 69% of all A&amp;E admissions received ambulance conveyance (Horyniak 2013), at a cost of £216. (NHS reference costs) </w:t>
            </w:r>
          </w:p>
        </w:tc>
      </w:tr>
      <w:tr w:rsidR="00CE6D8C" w:rsidRPr="003D56F0" w14:paraId="3EDA649C" w14:textId="77777777" w:rsidTr="00AC1AF3">
        <w:trPr>
          <w:trHeight w:val="1404"/>
        </w:trPr>
        <w:tc>
          <w:tcPr>
            <w:tcW w:w="714" w:type="pct"/>
            <w:tcBorders>
              <w:top w:val="nil"/>
              <w:left w:val="single" w:sz="4" w:space="0" w:color="auto"/>
              <w:bottom w:val="single" w:sz="4" w:space="0" w:color="auto"/>
              <w:right w:val="single" w:sz="4" w:space="0" w:color="auto"/>
            </w:tcBorders>
            <w:shd w:val="clear" w:color="auto" w:fill="auto"/>
            <w:hideMark/>
          </w:tcPr>
          <w:p w14:paraId="368457EC" w14:textId="77777777" w:rsidR="00CE6D8C" w:rsidRPr="003D56F0" w:rsidRDefault="00CE6D8C" w:rsidP="00CC7EC2">
            <w:pPr>
              <w:rPr>
                <w:sz w:val="20"/>
                <w:szCs w:val="20"/>
              </w:rPr>
            </w:pPr>
            <w:r w:rsidRPr="003D56F0">
              <w:rPr>
                <w:sz w:val="20"/>
                <w:szCs w:val="20"/>
              </w:rPr>
              <w:t>Costs of Ecstasy-related death</w:t>
            </w:r>
          </w:p>
        </w:tc>
        <w:tc>
          <w:tcPr>
            <w:tcW w:w="730" w:type="pct"/>
            <w:tcBorders>
              <w:top w:val="nil"/>
              <w:left w:val="nil"/>
              <w:bottom w:val="single" w:sz="4" w:space="0" w:color="auto"/>
              <w:right w:val="single" w:sz="4" w:space="0" w:color="auto"/>
            </w:tcBorders>
            <w:shd w:val="clear" w:color="auto" w:fill="auto"/>
            <w:hideMark/>
          </w:tcPr>
          <w:p w14:paraId="0E2DDB45" w14:textId="77777777" w:rsidR="00CE6D8C" w:rsidRPr="003D56F0" w:rsidRDefault="00CE6D8C" w:rsidP="00AD2788">
            <w:pPr>
              <w:rPr>
                <w:sz w:val="20"/>
                <w:szCs w:val="20"/>
              </w:rPr>
            </w:pPr>
            <w:r w:rsidRPr="003D56F0">
              <w:rPr>
                <w:sz w:val="20"/>
                <w:szCs w:val="20"/>
              </w:rPr>
              <w:t>£0.0006 per tablet</w:t>
            </w:r>
          </w:p>
        </w:tc>
        <w:tc>
          <w:tcPr>
            <w:tcW w:w="3556" w:type="pct"/>
            <w:tcBorders>
              <w:top w:val="nil"/>
              <w:left w:val="nil"/>
              <w:bottom w:val="single" w:sz="4" w:space="0" w:color="auto"/>
              <w:right w:val="single" w:sz="4" w:space="0" w:color="auto"/>
            </w:tcBorders>
            <w:shd w:val="clear" w:color="auto" w:fill="auto"/>
            <w:hideMark/>
          </w:tcPr>
          <w:p w14:paraId="10419413" w14:textId="77777777" w:rsidR="00CE6D8C" w:rsidRPr="003D56F0" w:rsidRDefault="00CE6D8C" w:rsidP="003D56F0">
            <w:pPr>
              <w:rPr>
                <w:rFonts w:eastAsia="Times New Roman"/>
                <w:color w:val="000000"/>
                <w:sz w:val="20"/>
                <w:szCs w:val="20"/>
              </w:rPr>
            </w:pPr>
            <w:r w:rsidRPr="003D56F0">
              <w:rPr>
                <w:sz w:val="20"/>
                <w:szCs w:val="20"/>
              </w:rPr>
              <w:t>25 ecstasy-related deaths were observed in 2014 (ONS Statistical Bulletin), giving a mortality rate of 1/520,000 tablets consumed. For each death, an estimate of £464 was used to reflect hospital costs, as reported in McDougall et al. (2002), resulting in a cost of £0.0006 per tablet consumed.</w:t>
            </w:r>
          </w:p>
        </w:tc>
      </w:tr>
      <w:tr w:rsidR="00CE6D8C" w:rsidRPr="003D56F0" w14:paraId="192A1A85" w14:textId="77777777" w:rsidTr="00AC1AF3">
        <w:trPr>
          <w:trHeight w:val="1126"/>
        </w:trPr>
        <w:tc>
          <w:tcPr>
            <w:tcW w:w="714" w:type="pct"/>
            <w:tcBorders>
              <w:top w:val="nil"/>
              <w:left w:val="single" w:sz="4" w:space="0" w:color="auto"/>
              <w:bottom w:val="single" w:sz="4" w:space="0" w:color="auto"/>
              <w:right w:val="single" w:sz="4" w:space="0" w:color="auto"/>
            </w:tcBorders>
            <w:shd w:val="clear" w:color="auto" w:fill="auto"/>
            <w:hideMark/>
          </w:tcPr>
          <w:p w14:paraId="5B5287FE" w14:textId="77777777" w:rsidR="00CE6D8C" w:rsidRPr="003D56F0" w:rsidRDefault="00CE6D8C" w:rsidP="00CC7EC2">
            <w:pPr>
              <w:rPr>
                <w:sz w:val="20"/>
                <w:szCs w:val="20"/>
              </w:rPr>
            </w:pPr>
            <w:r w:rsidRPr="003D56F0">
              <w:rPr>
                <w:sz w:val="20"/>
                <w:szCs w:val="20"/>
              </w:rPr>
              <w:t>Treatment for ecstasy dependence</w:t>
            </w:r>
          </w:p>
        </w:tc>
        <w:tc>
          <w:tcPr>
            <w:tcW w:w="730" w:type="pct"/>
            <w:tcBorders>
              <w:top w:val="nil"/>
              <w:left w:val="nil"/>
              <w:bottom w:val="single" w:sz="4" w:space="0" w:color="auto"/>
              <w:right w:val="single" w:sz="4" w:space="0" w:color="auto"/>
            </w:tcBorders>
            <w:shd w:val="clear" w:color="auto" w:fill="auto"/>
            <w:hideMark/>
          </w:tcPr>
          <w:p w14:paraId="0837F484" w14:textId="77777777" w:rsidR="00CE6D8C" w:rsidRPr="003D56F0" w:rsidRDefault="00CE6D8C" w:rsidP="00AD2788">
            <w:pPr>
              <w:rPr>
                <w:sz w:val="20"/>
                <w:szCs w:val="20"/>
              </w:rPr>
            </w:pPr>
            <w:r w:rsidRPr="003D56F0">
              <w:rPr>
                <w:b/>
                <w:bCs/>
                <w:sz w:val="20"/>
                <w:szCs w:val="20"/>
              </w:rPr>
              <w:t>Aged 16-24:</w:t>
            </w:r>
            <w:r w:rsidRPr="003D56F0">
              <w:rPr>
                <w:sz w:val="20"/>
                <w:szCs w:val="20"/>
              </w:rPr>
              <w:t xml:space="preserve"> £0.012 per tablet  </w:t>
            </w:r>
            <w:r w:rsidRPr="003D56F0">
              <w:rPr>
                <w:sz w:val="20"/>
                <w:szCs w:val="20"/>
              </w:rPr>
              <w:br/>
            </w:r>
            <w:r w:rsidRPr="003D56F0">
              <w:rPr>
                <w:sz w:val="20"/>
                <w:szCs w:val="20"/>
              </w:rPr>
              <w:br/>
            </w:r>
            <w:r w:rsidRPr="003D56F0">
              <w:rPr>
                <w:b/>
                <w:bCs/>
                <w:sz w:val="20"/>
                <w:szCs w:val="20"/>
              </w:rPr>
              <w:t>Aged 25-59:</w:t>
            </w:r>
            <w:r w:rsidRPr="003D56F0">
              <w:rPr>
                <w:sz w:val="20"/>
                <w:szCs w:val="20"/>
              </w:rPr>
              <w:t xml:space="preserve"> £0.30 per tablet</w:t>
            </w:r>
          </w:p>
        </w:tc>
        <w:tc>
          <w:tcPr>
            <w:tcW w:w="3556" w:type="pct"/>
            <w:tcBorders>
              <w:top w:val="nil"/>
              <w:left w:val="nil"/>
              <w:bottom w:val="single" w:sz="4" w:space="0" w:color="auto"/>
              <w:right w:val="single" w:sz="4" w:space="0" w:color="auto"/>
            </w:tcBorders>
            <w:shd w:val="clear" w:color="auto" w:fill="auto"/>
            <w:noWrap/>
            <w:hideMark/>
          </w:tcPr>
          <w:p w14:paraId="65AC2C3D" w14:textId="77777777" w:rsidR="00CE6D8C" w:rsidRPr="003D56F0" w:rsidRDefault="00CE6D8C" w:rsidP="003D56F0">
            <w:pPr>
              <w:rPr>
                <w:rFonts w:eastAsia="Times New Roman"/>
                <w:color w:val="000000"/>
                <w:sz w:val="20"/>
                <w:szCs w:val="20"/>
              </w:rPr>
            </w:pPr>
            <w:r w:rsidRPr="003D56F0">
              <w:rPr>
                <w:sz w:val="20"/>
                <w:szCs w:val="20"/>
              </w:rPr>
              <w:t xml:space="preserve">NDTMS data, show a total of 433 people in drug treatment with a primary indication of ecstasy use in England during 2014/15, consisting of 165 aged 9-17 years old and 268 aged 18-59 years old. Treatment costs from Public Health England were estimated at £2,620 per treatment episode. </w:t>
            </w:r>
          </w:p>
        </w:tc>
      </w:tr>
      <w:tr w:rsidR="00CE6D8C" w:rsidRPr="003D56F0" w14:paraId="67C2CD28" w14:textId="77777777" w:rsidTr="00AC1AF3">
        <w:trPr>
          <w:trHeight w:val="1712"/>
        </w:trPr>
        <w:tc>
          <w:tcPr>
            <w:tcW w:w="714" w:type="pct"/>
            <w:tcBorders>
              <w:top w:val="nil"/>
              <w:left w:val="single" w:sz="4" w:space="0" w:color="auto"/>
              <w:bottom w:val="single" w:sz="4" w:space="0" w:color="auto"/>
              <w:right w:val="single" w:sz="4" w:space="0" w:color="auto"/>
            </w:tcBorders>
            <w:shd w:val="clear" w:color="auto" w:fill="auto"/>
            <w:hideMark/>
          </w:tcPr>
          <w:p w14:paraId="7F482B8A" w14:textId="77777777" w:rsidR="00CE6D8C" w:rsidRPr="003D56F0" w:rsidRDefault="00CE6D8C" w:rsidP="00CC7EC2">
            <w:pPr>
              <w:rPr>
                <w:sz w:val="20"/>
                <w:szCs w:val="20"/>
              </w:rPr>
            </w:pPr>
            <w:r w:rsidRPr="003D56F0">
              <w:rPr>
                <w:sz w:val="20"/>
                <w:szCs w:val="20"/>
              </w:rPr>
              <w:lastRenderedPageBreak/>
              <w:t>QALY losses from premature death</w:t>
            </w:r>
          </w:p>
        </w:tc>
        <w:tc>
          <w:tcPr>
            <w:tcW w:w="730" w:type="pct"/>
            <w:tcBorders>
              <w:top w:val="nil"/>
              <w:left w:val="nil"/>
              <w:bottom w:val="single" w:sz="4" w:space="0" w:color="auto"/>
              <w:right w:val="single" w:sz="4" w:space="0" w:color="auto"/>
            </w:tcBorders>
            <w:shd w:val="clear" w:color="auto" w:fill="auto"/>
            <w:hideMark/>
          </w:tcPr>
          <w:p w14:paraId="0EBB5B6D" w14:textId="77777777" w:rsidR="00CE6D8C" w:rsidRPr="003D56F0" w:rsidRDefault="00CE6D8C" w:rsidP="00AD2788">
            <w:pPr>
              <w:rPr>
                <w:sz w:val="20"/>
                <w:szCs w:val="20"/>
              </w:rPr>
            </w:pPr>
            <w:r w:rsidRPr="003D56F0">
              <w:rPr>
                <w:sz w:val="20"/>
                <w:szCs w:val="20"/>
              </w:rPr>
              <w:t xml:space="preserve">16-24: </w:t>
            </w:r>
          </w:p>
          <w:p w14:paraId="44AF15AD" w14:textId="77777777" w:rsidR="00CE6D8C" w:rsidRPr="003D56F0" w:rsidRDefault="00CE6D8C" w:rsidP="003D56F0">
            <w:pPr>
              <w:rPr>
                <w:rFonts w:eastAsia="Times New Roman"/>
                <w:color w:val="000000"/>
                <w:sz w:val="20"/>
                <w:szCs w:val="20"/>
              </w:rPr>
            </w:pPr>
            <w:r w:rsidRPr="003D56F0">
              <w:rPr>
                <w:sz w:val="20"/>
                <w:szCs w:val="20"/>
              </w:rPr>
              <w:t>0.0009 per user per year</w:t>
            </w:r>
          </w:p>
          <w:p w14:paraId="0BDF66B7" w14:textId="77777777" w:rsidR="00CE6D8C" w:rsidRPr="003D56F0" w:rsidRDefault="00CE6D8C">
            <w:pPr>
              <w:rPr>
                <w:sz w:val="20"/>
                <w:szCs w:val="20"/>
              </w:rPr>
            </w:pPr>
          </w:p>
          <w:p w14:paraId="14743E4B" w14:textId="77777777" w:rsidR="00CE6D8C" w:rsidRPr="003D56F0" w:rsidRDefault="00CE6D8C">
            <w:pPr>
              <w:rPr>
                <w:sz w:val="20"/>
                <w:szCs w:val="20"/>
              </w:rPr>
            </w:pPr>
            <w:r w:rsidRPr="003D56F0">
              <w:rPr>
                <w:sz w:val="20"/>
                <w:szCs w:val="20"/>
              </w:rPr>
              <w:t xml:space="preserve">25-59: </w:t>
            </w:r>
          </w:p>
          <w:p w14:paraId="4A86857B" w14:textId="77777777" w:rsidR="00CE6D8C" w:rsidRPr="003D56F0" w:rsidRDefault="00CE6D8C">
            <w:pPr>
              <w:rPr>
                <w:sz w:val="20"/>
                <w:szCs w:val="20"/>
              </w:rPr>
            </w:pPr>
            <w:r w:rsidRPr="003D56F0">
              <w:rPr>
                <w:sz w:val="20"/>
                <w:szCs w:val="20"/>
              </w:rPr>
              <w:t>0.0007 per user per year</w:t>
            </w:r>
          </w:p>
          <w:p w14:paraId="25BBAF67" w14:textId="77777777" w:rsidR="00CE6D8C" w:rsidRPr="003D56F0" w:rsidRDefault="00CE6D8C">
            <w:pPr>
              <w:rPr>
                <w:sz w:val="20"/>
                <w:szCs w:val="20"/>
              </w:rPr>
            </w:pPr>
          </w:p>
        </w:tc>
        <w:tc>
          <w:tcPr>
            <w:tcW w:w="3556" w:type="pct"/>
            <w:tcBorders>
              <w:top w:val="nil"/>
              <w:left w:val="nil"/>
              <w:bottom w:val="single" w:sz="4" w:space="0" w:color="auto"/>
              <w:right w:val="single" w:sz="4" w:space="0" w:color="auto"/>
            </w:tcBorders>
            <w:shd w:val="clear" w:color="auto" w:fill="auto"/>
            <w:noWrap/>
            <w:hideMark/>
          </w:tcPr>
          <w:p w14:paraId="2C44D597" w14:textId="77777777" w:rsidR="00CE6D8C" w:rsidRPr="003D56F0" w:rsidRDefault="00CE6D8C" w:rsidP="003D56F0">
            <w:pPr>
              <w:rPr>
                <w:rFonts w:eastAsia="Times New Roman"/>
                <w:color w:val="000000"/>
                <w:sz w:val="20"/>
                <w:szCs w:val="20"/>
              </w:rPr>
            </w:pPr>
            <w:r w:rsidRPr="003D56F0">
              <w:rPr>
                <w:sz w:val="20"/>
                <w:szCs w:val="20"/>
              </w:rPr>
              <w:t>Deaths were assumed to occur in the mid-point of any age group. Those aged 16-24 were expected to die aged 20, and for those aged 25-59, deaths were assumed to occur at age 42. For each group discounted values for EQ-5D population norms, as reported by Kind et al. (1996)  were summed from the age of death until age 82, the expected age of an otherwise natural death.</w:t>
            </w:r>
            <w:r w:rsidRPr="003D56F0">
              <w:rPr>
                <w:i/>
                <w:iCs/>
                <w:sz w:val="20"/>
                <w:szCs w:val="20"/>
              </w:rPr>
              <w:t xml:space="preserve"> </w:t>
            </w:r>
            <w:r w:rsidRPr="003D56F0">
              <w:rPr>
                <w:sz w:val="20"/>
                <w:szCs w:val="20"/>
              </w:rPr>
              <w:t>This yielded losses of 23 and 17.9 QALYs for those aged 16-24 and 25-59 respectively. If valued at £20,000 per quality-adjusted life year, these would result in estimated losses of £460,173 and £358,137 per life lost respectively.</w:t>
            </w:r>
          </w:p>
        </w:tc>
      </w:tr>
      <w:tr w:rsidR="00CE6D8C" w:rsidRPr="003D56F0" w14:paraId="362B1395" w14:textId="77777777" w:rsidTr="00AC1AF3">
        <w:trPr>
          <w:trHeight w:val="853"/>
        </w:trPr>
        <w:tc>
          <w:tcPr>
            <w:tcW w:w="714" w:type="pct"/>
            <w:tcBorders>
              <w:top w:val="nil"/>
              <w:left w:val="single" w:sz="4" w:space="0" w:color="auto"/>
              <w:bottom w:val="single" w:sz="4" w:space="0" w:color="auto"/>
              <w:right w:val="single" w:sz="4" w:space="0" w:color="auto"/>
            </w:tcBorders>
            <w:shd w:val="clear" w:color="auto" w:fill="auto"/>
            <w:hideMark/>
          </w:tcPr>
          <w:p w14:paraId="3745666D" w14:textId="77777777" w:rsidR="00CE6D8C" w:rsidRPr="003D56F0" w:rsidRDefault="00CE6D8C" w:rsidP="00CC7EC2">
            <w:pPr>
              <w:rPr>
                <w:sz w:val="20"/>
                <w:szCs w:val="20"/>
              </w:rPr>
            </w:pPr>
            <w:r w:rsidRPr="003D56F0">
              <w:rPr>
                <w:sz w:val="20"/>
                <w:szCs w:val="20"/>
              </w:rPr>
              <w:t>Crime (Court appearance and sentencing ) costs</w:t>
            </w:r>
          </w:p>
        </w:tc>
        <w:tc>
          <w:tcPr>
            <w:tcW w:w="730" w:type="pct"/>
            <w:tcBorders>
              <w:top w:val="nil"/>
              <w:left w:val="nil"/>
              <w:bottom w:val="single" w:sz="4" w:space="0" w:color="auto"/>
              <w:right w:val="single" w:sz="4" w:space="0" w:color="auto"/>
            </w:tcBorders>
            <w:shd w:val="clear" w:color="auto" w:fill="auto"/>
            <w:hideMark/>
          </w:tcPr>
          <w:p w14:paraId="7C7736D7" w14:textId="77777777" w:rsidR="00CE6D8C" w:rsidRPr="003D56F0" w:rsidRDefault="00CE6D8C" w:rsidP="00AD2788">
            <w:pPr>
              <w:rPr>
                <w:sz w:val="20"/>
                <w:szCs w:val="20"/>
              </w:rPr>
            </w:pPr>
            <w:r w:rsidRPr="003D56F0">
              <w:rPr>
                <w:sz w:val="20"/>
                <w:szCs w:val="20"/>
              </w:rPr>
              <w:t>£0.06 per tablet</w:t>
            </w:r>
          </w:p>
        </w:tc>
        <w:tc>
          <w:tcPr>
            <w:tcW w:w="3556" w:type="pct"/>
            <w:tcBorders>
              <w:top w:val="nil"/>
              <w:left w:val="nil"/>
              <w:bottom w:val="single" w:sz="4" w:space="0" w:color="auto"/>
              <w:right w:val="single" w:sz="4" w:space="0" w:color="auto"/>
            </w:tcBorders>
            <w:shd w:val="clear" w:color="auto" w:fill="auto"/>
            <w:hideMark/>
          </w:tcPr>
          <w:p w14:paraId="047FCEBE" w14:textId="77777777" w:rsidR="00CE6D8C" w:rsidRPr="003D56F0" w:rsidRDefault="00CE6D8C" w:rsidP="003D56F0">
            <w:pPr>
              <w:rPr>
                <w:rFonts w:eastAsia="Times New Roman"/>
                <w:color w:val="000000"/>
                <w:sz w:val="20"/>
                <w:szCs w:val="20"/>
              </w:rPr>
            </w:pPr>
            <w:r w:rsidRPr="003D56F0">
              <w:rPr>
                <w:sz w:val="20"/>
                <w:szCs w:val="20"/>
              </w:rPr>
              <w:t xml:space="preserve">68 persons were referred to immediate custody following ecstasy possession during 2013/14 (Advisory council on the misuse of drugs), at a cost of £8,591 per sentence (90day stay) and £14,603 per court episode (NAO), giving a combined cost of £23,194 per sentence. </w:t>
            </w:r>
          </w:p>
        </w:tc>
      </w:tr>
      <w:tr w:rsidR="00CE6D8C" w:rsidRPr="003D56F0" w14:paraId="1EB2A955" w14:textId="77777777" w:rsidTr="00AC1AF3">
        <w:trPr>
          <w:trHeight w:val="983"/>
        </w:trPr>
        <w:tc>
          <w:tcPr>
            <w:tcW w:w="714" w:type="pct"/>
            <w:tcBorders>
              <w:top w:val="nil"/>
              <w:left w:val="single" w:sz="4" w:space="0" w:color="auto"/>
              <w:bottom w:val="single" w:sz="4" w:space="0" w:color="auto"/>
              <w:right w:val="single" w:sz="4" w:space="0" w:color="auto"/>
            </w:tcBorders>
            <w:shd w:val="clear" w:color="auto" w:fill="auto"/>
            <w:hideMark/>
          </w:tcPr>
          <w:p w14:paraId="2D9B1CB0" w14:textId="77777777" w:rsidR="00CE6D8C" w:rsidRPr="003D56F0" w:rsidRDefault="00CE6D8C" w:rsidP="00CC7EC2">
            <w:pPr>
              <w:rPr>
                <w:sz w:val="20"/>
                <w:szCs w:val="20"/>
              </w:rPr>
            </w:pPr>
            <w:r w:rsidRPr="003D56F0">
              <w:rPr>
                <w:sz w:val="20"/>
                <w:szCs w:val="20"/>
              </w:rPr>
              <w:t>Crime (Arrest) costs</w:t>
            </w:r>
          </w:p>
        </w:tc>
        <w:tc>
          <w:tcPr>
            <w:tcW w:w="730" w:type="pct"/>
            <w:tcBorders>
              <w:top w:val="nil"/>
              <w:left w:val="nil"/>
              <w:bottom w:val="single" w:sz="4" w:space="0" w:color="auto"/>
              <w:right w:val="single" w:sz="4" w:space="0" w:color="auto"/>
            </w:tcBorders>
            <w:shd w:val="clear" w:color="auto" w:fill="auto"/>
            <w:hideMark/>
          </w:tcPr>
          <w:p w14:paraId="32A85272" w14:textId="77777777" w:rsidR="00CE6D8C" w:rsidRPr="003D56F0" w:rsidRDefault="00CE6D8C" w:rsidP="00AD2788">
            <w:pPr>
              <w:rPr>
                <w:sz w:val="20"/>
                <w:szCs w:val="20"/>
              </w:rPr>
            </w:pPr>
            <w:r w:rsidRPr="003D56F0">
              <w:rPr>
                <w:sz w:val="20"/>
                <w:szCs w:val="20"/>
              </w:rPr>
              <w:t>£0.09 per tablet</w:t>
            </w:r>
          </w:p>
        </w:tc>
        <w:tc>
          <w:tcPr>
            <w:tcW w:w="3556" w:type="pct"/>
            <w:tcBorders>
              <w:top w:val="nil"/>
              <w:left w:val="nil"/>
              <w:bottom w:val="single" w:sz="4" w:space="0" w:color="auto"/>
              <w:right w:val="single" w:sz="4" w:space="0" w:color="auto"/>
            </w:tcBorders>
            <w:shd w:val="clear" w:color="auto" w:fill="auto"/>
            <w:hideMark/>
          </w:tcPr>
          <w:p w14:paraId="7E6FB654" w14:textId="77777777" w:rsidR="00CE6D8C" w:rsidRPr="003D56F0" w:rsidRDefault="00CE6D8C" w:rsidP="003D56F0">
            <w:pPr>
              <w:rPr>
                <w:rFonts w:eastAsia="Times New Roman"/>
                <w:color w:val="000000"/>
                <w:sz w:val="20"/>
                <w:szCs w:val="20"/>
              </w:rPr>
            </w:pPr>
            <w:r w:rsidRPr="003D56F0">
              <w:rPr>
                <w:sz w:val="20"/>
                <w:szCs w:val="20"/>
              </w:rPr>
              <w:t>It is estimated that just 5% of arrests for ecstasy possession result in a prison sentence (ACMD). The figure of 68 prison sentences was used to estimate a total of 1,360 arrests over the same period, at a cost 0f £1,346 per arrest, based on police time (Godfrey 2002).</w:t>
            </w:r>
          </w:p>
        </w:tc>
      </w:tr>
      <w:tr w:rsidR="00CE6D8C" w:rsidRPr="003D56F0" w14:paraId="5DBC5108" w14:textId="77777777" w:rsidTr="00AC1AF3">
        <w:trPr>
          <w:trHeight w:val="315"/>
        </w:trPr>
        <w:tc>
          <w:tcPr>
            <w:tcW w:w="714" w:type="pct"/>
            <w:tcBorders>
              <w:top w:val="nil"/>
              <w:left w:val="single" w:sz="4" w:space="0" w:color="auto"/>
              <w:bottom w:val="single" w:sz="4" w:space="0" w:color="auto"/>
              <w:right w:val="single" w:sz="4" w:space="0" w:color="auto"/>
            </w:tcBorders>
            <w:shd w:val="clear" w:color="auto" w:fill="auto"/>
            <w:noWrap/>
            <w:hideMark/>
          </w:tcPr>
          <w:p w14:paraId="4716DC3F" w14:textId="77777777" w:rsidR="00CE6D8C" w:rsidRPr="003D56F0" w:rsidRDefault="00CE6D8C" w:rsidP="00CC7EC2">
            <w:pPr>
              <w:rPr>
                <w:sz w:val="20"/>
                <w:szCs w:val="20"/>
              </w:rPr>
            </w:pPr>
            <w:r w:rsidRPr="003D56F0">
              <w:rPr>
                <w:sz w:val="20"/>
                <w:szCs w:val="20"/>
              </w:rPr>
              <w:t>Total social costs per user per year</w:t>
            </w:r>
          </w:p>
        </w:tc>
        <w:tc>
          <w:tcPr>
            <w:tcW w:w="730" w:type="pct"/>
            <w:tcBorders>
              <w:top w:val="nil"/>
              <w:left w:val="nil"/>
              <w:bottom w:val="single" w:sz="4" w:space="0" w:color="auto"/>
              <w:right w:val="single" w:sz="4" w:space="0" w:color="auto"/>
            </w:tcBorders>
            <w:shd w:val="clear" w:color="auto" w:fill="auto"/>
            <w:noWrap/>
            <w:hideMark/>
          </w:tcPr>
          <w:p w14:paraId="530C49D5" w14:textId="77777777" w:rsidR="00CE6D8C" w:rsidRPr="003D56F0" w:rsidRDefault="00CE6D8C" w:rsidP="00AD2788">
            <w:pPr>
              <w:rPr>
                <w:sz w:val="20"/>
                <w:szCs w:val="20"/>
              </w:rPr>
            </w:pPr>
            <w:r w:rsidRPr="003D56F0">
              <w:rPr>
                <w:sz w:val="20"/>
                <w:szCs w:val="20"/>
              </w:rPr>
              <w:t>£23.85</w:t>
            </w:r>
          </w:p>
        </w:tc>
        <w:tc>
          <w:tcPr>
            <w:tcW w:w="3556" w:type="pct"/>
            <w:tcBorders>
              <w:top w:val="nil"/>
              <w:left w:val="nil"/>
              <w:bottom w:val="single" w:sz="4" w:space="0" w:color="auto"/>
              <w:right w:val="single" w:sz="4" w:space="0" w:color="auto"/>
            </w:tcBorders>
            <w:shd w:val="clear" w:color="auto" w:fill="auto"/>
            <w:noWrap/>
            <w:hideMark/>
          </w:tcPr>
          <w:p w14:paraId="19794E44" w14:textId="77777777" w:rsidR="00CE6D8C" w:rsidRPr="003D56F0" w:rsidRDefault="00CE6D8C" w:rsidP="003D56F0">
            <w:pPr>
              <w:rPr>
                <w:rFonts w:eastAsia="Times New Roman"/>
                <w:color w:val="000000"/>
                <w:sz w:val="20"/>
                <w:szCs w:val="20"/>
              </w:rPr>
            </w:pPr>
            <w:r w:rsidRPr="003D56F0">
              <w:rPr>
                <w:sz w:val="20"/>
                <w:szCs w:val="20"/>
              </w:rPr>
              <w:t>Summed from above</w:t>
            </w:r>
          </w:p>
        </w:tc>
      </w:tr>
      <w:tr w:rsidR="00CE6D8C" w:rsidRPr="003D56F0" w14:paraId="74C8E7CB" w14:textId="77777777" w:rsidTr="00AC1AF3">
        <w:trPr>
          <w:trHeight w:val="300"/>
        </w:trPr>
        <w:tc>
          <w:tcPr>
            <w:tcW w:w="714" w:type="pct"/>
            <w:tcBorders>
              <w:top w:val="nil"/>
              <w:left w:val="single" w:sz="4" w:space="0" w:color="auto"/>
              <w:bottom w:val="single" w:sz="4" w:space="0" w:color="auto"/>
              <w:right w:val="single" w:sz="4" w:space="0" w:color="auto"/>
            </w:tcBorders>
            <w:shd w:val="clear" w:color="auto" w:fill="auto"/>
            <w:noWrap/>
            <w:hideMark/>
          </w:tcPr>
          <w:p w14:paraId="1C7D80F1" w14:textId="77777777" w:rsidR="00CE6D8C" w:rsidRPr="003D56F0" w:rsidRDefault="00CE6D8C" w:rsidP="00CC7EC2">
            <w:pPr>
              <w:rPr>
                <w:sz w:val="20"/>
                <w:szCs w:val="20"/>
              </w:rPr>
            </w:pPr>
            <w:r w:rsidRPr="003D56F0">
              <w:rPr>
                <w:sz w:val="20"/>
                <w:szCs w:val="20"/>
              </w:rPr>
              <w:t>Total QALYs lost per  user per year</w:t>
            </w:r>
          </w:p>
        </w:tc>
        <w:tc>
          <w:tcPr>
            <w:tcW w:w="730" w:type="pct"/>
            <w:tcBorders>
              <w:top w:val="single" w:sz="8" w:space="0" w:color="auto"/>
              <w:left w:val="nil"/>
              <w:bottom w:val="single" w:sz="4" w:space="0" w:color="auto"/>
              <w:right w:val="single" w:sz="4" w:space="0" w:color="auto"/>
            </w:tcBorders>
            <w:shd w:val="clear" w:color="auto" w:fill="auto"/>
            <w:noWrap/>
            <w:hideMark/>
          </w:tcPr>
          <w:p w14:paraId="15C859A5" w14:textId="77777777" w:rsidR="00CE6D8C" w:rsidRPr="003D56F0" w:rsidRDefault="00CE6D8C" w:rsidP="00AD2788">
            <w:pPr>
              <w:rPr>
                <w:sz w:val="20"/>
                <w:szCs w:val="20"/>
              </w:rPr>
            </w:pPr>
            <w:r w:rsidRPr="003D56F0">
              <w:rPr>
                <w:sz w:val="20"/>
                <w:szCs w:val="20"/>
              </w:rPr>
              <w:t>0.00080</w:t>
            </w:r>
          </w:p>
        </w:tc>
        <w:tc>
          <w:tcPr>
            <w:tcW w:w="3556" w:type="pct"/>
            <w:tcBorders>
              <w:top w:val="nil"/>
              <w:left w:val="nil"/>
              <w:bottom w:val="single" w:sz="4" w:space="0" w:color="auto"/>
              <w:right w:val="single" w:sz="4" w:space="0" w:color="auto"/>
            </w:tcBorders>
            <w:shd w:val="clear" w:color="auto" w:fill="auto"/>
            <w:noWrap/>
            <w:hideMark/>
          </w:tcPr>
          <w:p w14:paraId="4223DC58" w14:textId="77777777" w:rsidR="00CE6D8C" w:rsidRPr="003D56F0" w:rsidRDefault="00CE6D8C" w:rsidP="003D56F0">
            <w:pPr>
              <w:rPr>
                <w:rFonts w:eastAsia="Times New Roman"/>
                <w:color w:val="000000"/>
                <w:sz w:val="20"/>
                <w:szCs w:val="20"/>
              </w:rPr>
            </w:pPr>
            <w:r w:rsidRPr="003D56F0">
              <w:rPr>
                <w:sz w:val="20"/>
                <w:szCs w:val="20"/>
              </w:rPr>
              <w:t>Summed from above</w:t>
            </w:r>
          </w:p>
        </w:tc>
      </w:tr>
    </w:tbl>
    <w:p w14:paraId="5A71500E" w14:textId="15C2DE19" w:rsidR="00CE6D8C" w:rsidRPr="003D56F0" w:rsidRDefault="00CE6D8C" w:rsidP="00CC7EC2">
      <w:pPr>
        <w:pStyle w:val="Heading4"/>
        <w:rPr>
          <w:sz w:val="20"/>
          <w:szCs w:val="20"/>
        </w:rPr>
      </w:pPr>
      <w:r w:rsidRPr="003D56F0">
        <w:rPr>
          <w:sz w:val="20"/>
          <w:szCs w:val="20"/>
        </w:rPr>
        <w:t xml:space="preserve">Sensitivity Analysis Parameters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701"/>
        <w:gridCol w:w="4314"/>
      </w:tblGrid>
      <w:tr w:rsidR="00CE6D8C" w:rsidRPr="003D56F0" w14:paraId="0B61C095" w14:textId="77777777" w:rsidTr="00AC1AF3">
        <w:trPr>
          <w:trHeight w:val="300"/>
        </w:trPr>
        <w:tc>
          <w:tcPr>
            <w:tcW w:w="826" w:type="pct"/>
            <w:shd w:val="clear" w:color="auto" w:fill="auto"/>
            <w:noWrap/>
            <w:hideMark/>
          </w:tcPr>
          <w:p w14:paraId="7266B335" w14:textId="77777777" w:rsidR="00CE6D8C" w:rsidRPr="003D56F0" w:rsidRDefault="00CE6D8C" w:rsidP="003D56F0">
            <w:pPr>
              <w:rPr>
                <w:rFonts w:eastAsia="Times New Roman"/>
                <w:color w:val="000000"/>
                <w:sz w:val="20"/>
                <w:szCs w:val="20"/>
              </w:rPr>
            </w:pPr>
            <w:r w:rsidRPr="003D56F0">
              <w:rPr>
                <w:sz w:val="20"/>
                <w:szCs w:val="20"/>
              </w:rPr>
              <w:t> Parameter</w:t>
            </w:r>
          </w:p>
        </w:tc>
        <w:tc>
          <w:tcPr>
            <w:tcW w:w="920" w:type="pct"/>
            <w:shd w:val="clear" w:color="auto" w:fill="auto"/>
            <w:noWrap/>
            <w:hideMark/>
          </w:tcPr>
          <w:p w14:paraId="68F5E067" w14:textId="77777777" w:rsidR="00CE6D8C" w:rsidRPr="003D56F0" w:rsidRDefault="00CE6D8C" w:rsidP="003D56F0">
            <w:pPr>
              <w:rPr>
                <w:sz w:val="20"/>
                <w:szCs w:val="20"/>
              </w:rPr>
            </w:pPr>
            <w:r w:rsidRPr="003D56F0">
              <w:rPr>
                <w:sz w:val="20"/>
                <w:szCs w:val="20"/>
              </w:rPr>
              <w:t>Cost per QALY (low)</w:t>
            </w:r>
          </w:p>
        </w:tc>
        <w:tc>
          <w:tcPr>
            <w:tcW w:w="920" w:type="pct"/>
            <w:shd w:val="clear" w:color="auto" w:fill="auto"/>
            <w:noWrap/>
            <w:hideMark/>
          </w:tcPr>
          <w:p w14:paraId="3BAEBBD7" w14:textId="77777777" w:rsidR="00CE6D8C" w:rsidRPr="003D56F0" w:rsidRDefault="00CE6D8C" w:rsidP="003D56F0">
            <w:pPr>
              <w:rPr>
                <w:sz w:val="20"/>
                <w:szCs w:val="20"/>
              </w:rPr>
            </w:pPr>
            <w:r w:rsidRPr="003D56F0">
              <w:rPr>
                <w:sz w:val="20"/>
                <w:szCs w:val="20"/>
              </w:rPr>
              <w:t>Cost per QALY (high)</w:t>
            </w:r>
          </w:p>
        </w:tc>
        <w:tc>
          <w:tcPr>
            <w:tcW w:w="2334" w:type="pct"/>
            <w:shd w:val="clear" w:color="auto" w:fill="auto"/>
            <w:noWrap/>
            <w:hideMark/>
          </w:tcPr>
          <w:p w14:paraId="3968FA94" w14:textId="77777777" w:rsidR="00CE6D8C" w:rsidRPr="003D56F0" w:rsidRDefault="00CE6D8C" w:rsidP="003D56F0">
            <w:pPr>
              <w:rPr>
                <w:sz w:val="20"/>
                <w:szCs w:val="20"/>
              </w:rPr>
            </w:pPr>
            <w:r w:rsidRPr="003D56F0">
              <w:rPr>
                <w:sz w:val="20"/>
                <w:szCs w:val="20"/>
              </w:rPr>
              <w:t>Explanation</w:t>
            </w:r>
          </w:p>
        </w:tc>
      </w:tr>
      <w:tr w:rsidR="00CE6D8C" w:rsidRPr="003D56F0" w14:paraId="0FAEF2C1" w14:textId="77777777" w:rsidTr="00AC1AF3">
        <w:trPr>
          <w:trHeight w:val="300"/>
        </w:trPr>
        <w:tc>
          <w:tcPr>
            <w:tcW w:w="826" w:type="pct"/>
            <w:shd w:val="clear" w:color="auto" w:fill="auto"/>
            <w:noWrap/>
            <w:hideMark/>
          </w:tcPr>
          <w:p w14:paraId="4025CC2D" w14:textId="77777777" w:rsidR="00CE6D8C" w:rsidRPr="003D56F0" w:rsidRDefault="00CE6D8C" w:rsidP="003D56F0">
            <w:pPr>
              <w:rPr>
                <w:sz w:val="20"/>
                <w:szCs w:val="20"/>
              </w:rPr>
            </w:pPr>
            <w:r w:rsidRPr="003D56F0">
              <w:rPr>
                <w:sz w:val="20"/>
                <w:szCs w:val="20"/>
              </w:rPr>
              <w:t>QALY loss (16-24 years old)</w:t>
            </w:r>
          </w:p>
        </w:tc>
        <w:tc>
          <w:tcPr>
            <w:tcW w:w="920" w:type="pct"/>
            <w:shd w:val="clear" w:color="auto" w:fill="auto"/>
            <w:noWrap/>
            <w:hideMark/>
          </w:tcPr>
          <w:p w14:paraId="0516AF18" w14:textId="77777777" w:rsidR="00CE6D8C" w:rsidRPr="003D56F0" w:rsidRDefault="00CE6D8C" w:rsidP="003D56F0">
            <w:pPr>
              <w:rPr>
                <w:rFonts w:eastAsia="Times New Roman"/>
                <w:color w:val="000000"/>
                <w:sz w:val="20"/>
                <w:szCs w:val="20"/>
              </w:rPr>
            </w:pPr>
            <w:r w:rsidRPr="003D56F0">
              <w:rPr>
                <w:sz w:val="20"/>
                <w:szCs w:val="20"/>
              </w:rPr>
              <w:t>£129,660,232</w:t>
            </w:r>
          </w:p>
        </w:tc>
        <w:tc>
          <w:tcPr>
            <w:tcW w:w="920" w:type="pct"/>
            <w:shd w:val="clear" w:color="auto" w:fill="auto"/>
            <w:noWrap/>
            <w:hideMark/>
          </w:tcPr>
          <w:p w14:paraId="5247EFE7" w14:textId="77777777" w:rsidR="00CE6D8C" w:rsidRPr="003D56F0" w:rsidRDefault="00CE6D8C" w:rsidP="003D56F0">
            <w:pPr>
              <w:rPr>
                <w:rFonts w:eastAsia="Times New Roman"/>
                <w:color w:val="000000"/>
                <w:sz w:val="20"/>
                <w:szCs w:val="20"/>
              </w:rPr>
            </w:pPr>
            <w:r w:rsidRPr="003D56F0">
              <w:rPr>
                <w:sz w:val="20"/>
                <w:szCs w:val="20"/>
              </w:rPr>
              <w:t>£129,199,178</w:t>
            </w:r>
          </w:p>
        </w:tc>
        <w:tc>
          <w:tcPr>
            <w:tcW w:w="2334" w:type="pct"/>
            <w:shd w:val="clear" w:color="auto" w:fill="auto"/>
            <w:noWrap/>
            <w:hideMark/>
          </w:tcPr>
          <w:p w14:paraId="2CCB55FF" w14:textId="77777777" w:rsidR="00CE6D8C" w:rsidRPr="003D56F0" w:rsidRDefault="00CE6D8C" w:rsidP="003D56F0">
            <w:pPr>
              <w:rPr>
                <w:rFonts w:eastAsia="Times New Roman"/>
                <w:color w:val="000000"/>
                <w:sz w:val="20"/>
                <w:szCs w:val="20"/>
              </w:rPr>
            </w:pPr>
            <w:r w:rsidRPr="003D56F0">
              <w:rPr>
                <w:sz w:val="20"/>
                <w:szCs w:val="20"/>
              </w:rPr>
              <w:t>Low is assuming all deaths at 24, high is all deaths at 16</w:t>
            </w:r>
          </w:p>
        </w:tc>
      </w:tr>
      <w:tr w:rsidR="00CE6D8C" w:rsidRPr="003D56F0" w14:paraId="455D8C5C" w14:textId="77777777" w:rsidTr="00AC1AF3">
        <w:trPr>
          <w:trHeight w:val="300"/>
        </w:trPr>
        <w:tc>
          <w:tcPr>
            <w:tcW w:w="826" w:type="pct"/>
            <w:shd w:val="clear" w:color="auto" w:fill="auto"/>
            <w:noWrap/>
            <w:hideMark/>
          </w:tcPr>
          <w:p w14:paraId="45A384CB" w14:textId="77777777" w:rsidR="00CE6D8C" w:rsidRPr="003D56F0" w:rsidRDefault="00CE6D8C" w:rsidP="003D56F0">
            <w:pPr>
              <w:rPr>
                <w:rFonts w:eastAsia="Times New Roman"/>
                <w:color w:val="000000"/>
                <w:sz w:val="20"/>
                <w:szCs w:val="20"/>
              </w:rPr>
            </w:pPr>
            <w:r w:rsidRPr="003D56F0">
              <w:rPr>
                <w:sz w:val="20"/>
                <w:szCs w:val="20"/>
              </w:rPr>
              <w:t>QALY loss (25-59 years old)</w:t>
            </w:r>
          </w:p>
        </w:tc>
        <w:tc>
          <w:tcPr>
            <w:tcW w:w="920" w:type="pct"/>
            <w:shd w:val="clear" w:color="auto" w:fill="auto"/>
            <w:noWrap/>
            <w:hideMark/>
          </w:tcPr>
          <w:p w14:paraId="2D2A3FCE" w14:textId="77777777" w:rsidR="00CE6D8C" w:rsidRPr="003D56F0" w:rsidRDefault="00CE6D8C" w:rsidP="003D56F0">
            <w:pPr>
              <w:rPr>
                <w:rFonts w:eastAsia="Times New Roman"/>
                <w:color w:val="000000"/>
                <w:sz w:val="20"/>
                <w:szCs w:val="20"/>
              </w:rPr>
            </w:pPr>
            <w:r w:rsidRPr="003D56F0">
              <w:rPr>
                <w:sz w:val="20"/>
                <w:szCs w:val="20"/>
              </w:rPr>
              <w:t>£129,585,088</w:t>
            </w:r>
          </w:p>
        </w:tc>
        <w:tc>
          <w:tcPr>
            <w:tcW w:w="920" w:type="pct"/>
            <w:shd w:val="clear" w:color="auto" w:fill="auto"/>
            <w:noWrap/>
            <w:hideMark/>
          </w:tcPr>
          <w:p w14:paraId="48DE966E" w14:textId="77777777" w:rsidR="00CE6D8C" w:rsidRPr="003D56F0" w:rsidRDefault="00CE6D8C" w:rsidP="003D56F0">
            <w:pPr>
              <w:rPr>
                <w:rFonts w:eastAsia="Times New Roman"/>
                <w:color w:val="000000"/>
                <w:sz w:val="20"/>
                <w:szCs w:val="20"/>
              </w:rPr>
            </w:pPr>
            <w:r w:rsidRPr="003D56F0">
              <w:rPr>
                <w:sz w:val="20"/>
                <w:szCs w:val="20"/>
              </w:rPr>
              <w:t>£129,144,220</w:t>
            </w:r>
          </w:p>
        </w:tc>
        <w:tc>
          <w:tcPr>
            <w:tcW w:w="2334" w:type="pct"/>
            <w:shd w:val="clear" w:color="auto" w:fill="auto"/>
            <w:noWrap/>
            <w:hideMark/>
          </w:tcPr>
          <w:p w14:paraId="1E3DD693" w14:textId="77777777" w:rsidR="00CE6D8C" w:rsidRPr="003D56F0" w:rsidRDefault="00CE6D8C" w:rsidP="003D56F0">
            <w:pPr>
              <w:rPr>
                <w:rFonts w:eastAsia="Times New Roman"/>
                <w:color w:val="000000"/>
                <w:sz w:val="20"/>
                <w:szCs w:val="20"/>
              </w:rPr>
            </w:pPr>
            <w:r w:rsidRPr="003D56F0">
              <w:rPr>
                <w:sz w:val="20"/>
                <w:szCs w:val="20"/>
              </w:rPr>
              <w:t>Low is assuming all deaths at 59, high is all deaths at 25</w:t>
            </w:r>
          </w:p>
        </w:tc>
      </w:tr>
      <w:tr w:rsidR="00CE6D8C" w:rsidRPr="003D56F0" w14:paraId="0B740CFC" w14:textId="77777777" w:rsidTr="00AC1AF3">
        <w:trPr>
          <w:trHeight w:val="300"/>
        </w:trPr>
        <w:tc>
          <w:tcPr>
            <w:tcW w:w="826" w:type="pct"/>
            <w:shd w:val="clear" w:color="auto" w:fill="auto"/>
            <w:noWrap/>
            <w:hideMark/>
          </w:tcPr>
          <w:p w14:paraId="30DE7FC9" w14:textId="77777777" w:rsidR="00CE6D8C" w:rsidRPr="003D56F0" w:rsidRDefault="00CE6D8C" w:rsidP="003D56F0">
            <w:pPr>
              <w:rPr>
                <w:rFonts w:eastAsia="Times New Roman"/>
                <w:color w:val="000000"/>
                <w:sz w:val="20"/>
                <w:szCs w:val="20"/>
              </w:rPr>
            </w:pPr>
            <w:r w:rsidRPr="003D56F0">
              <w:rPr>
                <w:sz w:val="20"/>
                <w:szCs w:val="20"/>
              </w:rPr>
              <w:t xml:space="preserve">Treatment effect </w:t>
            </w:r>
          </w:p>
        </w:tc>
        <w:tc>
          <w:tcPr>
            <w:tcW w:w="920" w:type="pct"/>
            <w:shd w:val="clear" w:color="auto" w:fill="auto"/>
            <w:noWrap/>
            <w:hideMark/>
          </w:tcPr>
          <w:p w14:paraId="62D91E1B" w14:textId="77777777" w:rsidR="00CE6D8C" w:rsidRPr="003D56F0" w:rsidRDefault="00CE6D8C" w:rsidP="003D56F0">
            <w:pPr>
              <w:rPr>
                <w:rFonts w:eastAsia="Times New Roman"/>
                <w:color w:val="000000"/>
                <w:sz w:val="20"/>
                <w:szCs w:val="20"/>
              </w:rPr>
            </w:pPr>
            <w:r w:rsidRPr="003D56F0">
              <w:rPr>
                <w:sz w:val="20"/>
                <w:szCs w:val="20"/>
              </w:rPr>
              <w:t>£130,747,904</w:t>
            </w:r>
          </w:p>
        </w:tc>
        <w:tc>
          <w:tcPr>
            <w:tcW w:w="920" w:type="pct"/>
            <w:shd w:val="clear" w:color="auto" w:fill="auto"/>
            <w:noWrap/>
            <w:hideMark/>
          </w:tcPr>
          <w:p w14:paraId="3E64D4B7" w14:textId="77777777" w:rsidR="00CE6D8C" w:rsidRPr="003D56F0" w:rsidRDefault="00CE6D8C" w:rsidP="003D56F0">
            <w:pPr>
              <w:rPr>
                <w:rFonts w:eastAsia="Times New Roman"/>
                <w:color w:val="000000"/>
                <w:sz w:val="20"/>
                <w:szCs w:val="20"/>
              </w:rPr>
            </w:pPr>
            <w:r w:rsidRPr="003D56F0">
              <w:rPr>
                <w:sz w:val="20"/>
                <w:szCs w:val="20"/>
              </w:rPr>
              <w:t>£126,840,814</w:t>
            </w:r>
          </w:p>
        </w:tc>
        <w:tc>
          <w:tcPr>
            <w:tcW w:w="2334" w:type="pct"/>
            <w:shd w:val="clear" w:color="auto" w:fill="auto"/>
            <w:noWrap/>
            <w:hideMark/>
          </w:tcPr>
          <w:p w14:paraId="3D414154" w14:textId="77777777" w:rsidR="00CE6D8C" w:rsidRPr="003D56F0" w:rsidRDefault="00CE6D8C" w:rsidP="003D56F0">
            <w:pPr>
              <w:rPr>
                <w:rFonts w:eastAsia="Times New Roman"/>
                <w:color w:val="000000"/>
                <w:sz w:val="20"/>
                <w:szCs w:val="20"/>
              </w:rPr>
            </w:pPr>
            <w:r w:rsidRPr="003D56F0">
              <w:rPr>
                <w:sz w:val="20"/>
                <w:szCs w:val="20"/>
              </w:rPr>
              <w:t>Low is assuming treatment effect is halved, high is doubled (no change on effect sustainability.)</w:t>
            </w:r>
          </w:p>
        </w:tc>
      </w:tr>
      <w:tr w:rsidR="00CE6D8C" w:rsidRPr="003D56F0" w14:paraId="7675D7DE" w14:textId="77777777" w:rsidTr="00AC1AF3">
        <w:trPr>
          <w:trHeight w:val="300"/>
        </w:trPr>
        <w:tc>
          <w:tcPr>
            <w:tcW w:w="826" w:type="pct"/>
            <w:shd w:val="clear" w:color="auto" w:fill="auto"/>
            <w:noWrap/>
            <w:hideMark/>
          </w:tcPr>
          <w:p w14:paraId="7E22CE60" w14:textId="77777777" w:rsidR="00CE6D8C" w:rsidRPr="003D56F0" w:rsidRDefault="00CE6D8C" w:rsidP="003D56F0">
            <w:pPr>
              <w:rPr>
                <w:rFonts w:eastAsia="Times New Roman"/>
                <w:color w:val="000000"/>
                <w:sz w:val="20"/>
                <w:szCs w:val="20"/>
              </w:rPr>
            </w:pPr>
            <w:r w:rsidRPr="003D56F0">
              <w:rPr>
                <w:sz w:val="20"/>
                <w:szCs w:val="20"/>
              </w:rPr>
              <w:t>Effect sustainability</w:t>
            </w:r>
          </w:p>
        </w:tc>
        <w:tc>
          <w:tcPr>
            <w:tcW w:w="920" w:type="pct"/>
            <w:shd w:val="clear" w:color="auto" w:fill="auto"/>
            <w:noWrap/>
            <w:hideMark/>
          </w:tcPr>
          <w:p w14:paraId="185426DF" w14:textId="77777777" w:rsidR="00CE6D8C" w:rsidRPr="003D56F0" w:rsidRDefault="00CE6D8C" w:rsidP="003D56F0">
            <w:pPr>
              <w:rPr>
                <w:rFonts w:eastAsia="Times New Roman"/>
                <w:color w:val="000000"/>
                <w:sz w:val="20"/>
                <w:szCs w:val="20"/>
              </w:rPr>
            </w:pPr>
            <w:r w:rsidRPr="003D56F0">
              <w:rPr>
                <w:sz w:val="20"/>
                <w:szCs w:val="20"/>
              </w:rPr>
              <w:t>£130,747,904</w:t>
            </w:r>
          </w:p>
        </w:tc>
        <w:tc>
          <w:tcPr>
            <w:tcW w:w="920" w:type="pct"/>
            <w:shd w:val="clear" w:color="auto" w:fill="auto"/>
            <w:noWrap/>
            <w:hideMark/>
          </w:tcPr>
          <w:p w14:paraId="6F64055C" w14:textId="77777777" w:rsidR="00CE6D8C" w:rsidRPr="003D56F0" w:rsidRDefault="00CE6D8C" w:rsidP="003D56F0">
            <w:pPr>
              <w:rPr>
                <w:rFonts w:eastAsia="Times New Roman"/>
                <w:color w:val="000000"/>
                <w:sz w:val="20"/>
                <w:szCs w:val="20"/>
              </w:rPr>
            </w:pPr>
            <w:r w:rsidRPr="003D56F0">
              <w:rPr>
                <w:sz w:val="20"/>
                <w:szCs w:val="20"/>
              </w:rPr>
              <w:t>£128,300,606</w:t>
            </w:r>
          </w:p>
        </w:tc>
        <w:tc>
          <w:tcPr>
            <w:tcW w:w="2334" w:type="pct"/>
            <w:shd w:val="clear" w:color="auto" w:fill="auto"/>
            <w:noWrap/>
            <w:hideMark/>
          </w:tcPr>
          <w:p w14:paraId="6B2E9E25" w14:textId="77777777" w:rsidR="00CE6D8C" w:rsidRPr="003D56F0" w:rsidRDefault="00CE6D8C" w:rsidP="003D56F0">
            <w:pPr>
              <w:rPr>
                <w:rFonts w:eastAsia="Times New Roman"/>
                <w:color w:val="000000"/>
                <w:sz w:val="20"/>
                <w:szCs w:val="20"/>
              </w:rPr>
            </w:pPr>
            <w:r w:rsidRPr="003D56F0">
              <w:rPr>
                <w:sz w:val="20"/>
                <w:szCs w:val="20"/>
              </w:rPr>
              <w:t>Low is assuming it takes 24 months before the efffects of the intervention have completely worn off, high is in the event that pre-treatment consumption is seen at 6 months post intervention, rather than the 12 months assumed in the base-case</w:t>
            </w:r>
          </w:p>
        </w:tc>
      </w:tr>
    </w:tbl>
    <w:p w14:paraId="21E7452E" w14:textId="1CE0B758" w:rsidR="00CE6D8C" w:rsidRPr="003D56F0" w:rsidRDefault="00CE6D8C" w:rsidP="00CC7EC2">
      <w:pPr>
        <w:pStyle w:val="Heading3"/>
        <w:rPr>
          <w:sz w:val="20"/>
          <w:szCs w:val="20"/>
        </w:rPr>
      </w:pPr>
      <w:bookmarkStart w:id="80" w:name="_Toc452035659"/>
      <w:r w:rsidRPr="003D56F0">
        <w:rPr>
          <w:sz w:val="20"/>
          <w:szCs w:val="20"/>
        </w:rPr>
        <w:lastRenderedPageBreak/>
        <w:t>7.5 Model based on Parsons, et al (2014). A randomized controlled trial utilizing motivational interviewing to reduce HIV risk and drug use in young gay and bisexual men. Journal of Consulting and Clinical Psychology, 82(1), 9–18.</w:t>
      </w:r>
      <w:bookmarkEnd w:id="80"/>
    </w:p>
    <w:tbl>
      <w:tblPr>
        <w:tblW w:w="5000" w:type="pct"/>
        <w:tblLook w:val="04A0" w:firstRow="1" w:lastRow="0" w:firstColumn="1" w:lastColumn="0" w:noHBand="0" w:noVBand="1"/>
      </w:tblPr>
      <w:tblGrid>
        <w:gridCol w:w="4074"/>
        <w:gridCol w:w="1439"/>
        <w:gridCol w:w="3729"/>
      </w:tblGrid>
      <w:tr w:rsidR="00CE6D8C" w:rsidRPr="003D56F0" w14:paraId="782ECC8F" w14:textId="77777777" w:rsidTr="00CE6D8C">
        <w:trPr>
          <w:trHeight w:val="300"/>
        </w:trPr>
        <w:tc>
          <w:tcPr>
            <w:tcW w:w="1995" w:type="pct"/>
            <w:tcBorders>
              <w:top w:val="single" w:sz="4" w:space="0" w:color="auto"/>
              <w:left w:val="single" w:sz="4" w:space="0" w:color="auto"/>
              <w:bottom w:val="single" w:sz="4" w:space="0" w:color="auto"/>
              <w:right w:val="single" w:sz="4" w:space="0" w:color="auto"/>
            </w:tcBorders>
            <w:shd w:val="clear" w:color="auto" w:fill="auto"/>
            <w:hideMark/>
          </w:tcPr>
          <w:p w14:paraId="3792028C" w14:textId="77777777" w:rsidR="00CE6D8C" w:rsidRPr="003D56F0" w:rsidRDefault="00CE6D8C" w:rsidP="00AD2788">
            <w:pPr>
              <w:rPr>
                <w:sz w:val="20"/>
                <w:szCs w:val="20"/>
              </w:rPr>
            </w:pPr>
            <w:r w:rsidRPr="003D56F0">
              <w:rPr>
                <w:sz w:val="20"/>
                <w:szCs w:val="20"/>
              </w:rPr>
              <w:t>Input/Outcome</w:t>
            </w:r>
          </w:p>
        </w:tc>
        <w:tc>
          <w:tcPr>
            <w:tcW w:w="713" w:type="pct"/>
            <w:tcBorders>
              <w:top w:val="single" w:sz="4" w:space="0" w:color="auto"/>
              <w:left w:val="nil"/>
              <w:bottom w:val="single" w:sz="4" w:space="0" w:color="auto"/>
              <w:right w:val="single" w:sz="4" w:space="0" w:color="auto"/>
            </w:tcBorders>
            <w:shd w:val="clear" w:color="auto" w:fill="auto"/>
            <w:hideMark/>
          </w:tcPr>
          <w:p w14:paraId="7778851B" w14:textId="77777777" w:rsidR="00CE6D8C" w:rsidRPr="003D56F0" w:rsidRDefault="00CE6D8C">
            <w:pPr>
              <w:rPr>
                <w:sz w:val="20"/>
                <w:szCs w:val="20"/>
              </w:rPr>
            </w:pPr>
            <w:r w:rsidRPr="003D56F0">
              <w:rPr>
                <w:sz w:val="20"/>
                <w:szCs w:val="20"/>
              </w:rPr>
              <w:t>Assumption</w:t>
            </w:r>
          </w:p>
        </w:tc>
        <w:tc>
          <w:tcPr>
            <w:tcW w:w="2292" w:type="pct"/>
            <w:tcBorders>
              <w:top w:val="single" w:sz="4" w:space="0" w:color="auto"/>
              <w:left w:val="nil"/>
              <w:bottom w:val="single" w:sz="4" w:space="0" w:color="auto"/>
              <w:right w:val="single" w:sz="4" w:space="0" w:color="auto"/>
            </w:tcBorders>
            <w:shd w:val="clear" w:color="auto" w:fill="auto"/>
            <w:hideMark/>
          </w:tcPr>
          <w:p w14:paraId="65974B40" w14:textId="77777777" w:rsidR="00CE6D8C" w:rsidRPr="003D56F0" w:rsidRDefault="00CE6D8C">
            <w:pPr>
              <w:rPr>
                <w:sz w:val="20"/>
                <w:szCs w:val="20"/>
              </w:rPr>
            </w:pPr>
            <w:r w:rsidRPr="003D56F0">
              <w:rPr>
                <w:sz w:val="20"/>
                <w:szCs w:val="20"/>
              </w:rPr>
              <w:t>Data source</w:t>
            </w:r>
          </w:p>
        </w:tc>
      </w:tr>
      <w:tr w:rsidR="00CE6D8C" w:rsidRPr="003D56F0" w14:paraId="70F7D679" w14:textId="77777777" w:rsidTr="00CE6D8C">
        <w:trPr>
          <w:trHeight w:val="600"/>
        </w:trPr>
        <w:tc>
          <w:tcPr>
            <w:tcW w:w="1995" w:type="pct"/>
            <w:tcBorders>
              <w:top w:val="nil"/>
              <w:left w:val="single" w:sz="4" w:space="0" w:color="auto"/>
              <w:bottom w:val="single" w:sz="4" w:space="0" w:color="auto"/>
              <w:right w:val="single" w:sz="4" w:space="0" w:color="auto"/>
            </w:tcBorders>
            <w:shd w:val="clear" w:color="auto" w:fill="auto"/>
            <w:hideMark/>
          </w:tcPr>
          <w:p w14:paraId="366A82E2" w14:textId="77777777" w:rsidR="00CE6D8C" w:rsidRPr="003D56F0" w:rsidRDefault="00CE6D8C" w:rsidP="00CC7EC2">
            <w:pPr>
              <w:rPr>
                <w:sz w:val="20"/>
                <w:szCs w:val="20"/>
              </w:rPr>
            </w:pPr>
            <w:r w:rsidRPr="003D56F0">
              <w:rPr>
                <w:sz w:val="20"/>
                <w:szCs w:val="20"/>
              </w:rPr>
              <w:t>Target population</w:t>
            </w:r>
          </w:p>
        </w:tc>
        <w:tc>
          <w:tcPr>
            <w:tcW w:w="713" w:type="pct"/>
            <w:tcBorders>
              <w:top w:val="nil"/>
              <w:left w:val="nil"/>
              <w:bottom w:val="single" w:sz="4" w:space="0" w:color="auto"/>
              <w:right w:val="single" w:sz="4" w:space="0" w:color="auto"/>
            </w:tcBorders>
            <w:shd w:val="clear" w:color="auto" w:fill="auto"/>
            <w:hideMark/>
          </w:tcPr>
          <w:p w14:paraId="2F2BF889" w14:textId="77777777" w:rsidR="00CE6D8C" w:rsidRPr="003D56F0" w:rsidRDefault="00CE6D8C" w:rsidP="00AD2788">
            <w:pPr>
              <w:rPr>
                <w:sz w:val="20"/>
                <w:szCs w:val="20"/>
              </w:rPr>
            </w:pPr>
            <w:r w:rsidRPr="003D56F0">
              <w:rPr>
                <w:sz w:val="20"/>
                <w:szCs w:val="20"/>
              </w:rPr>
              <w:t>12,479</w:t>
            </w:r>
          </w:p>
        </w:tc>
        <w:tc>
          <w:tcPr>
            <w:tcW w:w="2292" w:type="pct"/>
            <w:tcBorders>
              <w:top w:val="nil"/>
              <w:left w:val="nil"/>
              <w:bottom w:val="single" w:sz="4" w:space="0" w:color="auto"/>
              <w:right w:val="single" w:sz="4" w:space="0" w:color="auto"/>
            </w:tcBorders>
            <w:shd w:val="clear" w:color="auto" w:fill="auto"/>
            <w:hideMark/>
          </w:tcPr>
          <w:p w14:paraId="44EA70D8" w14:textId="77777777" w:rsidR="00CE6D8C" w:rsidRPr="003D56F0" w:rsidRDefault="00CE6D8C" w:rsidP="003D56F0">
            <w:pPr>
              <w:rPr>
                <w:rFonts w:eastAsia="Times New Roman"/>
                <w:color w:val="000000"/>
                <w:sz w:val="20"/>
                <w:szCs w:val="20"/>
              </w:rPr>
            </w:pPr>
            <w:r w:rsidRPr="003D56F0">
              <w:rPr>
                <w:sz w:val="20"/>
                <w:szCs w:val="20"/>
              </w:rPr>
              <w:t>Based on 10% of gay men from Buffin et al (2012), gay/bisexual men aged 18-29 based on ONS Integrated Household Survey</w:t>
            </w:r>
          </w:p>
        </w:tc>
      </w:tr>
      <w:tr w:rsidR="00CE6D8C" w:rsidRPr="003D56F0" w14:paraId="090B663F" w14:textId="77777777" w:rsidTr="00CE6D8C">
        <w:trPr>
          <w:trHeight w:val="300"/>
        </w:trPr>
        <w:tc>
          <w:tcPr>
            <w:tcW w:w="1995" w:type="pct"/>
            <w:tcBorders>
              <w:top w:val="nil"/>
              <w:left w:val="single" w:sz="4" w:space="0" w:color="auto"/>
              <w:bottom w:val="single" w:sz="4" w:space="0" w:color="auto"/>
              <w:right w:val="single" w:sz="4" w:space="0" w:color="auto"/>
            </w:tcBorders>
            <w:shd w:val="clear" w:color="auto" w:fill="auto"/>
            <w:hideMark/>
          </w:tcPr>
          <w:p w14:paraId="6EEBCF26" w14:textId="77777777" w:rsidR="00CE6D8C" w:rsidRPr="003D56F0" w:rsidRDefault="00CE6D8C" w:rsidP="00CC7EC2">
            <w:pPr>
              <w:rPr>
                <w:sz w:val="20"/>
                <w:szCs w:val="20"/>
              </w:rPr>
            </w:pPr>
            <w:r w:rsidRPr="003D56F0">
              <w:rPr>
                <w:sz w:val="20"/>
                <w:szCs w:val="20"/>
              </w:rPr>
              <w:t>Intervention cost</w:t>
            </w:r>
          </w:p>
        </w:tc>
        <w:tc>
          <w:tcPr>
            <w:tcW w:w="713" w:type="pct"/>
            <w:tcBorders>
              <w:top w:val="nil"/>
              <w:left w:val="nil"/>
              <w:bottom w:val="single" w:sz="4" w:space="0" w:color="auto"/>
              <w:right w:val="single" w:sz="4" w:space="0" w:color="auto"/>
            </w:tcBorders>
            <w:shd w:val="clear" w:color="auto" w:fill="auto"/>
            <w:hideMark/>
          </w:tcPr>
          <w:p w14:paraId="6776D3EC" w14:textId="77777777" w:rsidR="00CE6D8C" w:rsidRPr="003D56F0" w:rsidRDefault="00CE6D8C" w:rsidP="00AD2788">
            <w:pPr>
              <w:rPr>
                <w:sz w:val="20"/>
                <w:szCs w:val="20"/>
              </w:rPr>
            </w:pPr>
            <w:r w:rsidRPr="003D56F0">
              <w:rPr>
                <w:sz w:val="20"/>
                <w:szCs w:val="20"/>
              </w:rPr>
              <w:t>£268</w:t>
            </w:r>
          </w:p>
        </w:tc>
        <w:tc>
          <w:tcPr>
            <w:tcW w:w="2292" w:type="pct"/>
            <w:tcBorders>
              <w:top w:val="nil"/>
              <w:left w:val="nil"/>
              <w:bottom w:val="single" w:sz="4" w:space="0" w:color="auto"/>
              <w:right w:val="single" w:sz="4" w:space="0" w:color="auto"/>
            </w:tcBorders>
            <w:shd w:val="clear" w:color="auto" w:fill="auto"/>
            <w:hideMark/>
          </w:tcPr>
          <w:p w14:paraId="54ACECF5" w14:textId="77777777" w:rsidR="00CE6D8C" w:rsidRPr="003D56F0" w:rsidRDefault="00CE6D8C" w:rsidP="003D56F0">
            <w:pPr>
              <w:rPr>
                <w:rFonts w:eastAsia="Times New Roman"/>
                <w:color w:val="000000"/>
                <w:sz w:val="20"/>
                <w:szCs w:val="20"/>
              </w:rPr>
            </w:pPr>
            <w:r w:rsidRPr="003D56F0">
              <w:rPr>
                <w:rFonts w:eastAsia="Times New Roman"/>
                <w:color w:val="000000"/>
                <w:sz w:val="20"/>
                <w:szCs w:val="20"/>
              </w:rPr>
              <w:t> Based on </w:t>
            </w:r>
            <w:r w:rsidRPr="003D56F0">
              <w:rPr>
                <w:sz w:val="20"/>
                <w:szCs w:val="20"/>
              </w:rPr>
              <w:t>salary costs of a mental health nurse from PSSRU, which are £67 an hour, or £268 for four hours.</w:t>
            </w:r>
          </w:p>
        </w:tc>
      </w:tr>
      <w:tr w:rsidR="00CE6D8C" w:rsidRPr="003D56F0" w14:paraId="1C762522" w14:textId="77777777" w:rsidTr="00CE6D8C">
        <w:trPr>
          <w:trHeight w:val="600"/>
        </w:trPr>
        <w:tc>
          <w:tcPr>
            <w:tcW w:w="1995" w:type="pct"/>
            <w:tcBorders>
              <w:top w:val="nil"/>
              <w:left w:val="single" w:sz="4" w:space="0" w:color="auto"/>
              <w:bottom w:val="single" w:sz="4" w:space="0" w:color="auto"/>
              <w:right w:val="single" w:sz="4" w:space="0" w:color="auto"/>
            </w:tcBorders>
            <w:shd w:val="clear" w:color="auto" w:fill="auto"/>
            <w:hideMark/>
          </w:tcPr>
          <w:p w14:paraId="155E404D" w14:textId="77777777" w:rsidR="00CE6D8C" w:rsidRPr="003D56F0" w:rsidRDefault="00CE6D8C" w:rsidP="00CC7EC2">
            <w:pPr>
              <w:rPr>
                <w:sz w:val="20"/>
                <w:szCs w:val="20"/>
              </w:rPr>
            </w:pPr>
            <w:r w:rsidRPr="003D56F0">
              <w:rPr>
                <w:sz w:val="20"/>
                <w:szCs w:val="20"/>
              </w:rPr>
              <w:t>Drug use - base case model</w:t>
            </w:r>
          </w:p>
        </w:tc>
        <w:tc>
          <w:tcPr>
            <w:tcW w:w="713" w:type="pct"/>
            <w:tcBorders>
              <w:top w:val="nil"/>
              <w:left w:val="nil"/>
              <w:bottom w:val="single" w:sz="4" w:space="0" w:color="auto"/>
              <w:right w:val="single" w:sz="4" w:space="0" w:color="auto"/>
            </w:tcBorders>
            <w:shd w:val="clear" w:color="auto" w:fill="auto"/>
            <w:hideMark/>
          </w:tcPr>
          <w:p w14:paraId="5BD59367" w14:textId="77777777" w:rsidR="00CE6D8C" w:rsidRPr="003D56F0" w:rsidRDefault="00CE6D8C" w:rsidP="00AD2788">
            <w:pPr>
              <w:rPr>
                <w:sz w:val="20"/>
                <w:szCs w:val="20"/>
              </w:rPr>
            </w:pPr>
            <w:r w:rsidRPr="003D56F0">
              <w:rPr>
                <w:sz w:val="20"/>
                <w:szCs w:val="20"/>
              </w:rPr>
              <w:t>0.680 (intervention); 0.711 (control)</w:t>
            </w:r>
          </w:p>
        </w:tc>
        <w:tc>
          <w:tcPr>
            <w:tcW w:w="2292" w:type="pct"/>
            <w:tcBorders>
              <w:top w:val="nil"/>
              <w:left w:val="nil"/>
              <w:bottom w:val="single" w:sz="4" w:space="0" w:color="auto"/>
              <w:right w:val="single" w:sz="4" w:space="0" w:color="auto"/>
            </w:tcBorders>
            <w:shd w:val="clear" w:color="auto" w:fill="auto"/>
            <w:hideMark/>
          </w:tcPr>
          <w:p w14:paraId="2B84B08F" w14:textId="77777777" w:rsidR="00CE6D8C" w:rsidRPr="003D56F0" w:rsidRDefault="00CE6D8C" w:rsidP="003D56F0">
            <w:pPr>
              <w:rPr>
                <w:rFonts w:eastAsia="Times New Roman"/>
                <w:color w:val="000000"/>
                <w:sz w:val="20"/>
                <w:szCs w:val="20"/>
              </w:rPr>
            </w:pPr>
            <w:r w:rsidRPr="003D56F0">
              <w:rPr>
                <w:sz w:val="20"/>
                <w:szCs w:val="20"/>
              </w:rPr>
              <w:t>Prevalence of all drug use of which cocaine was the most prevalent drug.</w:t>
            </w:r>
          </w:p>
        </w:tc>
      </w:tr>
      <w:tr w:rsidR="00CE6D8C" w:rsidRPr="003D56F0" w14:paraId="4918A5BB" w14:textId="77777777" w:rsidTr="00CE6D8C">
        <w:trPr>
          <w:trHeight w:val="600"/>
        </w:trPr>
        <w:tc>
          <w:tcPr>
            <w:tcW w:w="1995" w:type="pct"/>
            <w:tcBorders>
              <w:top w:val="nil"/>
              <w:left w:val="single" w:sz="4" w:space="0" w:color="auto"/>
              <w:bottom w:val="single" w:sz="4" w:space="0" w:color="auto"/>
              <w:right w:val="single" w:sz="4" w:space="0" w:color="auto"/>
            </w:tcBorders>
            <w:shd w:val="clear" w:color="auto" w:fill="auto"/>
            <w:hideMark/>
          </w:tcPr>
          <w:p w14:paraId="7B7B5241" w14:textId="77777777" w:rsidR="00CE6D8C" w:rsidRPr="003D56F0" w:rsidRDefault="00CE6D8C" w:rsidP="00CC7EC2">
            <w:pPr>
              <w:rPr>
                <w:sz w:val="20"/>
                <w:szCs w:val="20"/>
              </w:rPr>
            </w:pPr>
            <w:r w:rsidRPr="003D56F0">
              <w:rPr>
                <w:sz w:val="20"/>
                <w:szCs w:val="20"/>
              </w:rPr>
              <w:t>Drug use - maintained reduction scenario</w:t>
            </w:r>
          </w:p>
        </w:tc>
        <w:tc>
          <w:tcPr>
            <w:tcW w:w="713" w:type="pct"/>
            <w:tcBorders>
              <w:top w:val="nil"/>
              <w:left w:val="nil"/>
              <w:bottom w:val="single" w:sz="4" w:space="0" w:color="auto"/>
              <w:right w:val="single" w:sz="4" w:space="0" w:color="auto"/>
            </w:tcBorders>
            <w:shd w:val="clear" w:color="auto" w:fill="auto"/>
            <w:hideMark/>
          </w:tcPr>
          <w:p w14:paraId="450F7DB3" w14:textId="77777777" w:rsidR="00CE6D8C" w:rsidRPr="003D56F0" w:rsidRDefault="00CE6D8C" w:rsidP="00AD2788">
            <w:pPr>
              <w:rPr>
                <w:sz w:val="20"/>
                <w:szCs w:val="20"/>
              </w:rPr>
            </w:pPr>
            <w:r w:rsidRPr="003D56F0">
              <w:rPr>
                <w:sz w:val="20"/>
                <w:szCs w:val="20"/>
              </w:rPr>
              <w:t>0.508 (intervention); 0.601 (control)</w:t>
            </w:r>
          </w:p>
        </w:tc>
        <w:tc>
          <w:tcPr>
            <w:tcW w:w="2292" w:type="pct"/>
            <w:tcBorders>
              <w:top w:val="nil"/>
              <w:left w:val="nil"/>
              <w:bottom w:val="single" w:sz="4" w:space="0" w:color="auto"/>
              <w:right w:val="single" w:sz="4" w:space="0" w:color="auto"/>
            </w:tcBorders>
            <w:shd w:val="clear" w:color="auto" w:fill="auto"/>
            <w:hideMark/>
          </w:tcPr>
          <w:p w14:paraId="7E56200E" w14:textId="77777777" w:rsidR="00CE6D8C" w:rsidRPr="003D56F0" w:rsidRDefault="00CE6D8C" w:rsidP="003D56F0">
            <w:pPr>
              <w:rPr>
                <w:rFonts w:eastAsia="Times New Roman"/>
                <w:color w:val="000000"/>
                <w:sz w:val="20"/>
                <w:szCs w:val="20"/>
              </w:rPr>
            </w:pPr>
            <w:r w:rsidRPr="003D56F0">
              <w:rPr>
                <w:sz w:val="20"/>
                <w:szCs w:val="20"/>
              </w:rPr>
              <w:t>Prevalence of all drug use of which cocaine was the most prevalent drug.</w:t>
            </w:r>
          </w:p>
        </w:tc>
      </w:tr>
      <w:tr w:rsidR="00CE6D8C" w:rsidRPr="003D56F0" w14:paraId="42ED6736" w14:textId="77777777" w:rsidTr="00CE6D8C">
        <w:trPr>
          <w:trHeight w:val="829"/>
        </w:trPr>
        <w:tc>
          <w:tcPr>
            <w:tcW w:w="1995" w:type="pct"/>
            <w:tcBorders>
              <w:top w:val="nil"/>
              <w:left w:val="single" w:sz="4" w:space="0" w:color="auto"/>
              <w:bottom w:val="single" w:sz="4" w:space="0" w:color="auto"/>
              <w:right w:val="single" w:sz="4" w:space="0" w:color="auto"/>
            </w:tcBorders>
            <w:shd w:val="clear" w:color="auto" w:fill="auto"/>
            <w:hideMark/>
          </w:tcPr>
          <w:p w14:paraId="519ADF75" w14:textId="77777777" w:rsidR="00CE6D8C" w:rsidRPr="003D56F0" w:rsidRDefault="00CE6D8C" w:rsidP="00CC7EC2">
            <w:pPr>
              <w:rPr>
                <w:sz w:val="20"/>
                <w:szCs w:val="20"/>
              </w:rPr>
            </w:pPr>
            <w:r w:rsidRPr="003D56F0">
              <w:rPr>
                <w:sz w:val="20"/>
                <w:szCs w:val="20"/>
              </w:rPr>
              <w:t>Cocaine specific hospital costs</w:t>
            </w:r>
          </w:p>
        </w:tc>
        <w:tc>
          <w:tcPr>
            <w:tcW w:w="713" w:type="pct"/>
            <w:tcBorders>
              <w:top w:val="nil"/>
              <w:left w:val="nil"/>
              <w:bottom w:val="single" w:sz="4" w:space="0" w:color="auto"/>
              <w:right w:val="single" w:sz="4" w:space="0" w:color="auto"/>
            </w:tcBorders>
            <w:shd w:val="clear" w:color="auto" w:fill="auto"/>
            <w:hideMark/>
          </w:tcPr>
          <w:p w14:paraId="3D7B7441" w14:textId="77777777" w:rsidR="00CE6D8C" w:rsidRPr="003D56F0" w:rsidRDefault="00CE6D8C" w:rsidP="00AD2788">
            <w:pPr>
              <w:rPr>
                <w:sz w:val="20"/>
                <w:szCs w:val="20"/>
              </w:rPr>
            </w:pPr>
            <w:r w:rsidRPr="003D56F0">
              <w:rPr>
                <w:sz w:val="20"/>
                <w:szCs w:val="20"/>
              </w:rPr>
              <w:t>£3.95 per cocaine user per year</w:t>
            </w:r>
          </w:p>
        </w:tc>
        <w:tc>
          <w:tcPr>
            <w:tcW w:w="2292" w:type="pct"/>
            <w:tcBorders>
              <w:top w:val="nil"/>
              <w:left w:val="nil"/>
              <w:bottom w:val="single" w:sz="4" w:space="0" w:color="auto"/>
              <w:right w:val="single" w:sz="4" w:space="0" w:color="auto"/>
            </w:tcBorders>
            <w:shd w:val="clear" w:color="auto" w:fill="auto"/>
            <w:hideMark/>
          </w:tcPr>
          <w:p w14:paraId="4427B8E8" w14:textId="77777777" w:rsidR="00CE6D8C" w:rsidRPr="003D56F0" w:rsidRDefault="00CE6D8C" w:rsidP="003D56F0">
            <w:pPr>
              <w:rPr>
                <w:rFonts w:eastAsia="Times New Roman"/>
                <w:color w:val="000000"/>
                <w:sz w:val="20"/>
                <w:szCs w:val="20"/>
              </w:rPr>
            </w:pPr>
            <w:r w:rsidRPr="003D56F0">
              <w:rPr>
                <w:sz w:val="20"/>
                <w:szCs w:val="20"/>
              </w:rPr>
              <w:t xml:space="preserve">Based on 1624 admissions for cocaine poisoning or mental &amp; behavioural disorders due to cocaine (each costing £1,590) divided by 726,559 cocaine users aged 18-59, assuming 80% conveyed by ambulance. </w:t>
            </w:r>
          </w:p>
        </w:tc>
      </w:tr>
      <w:tr w:rsidR="00CE6D8C" w:rsidRPr="003D56F0" w14:paraId="6310CC93" w14:textId="77777777" w:rsidTr="00CE6D8C">
        <w:trPr>
          <w:trHeight w:val="983"/>
        </w:trPr>
        <w:tc>
          <w:tcPr>
            <w:tcW w:w="1995" w:type="pct"/>
            <w:tcBorders>
              <w:top w:val="nil"/>
              <w:left w:val="single" w:sz="4" w:space="0" w:color="auto"/>
              <w:bottom w:val="single" w:sz="4" w:space="0" w:color="auto"/>
              <w:right w:val="single" w:sz="4" w:space="0" w:color="auto"/>
            </w:tcBorders>
            <w:shd w:val="clear" w:color="auto" w:fill="auto"/>
            <w:hideMark/>
          </w:tcPr>
          <w:p w14:paraId="289D4EAC" w14:textId="77777777" w:rsidR="00CE6D8C" w:rsidRPr="003D56F0" w:rsidRDefault="00CE6D8C" w:rsidP="00CC7EC2">
            <w:pPr>
              <w:rPr>
                <w:sz w:val="20"/>
                <w:szCs w:val="20"/>
              </w:rPr>
            </w:pPr>
            <w:r w:rsidRPr="003D56F0">
              <w:rPr>
                <w:sz w:val="20"/>
                <w:szCs w:val="20"/>
              </w:rPr>
              <w:t>Cocaine related CVD hospital costs</w:t>
            </w:r>
          </w:p>
        </w:tc>
        <w:tc>
          <w:tcPr>
            <w:tcW w:w="713" w:type="pct"/>
            <w:tcBorders>
              <w:top w:val="nil"/>
              <w:left w:val="nil"/>
              <w:bottom w:val="single" w:sz="4" w:space="0" w:color="auto"/>
              <w:right w:val="single" w:sz="4" w:space="0" w:color="auto"/>
            </w:tcBorders>
            <w:shd w:val="clear" w:color="auto" w:fill="auto"/>
            <w:hideMark/>
          </w:tcPr>
          <w:p w14:paraId="35DFDDF9" w14:textId="77777777" w:rsidR="00CE6D8C" w:rsidRPr="003D56F0" w:rsidRDefault="00CE6D8C" w:rsidP="00AD2788">
            <w:pPr>
              <w:rPr>
                <w:sz w:val="20"/>
                <w:szCs w:val="20"/>
              </w:rPr>
            </w:pPr>
            <w:r w:rsidRPr="003D56F0">
              <w:rPr>
                <w:sz w:val="20"/>
                <w:szCs w:val="20"/>
              </w:rPr>
              <w:t>£8.52 per cocaine user per year</w:t>
            </w:r>
          </w:p>
        </w:tc>
        <w:tc>
          <w:tcPr>
            <w:tcW w:w="2292" w:type="pct"/>
            <w:tcBorders>
              <w:top w:val="nil"/>
              <w:left w:val="nil"/>
              <w:bottom w:val="single" w:sz="4" w:space="0" w:color="auto"/>
              <w:right w:val="single" w:sz="4" w:space="0" w:color="auto"/>
            </w:tcBorders>
            <w:shd w:val="clear" w:color="auto" w:fill="auto"/>
            <w:hideMark/>
          </w:tcPr>
          <w:p w14:paraId="685369DA" w14:textId="77777777" w:rsidR="00CE6D8C" w:rsidRPr="003D56F0" w:rsidRDefault="00CE6D8C" w:rsidP="003D56F0">
            <w:pPr>
              <w:rPr>
                <w:rFonts w:eastAsia="Times New Roman"/>
                <w:color w:val="000000"/>
                <w:sz w:val="20"/>
                <w:szCs w:val="20"/>
              </w:rPr>
            </w:pPr>
            <w:r w:rsidRPr="003D56F0">
              <w:rPr>
                <w:sz w:val="20"/>
                <w:szCs w:val="20"/>
              </w:rPr>
              <w:t>Based on 20% of 5,067 myocardial infarction admissions in 18-44 year olds (Qureshi et al 2001 estimated 1 in 4), plus 3% of 53,355 non-myocardial infarction CVD admissions in 18-44 year olds (based on Lucena et al.)</w:t>
            </w:r>
          </w:p>
        </w:tc>
      </w:tr>
      <w:tr w:rsidR="00CE6D8C" w:rsidRPr="003D56F0" w14:paraId="429C9427" w14:textId="77777777" w:rsidTr="00CE6D8C">
        <w:trPr>
          <w:trHeight w:val="900"/>
        </w:trPr>
        <w:tc>
          <w:tcPr>
            <w:tcW w:w="1995" w:type="pct"/>
            <w:tcBorders>
              <w:top w:val="nil"/>
              <w:left w:val="single" w:sz="4" w:space="0" w:color="auto"/>
              <w:bottom w:val="single" w:sz="4" w:space="0" w:color="auto"/>
              <w:right w:val="single" w:sz="4" w:space="0" w:color="auto"/>
            </w:tcBorders>
            <w:shd w:val="clear" w:color="auto" w:fill="auto"/>
            <w:hideMark/>
          </w:tcPr>
          <w:p w14:paraId="16851153" w14:textId="77777777" w:rsidR="00CE6D8C" w:rsidRPr="003D56F0" w:rsidRDefault="00CE6D8C" w:rsidP="00CC7EC2">
            <w:pPr>
              <w:rPr>
                <w:sz w:val="20"/>
                <w:szCs w:val="20"/>
              </w:rPr>
            </w:pPr>
            <w:r w:rsidRPr="003D56F0">
              <w:rPr>
                <w:sz w:val="20"/>
                <w:szCs w:val="20"/>
              </w:rPr>
              <w:t>QALY loss from risk of future cocaine dependence</w:t>
            </w:r>
          </w:p>
        </w:tc>
        <w:tc>
          <w:tcPr>
            <w:tcW w:w="713" w:type="pct"/>
            <w:tcBorders>
              <w:top w:val="nil"/>
              <w:left w:val="nil"/>
              <w:bottom w:val="single" w:sz="4" w:space="0" w:color="auto"/>
              <w:right w:val="single" w:sz="4" w:space="0" w:color="auto"/>
            </w:tcBorders>
            <w:shd w:val="clear" w:color="auto" w:fill="auto"/>
            <w:hideMark/>
          </w:tcPr>
          <w:p w14:paraId="09F6628A" w14:textId="77777777" w:rsidR="00CE6D8C" w:rsidRPr="003D56F0" w:rsidRDefault="00CE6D8C" w:rsidP="00AD2788">
            <w:pPr>
              <w:rPr>
                <w:sz w:val="20"/>
                <w:szCs w:val="20"/>
              </w:rPr>
            </w:pPr>
            <w:r w:rsidRPr="003D56F0">
              <w:rPr>
                <w:sz w:val="20"/>
                <w:szCs w:val="20"/>
              </w:rPr>
              <w:t>7.56 QALYs per 1000 cocaine users per year</w:t>
            </w:r>
          </w:p>
        </w:tc>
        <w:tc>
          <w:tcPr>
            <w:tcW w:w="2292" w:type="pct"/>
            <w:tcBorders>
              <w:top w:val="nil"/>
              <w:left w:val="nil"/>
              <w:bottom w:val="single" w:sz="4" w:space="0" w:color="auto"/>
              <w:right w:val="single" w:sz="4" w:space="0" w:color="auto"/>
            </w:tcBorders>
            <w:shd w:val="clear" w:color="auto" w:fill="auto"/>
            <w:hideMark/>
          </w:tcPr>
          <w:p w14:paraId="4C2F0340" w14:textId="77777777" w:rsidR="00CE6D8C" w:rsidRPr="003D56F0" w:rsidRDefault="00CE6D8C" w:rsidP="003D56F0">
            <w:pPr>
              <w:rPr>
                <w:rFonts w:eastAsia="Times New Roman"/>
                <w:color w:val="000000"/>
                <w:sz w:val="20"/>
                <w:szCs w:val="20"/>
              </w:rPr>
            </w:pPr>
            <w:r w:rsidRPr="003D56F0">
              <w:rPr>
                <w:sz w:val="20"/>
                <w:szCs w:val="20"/>
              </w:rPr>
              <w:t>Based on risk of dependence of 1.2% per year for 18-29 year olds from Wagner et al (2002) multiplied by 10 * 0.064 QALYs lost every six month from Pyne et al (2011).</w:t>
            </w:r>
          </w:p>
        </w:tc>
      </w:tr>
      <w:tr w:rsidR="00CE6D8C" w:rsidRPr="003D56F0" w14:paraId="5E681CE2" w14:textId="77777777" w:rsidTr="00CE6D8C">
        <w:trPr>
          <w:trHeight w:val="1351"/>
        </w:trPr>
        <w:tc>
          <w:tcPr>
            <w:tcW w:w="1995" w:type="pct"/>
            <w:tcBorders>
              <w:top w:val="nil"/>
              <w:left w:val="single" w:sz="4" w:space="0" w:color="auto"/>
              <w:bottom w:val="single" w:sz="4" w:space="0" w:color="auto"/>
              <w:right w:val="single" w:sz="4" w:space="0" w:color="auto"/>
            </w:tcBorders>
            <w:shd w:val="clear" w:color="auto" w:fill="auto"/>
            <w:hideMark/>
          </w:tcPr>
          <w:p w14:paraId="0BEC7736" w14:textId="77777777" w:rsidR="00CE6D8C" w:rsidRPr="003D56F0" w:rsidRDefault="00CE6D8C" w:rsidP="00CC7EC2">
            <w:pPr>
              <w:rPr>
                <w:sz w:val="20"/>
                <w:szCs w:val="20"/>
              </w:rPr>
            </w:pPr>
            <w:r w:rsidRPr="003D56F0">
              <w:rPr>
                <w:sz w:val="20"/>
                <w:szCs w:val="20"/>
              </w:rPr>
              <w:t>QALYs lost from cocaine related deaths</w:t>
            </w:r>
          </w:p>
        </w:tc>
        <w:tc>
          <w:tcPr>
            <w:tcW w:w="713" w:type="pct"/>
            <w:tcBorders>
              <w:top w:val="nil"/>
              <w:left w:val="nil"/>
              <w:bottom w:val="single" w:sz="4" w:space="0" w:color="auto"/>
              <w:right w:val="single" w:sz="4" w:space="0" w:color="auto"/>
            </w:tcBorders>
            <w:shd w:val="clear" w:color="auto" w:fill="auto"/>
            <w:hideMark/>
          </w:tcPr>
          <w:p w14:paraId="09A5FA55" w14:textId="77777777" w:rsidR="00CE6D8C" w:rsidRPr="003D56F0" w:rsidRDefault="00CE6D8C" w:rsidP="00AD2788">
            <w:pPr>
              <w:rPr>
                <w:sz w:val="20"/>
                <w:szCs w:val="20"/>
              </w:rPr>
            </w:pPr>
            <w:r w:rsidRPr="003D56F0">
              <w:rPr>
                <w:sz w:val="20"/>
                <w:szCs w:val="20"/>
              </w:rPr>
              <w:t>4.082 per 1000 cocaine users per year</w:t>
            </w:r>
          </w:p>
        </w:tc>
        <w:tc>
          <w:tcPr>
            <w:tcW w:w="2292" w:type="pct"/>
            <w:tcBorders>
              <w:top w:val="nil"/>
              <w:left w:val="nil"/>
              <w:bottom w:val="single" w:sz="4" w:space="0" w:color="auto"/>
              <w:right w:val="single" w:sz="4" w:space="0" w:color="auto"/>
            </w:tcBorders>
            <w:shd w:val="clear" w:color="auto" w:fill="auto"/>
            <w:hideMark/>
          </w:tcPr>
          <w:p w14:paraId="3F814CB2" w14:textId="77777777" w:rsidR="00CE6D8C" w:rsidRPr="003D56F0" w:rsidRDefault="00CE6D8C" w:rsidP="003D56F0">
            <w:pPr>
              <w:rPr>
                <w:rFonts w:eastAsia="Times New Roman"/>
                <w:color w:val="000000"/>
                <w:sz w:val="20"/>
                <w:szCs w:val="20"/>
              </w:rPr>
            </w:pPr>
            <w:r w:rsidRPr="003D56F0">
              <w:rPr>
                <w:sz w:val="20"/>
                <w:szCs w:val="20"/>
              </w:rPr>
              <w:t>Based on 32.3 discounted QALYs lost per death (assume age 25 on average) and 3% of CVD deaths (1586 deaths in men in 2014) aged&lt;45 being cocaine related , and 50% of cocaine specific deaths (74 deaths in 2014) being related to powder cocaine. In reality young people may be unlikely to die from cocaine use but use may lead to deaths after age 25.</w:t>
            </w:r>
          </w:p>
        </w:tc>
      </w:tr>
      <w:tr w:rsidR="00CE6D8C" w:rsidRPr="003D56F0" w14:paraId="50BB4857" w14:textId="77777777" w:rsidTr="00CE6D8C">
        <w:trPr>
          <w:trHeight w:val="831"/>
        </w:trPr>
        <w:tc>
          <w:tcPr>
            <w:tcW w:w="1995" w:type="pct"/>
            <w:tcBorders>
              <w:top w:val="nil"/>
              <w:left w:val="single" w:sz="4" w:space="0" w:color="auto"/>
              <w:bottom w:val="single" w:sz="4" w:space="0" w:color="auto"/>
              <w:right w:val="single" w:sz="4" w:space="0" w:color="auto"/>
            </w:tcBorders>
            <w:shd w:val="clear" w:color="auto" w:fill="auto"/>
            <w:hideMark/>
          </w:tcPr>
          <w:p w14:paraId="5B28EA3C" w14:textId="77777777" w:rsidR="00CE6D8C" w:rsidRPr="003D56F0" w:rsidRDefault="00CE6D8C" w:rsidP="00CC7EC2">
            <w:pPr>
              <w:rPr>
                <w:sz w:val="20"/>
                <w:szCs w:val="20"/>
              </w:rPr>
            </w:pPr>
            <w:r w:rsidRPr="003D56F0">
              <w:rPr>
                <w:sz w:val="20"/>
                <w:szCs w:val="20"/>
              </w:rPr>
              <w:t>Drug treatment costs</w:t>
            </w:r>
          </w:p>
        </w:tc>
        <w:tc>
          <w:tcPr>
            <w:tcW w:w="713" w:type="pct"/>
            <w:tcBorders>
              <w:top w:val="nil"/>
              <w:left w:val="nil"/>
              <w:bottom w:val="single" w:sz="4" w:space="0" w:color="auto"/>
              <w:right w:val="single" w:sz="4" w:space="0" w:color="auto"/>
            </w:tcBorders>
            <w:shd w:val="clear" w:color="auto" w:fill="auto"/>
            <w:hideMark/>
          </w:tcPr>
          <w:p w14:paraId="4BAEDB5C" w14:textId="77777777" w:rsidR="00CE6D8C" w:rsidRPr="003D56F0" w:rsidRDefault="00CE6D8C" w:rsidP="00AD2788">
            <w:pPr>
              <w:rPr>
                <w:sz w:val="20"/>
                <w:szCs w:val="20"/>
              </w:rPr>
            </w:pPr>
            <w:r w:rsidRPr="003D56F0">
              <w:rPr>
                <w:sz w:val="20"/>
                <w:szCs w:val="20"/>
              </w:rPr>
              <w:t>£22.81 per user per year</w:t>
            </w:r>
          </w:p>
        </w:tc>
        <w:tc>
          <w:tcPr>
            <w:tcW w:w="2292" w:type="pct"/>
            <w:tcBorders>
              <w:top w:val="nil"/>
              <w:left w:val="nil"/>
              <w:bottom w:val="single" w:sz="4" w:space="0" w:color="auto"/>
              <w:right w:val="single" w:sz="4" w:space="0" w:color="auto"/>
            </w:tcBorders>
            <w:shd w:val="clear" w:color="auto" w:fill="auto"/>
            <w:hideMark/>
          </w:tcPr>
          <w:p w14:paraId="0E2230EA" w14:textId="77777777" w:rsidR="00CE6D8C" w:rsidRPr="003D56F0" w:rsidRDefault="00CE6D8C" w:rsidP="003D56F0">
            <w:pPr>
              <w:rPr>
                <w:rFonts w:eastAsia="Times New Roman"/>
                <w:color w:val="000000"/>
                <w:sz w:val="20"/>
                <w:szCs w:val="20"/>
              </w:rPr>
            </w:pPr>
            <w:r w:rsidRPr="003D56F0">
              <w:rPr>
                <w:sz w:val="20"/>
                <w:szCs w:val="20"/>
              </w:rPr>
              <w:t xml:space="preserve">Based on 10,610 people in drug treatment in England with primary drug of cocaine in 2013/14 divided by estimated 726,559 cocaine users in England, multiplied by estimated £1,562 per cocaine user in treatment </w:t>
            </w:r>
            <w:r w:rsidRPr="003D56F0">
              <w:rPr>
                <w:sz w:val="20"/>
                <w:szCs w:val="20"/>
              </w:rPr>
              <w:lastRenderedPageBreak/>
              <w:t>from PHE.</w:t>
            </w:r>
          </w:p>
        </w:tc>
      </w:tr>
      <w:tr w:rsidR="00CE6D8C" w:rsidRPr="003D56F0" w14:paraId="2546FCB8" w14:textId="77777777" w:rsidTr="00CE6D8C">
        <w:trPr>
          <w:trHeight w:val="900"/>
        </w:trPr>
        <w:tc>
          <w:tcPr>
            <w:tcW w:w="1995" w:type="pct"/>
            <w:tcBorders>
              <w:top w:val="nil"/>
              <w:left w:val="single" w:sz="4" w:space="0" w:color="auto"/>
              <w:bottom w:val="single" w:sz="4" w:space="0" w:color="auto"/>
              <w:right w:val="single" w:sz="4" w:space="0" w:color="auto"/>
            </w:tcBorders>
            <w:shd w:val="clear" w:color="auto" w:fill="auto"/>
            <w:hideMark/>
          </w:tcPr>
          <w:p w14:paraId="3BD30873" w14:textId="77777777" w:rsidR="00CE6D8C" w:rsidRPr="003D56F0" w:rsidRDefault="00CE6D8C" w:rsidP="00CC7EC2">
            <w:pPr>
              <w:rPr>
                <w:sz w:val="20"/>
                <w:szCs w:val="20"/>
              </w:rPr>
            </w:pPr>
            <w:r w:rsidRPr="003D56F0">
              <w:rPr>
                <w:sz w:val="20"/>
                <w:szCs w:val="20"/>
              </w:rPr>
              <w:lastRenderedPageBreak/>
              <w:t>Crime costs</w:t>
            </w:r>
          </w:p>
        </w:tc>
        <w:tc>
          <w:tcPr>
            <w:tcW w:w="713" w:type="pct"/>
            <w:tcBorders>
              <w:top w:val="nil"/>
              <w:left w:val="nil"/>
              <w:bottom w:val="single" w:sz="4" w:space="0" w:color="auto"/>
              <w:right w:val="single" w:sz="4" w:space="0" w:color="auto"/>
            </w:tcBorders>
            <w:shd w:val="clear" w:color="auto" w:fill="auto"/>
            <w:hideMark/>
          </w:tcPr>
          <w:p w14:paraId="29F7EB43" w14:textId="77777777" w:rsidR="00CE6D8C" w:rsidRPr="003D56F0" w:rsidRDefault="00CE6D8C" w:rsidP="00AD2788">
            <w:pPr>
              <w:rPr>
                <w:sz w:val="20"/>
                <w:szCs w:val="20"/>
              </w:rPr>
            </w:pPr>
            <w:r w:rsidRPr="003D56F0">
              <w:rPr>
                <w:sz w:val="20"/>
                <w:szCs w:val="20"/>
              </w:rPr>
              <w:t>£18.10 per cocaine user per year</w:t>
            </w:r>
          </w:p>
        </w:tc>
        <w:tc>
          <w:tcPr>
            <w:tcW w:w="2292" w:type="pct"/>
            <w:tcBorders>
              <w:top w:val="nil"/>
              <w:left w:val="nil"/>
              <w:bottom w:val="single" w:sz="4" w:space="0" w:color="auto"/>
              <w:right w:val="single" w:sz="4" w:space="0" w:color="auto"/>
            </w:tcBorders>
            <w:shd w:val="clear" w:color="auto" w:fill="auto"/>
            <w:hideMark/>
          </w:tcPr>
          <w:p w14:paraId="270927C2" w14:textId="77777777" w:rsidR="00CE6D8C" w:rsidRPr="003D56F0" w:rsidRDefault="00CE6D8C" w:rsidP="003D56F0">
            <w:pPr>
              <w:rPr>
                <w:rFonts w:eastAsia="Times New Roman"/>
                <w:color w:val="000000"/>
                <w:sz w:val="20"/>
                <w:szCs w:val="20"/>
              </w:rPr>
            </w:pPr>
            <w:r w:rsidRPr="003D56F0">
              <w:rPr>
                <w:sz w:val="20"/>
                <w:szCs w:val="20"/>
              </w:rPr>
              <w:t>Based on 22.6% of 31,915 non-cannabis drug possession arrests = 7,207, multiplied by £1,925 from Godfrey (2002 inflated to 2015 prices) divided by 766,402 cocaine users in England &amp; Wales</w:t>
            </w:r>
          </w:p>
        </w:tc>
      </w:tr>
      <w:tr w:rsidR="00CE6D8C" w:rsidRPr="003D56F0" w14:paraId="235546D6" w14:textId="77777777" w:rsidTr="00CE6D8C">
        <w:trPr>
          <w:trHeight w:val="315"/>
        </w:trPr>
        <w:tc>
          <w:tcPr>
            <w:tcW w:w="1995" w:type="pct"/>
            <w:tcBorders>
              <w:top w:val="nil"/>
              <w:left w:val="single" w:sz="4" w:space="0" w:color="auto"/>
              <w:bottom w:val="single" w:sz="4" w:space="0" w:color="auto"/>
              <w:right w:val="single" w:sz="4" w:space="0" w:color="auto"/>
            </w:tcBorders>
            <w:shd w:val="clear" w:color="auto" w:fill="auto"/>
            <w:noWrap/>
            <w:vAlign w:val="bottom"/>
            <w:hideMark/>
          </w:tcPr>
          <w:p w14:paraId="2F59DE02" w14:textId="77777777" w:rsidR="00CE6D8C" w:rsidRPr="003D56F0" w:rsidRDefault="00CE6D8C" w:rsidP="00CC7EC2">
            <w:pPr>
              <w:rPr>
                <w:sz w:val="20"/>
                <w:szCs w:val="20"/>
              </w:rPr>
            </w:pPr>
            <w:r w:rsidRPr="003D56F0">
              <w:rPr>
                <w:sz w:val="20"/>
                <w:szCs w:val="20"/>
              </w:rPr>
              <w:t>Total social costs per cocaine user per year</w:t>
            </w:r>
          </w:p>
        </w:tc>
        <w:tc>
          <w:tcPr>
            <w:tcW w:w="713" w:type="pct"/>
            <w:tcBorders>
              <w:top w:val="nil"/>
              <w:left w:val="nil"/>
              <w:bottom w:val="single" w:sz="4" w:space="0" w:color="auto"/>
              <w:right w:val="single" w:sz="4" w:space="0" w:color="auto"/>
            </w:tcBorders>
            <w:shd w:val="clear" w:color="auto" w:fill="auto"/>
            <w:noWrap/>
            <w:vAlign w:val="bottom"/>
            <w:hideMark/>
          </w:tcPr>
          <w:p w14:paraId="25A6D14A" w14:textId="77777777" w:rsidR="00CE6D8C" w:rsidRPr="003D56F0" w:rsidRDefault="00CE6D8C" w:rsidP="00AD2788">
            <w:pPr>
              <w:rPr>
                <w:sz w:val="20"/>
                <w:szCs w:val="20"/>
              </w:rPr>
            </w:pPr>
            <w:r w:rsidRPr="003D56F0">
              <w:rPr>
                <w:sz w:val="20"/>
                <w:szCs w:val="20"/>
              </w:rPr>
              <w:t>£53.38</w:t>
            </w:r>
          </w:p>
        </w:tc>
        <w:tc>
          <w:tcPr>
            <w:tcW w:w="2292" w:type="pct"/>
            <w:tcBorders>
              <w:top w:val="nil"/>
              <w:left w:val="nil"/>
              <w:bottom w:val="single" w:sz="4" w:space="0" w:color="auto"/>
              <w:right w:val="single" w:sz="4" w:space="0" w:color="auto"/>
            </w:tcBorders>
            <w:shd w:val="clear" w:color="auto" w:fill="auto"/>
            <w:noWrap/>
            <w:vAlign w:val="bottom"/>
            <w:hideMark/>
          </w:tcPr>
          <w:p w14:paraId="0BB7C034" w14:textId="77777777" w:rsidR="00CE6D8C" w:rsidRPr="003D56F0" w:rsidRDefault="00CE6D8C" w:rsidP="003D56F0">
            <w:pPr>
              <w:rPr>
                <w:rFonts w:eastAsia="Times New Roman"/>
                <w:color w:val="000000"/>
                <w:sz w:val="20"/>
                <w:szCs w:val="20"/>
              </w:rPr>
            </w:pPr>
            <w:r w:rsidRPr="003D56F0">
              <w:rPr>
                <w:sz w:val="20"/>
                <w:szCs w:val="20"/>
              </w:rPr>
              <w:t>Summed from above</w:t>
            </w:r>
          </w:p>
        </w:tc>
      </w:tr>
      <w:tr w:rsidR="00CE6D8C" w:rsidRPr="003D56F0" w14:paraId="7CC31C22" w14:textId="77777777" w:rsidTr="00CE6D8C">
        <w:trPr>
          <w:trHeight w:val="300"/>
        </w:trPr>
        <w:tc>
          <w:tcPr>
            <w:tcW w:w="1995" w:type="pct"/>
            <w:tcBorders>
              <w:top w:val="nil"/>
              <w:left w:val="single" w:sz="4" w:space="0" w:color="auto"/>
              <w:bottom w:val="single" w:sz="4" w:space="0" w:color="auto"/>
              <w:right w:val="single" w:sz="4" w:space="0" w:color="auto"/>
            </w:tcBorders>
            <w:shd w:val="clear" w:color="auto" w:fill="auto"/>
            <w:noWrap/>
            <w:vAlign w:val="bottom"/>
            <w:hideMark/>
          </w:tcPr>
          <w:p w14:paraId="198B3F36" w14:textId="77777777" w:rsidR="00CE6D8C" w:rsidRPr="003D56F0" w:rsidRDefault="00CE6D8C" w:rsidP="00CC7EC2">
            <w:pPr>
              <w:rPr>
                <w:sz w:val="20"/>
                <w:szCs w:val="20"/>
              </w:rPr>
            </w:pPr>
            <w:r w:rsidRPr="003D56F0">
              <w:rPr>
                <w:sz w:val="20"/>
                <w:szCs w:val="20"/>
              </w:rPr>
              <w:t>Total QALYs lost per cocaine user per year</w:t>
            </w:r>
          </w:p>
        </w:tc>
        <w:tc>
          <w:tcPr>
            <w:tcW w:w="713" w:type="pct"/>
            <w:tcBorders>
              <w:top w:val="single" w:sz="8" w:space="0" w:color="auto"/>
              <w:left w:val="nil"/>
              <w:bottom w:val="single" w:sz="4" w:space="0" w:color="auto"/>
              <w:right w:val="single" w:sz="4" w:space="0" w:color="auto"/>
            </w:tcBorders>
            <w:shd w:val="clear" w:color="auto" w:fill="auto"/>
            <w:noWrap/>
            <w:vAlign w:val="bottom"/>
            <w:hideMark/>
          </w:tcPr>
          <w:p w14:paraId="0E04A854" w14:textId="77777777" w:rsidR="00CE6D8C" w:rsidRPr="003D56F0" w:rsidRDefault="00CE6D8C" w:rsidP="00AD2788">
            <w:pPr>
              <w:rPr>
                <w:sz w:val="20"/>
                <w:szCs w:val="20"/>
              </w:rPr>
            </w:pPr>
            <w:r w:rsidRPr="003D56F0">
              <w:rPr>
                <w:sz w:val="20"/>
                <w:szCs w:val="20"/>
              </w:rPr>
              <w:t>0.01164</w:t>
            </w:r>
          </w:p>
        </w:tc>
        <w:tc>
          <w:tcPr>
            <w:tcW w:w="2292" w:type="pct"/>
            <w:tcBorders>
              <w:top w:val="nil"/>
              <w:left w:val="nil"/>
              <w:bottom w:val="single" w:sz="4" w:space="0" w:color="auto"/>
              <w:right w:val="single" w:sz="4" w:space="0" w:color="auto"/>
            </w:tcBorders>
            <w:shd w:val="clear" w:color="auto" w:fill="auto"/>
            <w:noWrap/>
            <w:vAlign w:val="bottom"/>
            <w:hideMark/>
          </w:tcPr>
          <w:p w14:paraId="63BA4A59" w14:textId="77777777" w:rsidR="00CE6D8C" w:rsidRPr="003D56F0" w:rsidRDefault="00CE6D8C" w:rsidP="003D56F0">
            <w:pPr>
              <w:rPr>
                <w:rFonts w:eastAsia="Times New Roman"/>
                <w:color w:val="000000"/>
                <w:sz w:val="20"/>
                <w:szCs w:val="20"/>
              </w:rPr>
            </w:pPr>
            <w:r w:rsidRPr="003D56F0">
              <w:rPr>
                <w:sz w:val="20"/>
                <w:szCs w:val="20"/>
              </w:rPr>
              <w:t>Summed from above</w:t>
            </w:r>
          </w:p>
        </w:tc>
      </w:tr>
    </w:tbl>
    <w:p w14:paraId="59880389" w14:textId="77777777" w:rsidR="00CE6D8C" w:rsidRPr="003D56F0" w:rsidRDefault="00CE6D8C" w:rsidP="003D56F0">
      <w:pPr>
        <w:pStyle w:val="Heading4"/>
        <w:rPr>
          <w:sz w:val="20"/>
          <w:szCs w:val="20"/>
        </w:rPr>
      </w:pPr>
      <w:r w:rsidRPr="003D56F0">
        <w:rPr>
          <w:sz w:val="20"/>
          <w:szCs w:val="20"/>
        </w:rPr>
        <w:t>Sensitivity Analysis Parameters</w:t>
      </w:r>
    </w:p>
    <w:tbl>
      <w:tblPr>
        <w:tblW w:w="44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26"/>
        <w:gridCol w:w="1273"/>
        <w:gridCol w:w="1276"/>
        <w:gridCol w:w="1133"/>
      </w:tblGrid>
      <w:tr w:rsidR="002B133A" w:rsidRPr="003D56F0" w14:paraId="5CADF3EC" w14:textId="77777777" w:rsidTr="00AC1AF3">
        <w:trPr>
          <w:trHeight w:val="663"/>
        </w:trPr>
        <w:tc>
          <w:tcPr>
            <w:tcW w:w="2729" w:type="pct"/>
            <w:shd w:val="clear" w:color="auto" w:fill="auto"/>
            <w:noWrap/>
            <w:tcMar>
              <w:top w:w="28" w:type="dxa"/>
              <w:left w:w="28" w:type="dxa"/>
              <w:bottom w:w="28" w:type="dxa"/>
              <w:right w:w="28" w:type="dxa"/>
            </w:tcMar>
            <w:hideMark/>
          </w:tcPr>
          <w:p w14:paraId="220EA4BA" w14:textId="77777777" w:rsidR="002B133A" w:rsidRPr="003D56F0" w:rsidRDefault="002B133A" w:rsidP="003D56F0">
            <w:pPr>
              <w:rPr>
                <w:sz w:val="20"/>
                <w:szCs w:val="20"/>
              </w:rPr>
            </w:pPr>
            <w:r w:rsidRPr="003D56F0">
              <w:rPr>
                <w:sz w:val="20"/>
                <w:szCs w:val="20"/>
              </w:rPr>
              <w:t>Variable description</w:t>
            </w:r>
          </w:p>
        </w:tc>
        <w:tc>
          <w:tcPr>
            <w:tcW w:w="785" w:type="pct"/>
            <w:shd w:val="clear" w:color="auto" w:fill="auto"/>
            <w:noWrap/>
            <w:tcMar>
              <w:top w:w="28" w:type="dxa"/>
              <w:left w:w="28" w:type="dxa"/>
              <w:bottom w:w="28" w:type="dxa"/>
              <w:right w:w="28" w:type="dxa"/>
            </w:tcMar>
            <w:hideMark/>
          </w:tcPr>
          <w:p w14:paraId="26D22ED7" w14:textId="77777777" w:rsidR="002B133A" w:rsidRPr="003D56F0" w:rsidRDefault="002B133A" w:rsidP="003D56F0">
            <w:pPr>
              <w:rPr>
                <w:sz w:val="20"/>
                <w:szCs w:val="20"/>
              </w:rPr>
            </w:pPr>
            <w:r w:rsidRPr="003D56F0">
              <w:rPr>
                <w:sz w:val="20"/>
                <w:szCs w:val="20"/>
              </w:rPr>
              <w:t>Parameters</w:t>
            </w:r>
          </w:p>
        </w:tc>
        <w:tc>
          <w:tcPr>
            <w:tcW w:w="787" w:type="pct"/>
            <w:shd w:val="clear" w:color="auto" w:fill="auto"/>
            <w:noWrap/>
            <w:tcMar>
              <w:top w:w="28" w:type="dxa"/>
              <w:left w:w="28" w:type="dxa"/>
              <w:bottom w:w="28" w:type="dxa"/>
              <w:right w:w="28" w:type="dxa"/>
            </w:tcMar>
            <w:hideMark/>
          </w:tcPr>
          <w:p w14:paraId="685BBB94" w14:textId="77777777" w:rsidR="002B133A" w:rsidRPr="003D56F0" w:rsidRDefault="002B133A" w:rsidP="003D56F0">
            <w:pPr>
              <w:rPr>
                <w:sz w:val="20"/>
                <w:szCs w:val="20"/>
              </w:rPr>
            </w:pPr>
            <w:r w:rsidRPr="003D56F0">
              <w:rPr>
                <w:sz w:val="20"/>
                <w:szCs w:val="20"/>
              </w:rPr>
              <w:t xml:space="preserve">Low </w:t>
            </w:r>
          </w:p>
        </w:tc>
        <w:tc>
          <w:tcPr>
            <w:tcW w:w="699" w:type="pct"/>
            <w:shd w:val="clear" w:color="auto" w:fill="auto"/>
            <w:noWrap/>
            <w:tcMar>
              <w:top w:w="28" w:type="dxa"/>
              <w:left w:w="28" w:type="dxa"/>
              <w:bottom w:w="28" w:type="dxa"/>
              <w:right w:w="28" w:type="dxa"/>
            </w:tcMar>
            <w:hideMark/>
          </w:tcPr>
          <w:p w14:paraId="223815ED" w14:textId="77777777" w:rsidR="002B133A" w:rsidRPr="003D56F0" w:rsidRDefault="002B133A" w:rsidP="003D56F0">
            <w:pPr>
              <w:rPr>
                <w:sz w:val="20"/>
                <w:szCs w:val="20"/>
              </w:rPr>
            </w:pPr>
            <w:r w:rsidRPr="003D56F0">
              <w:rPr>
                <w:sz w:val="20"/>
                <w:szCs w:val="20"/>
              </w:rPr>
              <w:t>High</w:t>
            </w:r>
          </w:p>
        </w:tc>
      </w:tr>
      <w:tr w:rsidR="002B133A" w:rsidRPr="003D56F0" w14:paraId="1610CDF3" w14:textId="77777777" w:rsidTr="00AC1AF3">
        <w:trPr>
          <w:trHeight w:val="300"/>
        </w:trPr>
        <w:tc>
          <w:tcPr>
            <w:tcW w:w="2729" w:type="pct"/>
            <w:shd w:val="clear" w:color="auto" w:fill="auto"/>
            <w:noWrap/>
            <w:tcMar>
              <w:top w:w="28" w:type="dxa"/>
              <w:left w:w="28" w:type="dxa"/>
              <w:bottom w:w="28" w:type="dxa"/>
              <w:right w:w="28" w:type="dxa"/>
            </w:tcMar>
            <w:hideMark/>
          </w:tcPr>
          <w:p w14:paraId="187381DF" w14:textId="77777777" w:rsidR="002B133A" w:rsidRPr="003D56F0" w:rsidRDefault="002B133A" w:rsidP="003D56F0">
            <w:pPr>
              <w:rPr>
                <w:sz w:val="20"/>
                <w:szCs w:val="20"/>
              </w:rPr>
            </w:pPr>
            <w:r w:rsidRPr="003D56F0">
              <w:rPr>
                <w:sz w:val="20"/>
                <w:szCs w:val="20"/>
              </w:rPr>
              <w:t>Average drug use over 2 years in scenario 1 (intervention)</w:t>
            </w:r>
          </w:p>
        </w:tc>
        <w:tc>
          <w:tcPr>
            <w:tcW w:w="785" w:type="pct"/>
            <w:shd w:val="clear" w:color="auto" w:fill="auto"/>
            <w:noWrap/>
            <w:tcMar>
              <w:top w:w="28" w:type="dxa"/>
              <w:left w:w="28" w:type="dxa"/>
              <w:bottom w:w="28" w:type="dxa"/>
              <w:right w:w="28" w:type="dxa"/>
            </w:tcMar>
            <w:hideMark/>
          </w:tcPr>
          <w:p w14:paraId="224A1963" w14:textId="77777777" w:rsidR="002B133A" w:rsidRPr="003D56F0" w:rsidRDefault="002B133A" w:rsidP="003D56F0">
            <w:pPr>
              <w:rPr>
                <w:rFonts w:eastAsia="Times New Roman"/>
                <w:color w:val="000000"/>
                <w:sz w:val="20"/>
                <w:szCs w:val="20"/>
              </w:rPr>
            </w:pPr>
            <w:r w:rsidRPr="003D56F0">
              <w:rPr>
                <w:sz w:val="20"/>
                <w:szCs w:val="20"/>
              </w:rPr>
              <w:t>0.68</w:t>
            </w:r>
          </w:p>
        </w:tc>
        <w:tc>
          <w:tcPr>
            <w:tcW w:w="787" w:type="pct"/>
            <w:shd w:val="clear" w:color="auto" w:fill="auto"/>
            <w:noWrap/>
            <w:tcMar>
              <w:top w:w="28" w:type="dxa"/>
              <w:left w:w="28" w:type="dxa"/>
              <w:bottom w:w="28" w:type="dxa"/>
              <w:right w:w="28" w:type="dxa"/>
            </w:tcMar>
            <w:hideMark/>
          </w:tcPr>
          <w:p w14:paraId="0FBCA87C" w14:textId="77777777" w:rsidR="002B133A" w:rsidRPr="003D56F0" w:rsidRDefault="002B133A" w:rsidP="003D56F0">
            <w:pPr>
              <w:rPr>
                <w:rFonts w:eastAsia="Times New Roman"/>
                <w:color w:val="000000"/>
                <w:sz w:val="20"/>
                <w:szCs w:val="20"/>
              </w:rPr>
            </w:pPr>
            <w:r w:rsidRPr="003D56F0">
              <w:rPr>
                <w:sz w:val="20"/>
                <w:szCs w:val="20"/>
              </w:rPr>
              <w:t>0.646</w:t>
            </w:r>
          </w:p>
        </w:tc>
        <w:tc>
          <w:tcPr>
            <w:tcW w:w="699" w:type="pct"/>
            <w:shd w:val="clear" w:color="auto" w:fill="auto"/>
            <w:noWrap/>
            <w:tcMar>
              <w:top w:w="28" w:type="dxa"/>
              <w:left w:w="28" w:type="dxa"/>
              <w:bottom w:w="28" w:type="dxa"/>
              <w:right w:w="28" w:type="dxa"/>
            </w:tcMar>
            <w:hideMark/>
          </w:tcPr>
          <w:p w14:paraId="53985564" w14:textId="77777777" w:rsidR="002B133A" w:rsidRPr="003D56F0" w:rsidRDefault="002B133A" w:rsidP="003D56F0">
            <w:pPr>
              <w:rPr>
                <w:rFonts w:eastAsia="Times New Roman"/>
                <w:color w:val="000000"/>
                <w:sz w:val="20"/>
                <w:szCs w:val="20"/>
              </w:rPr>
            </w:pPr>
            <w:r w:rsidRPr="003D56F0">
              <w:rPr>
                <w:sz w:val="20"/>
                <w:szCs w:val="20"/>
              </w:rPr>
              <w:t>0.714</w:t>
            </w:r>
          </w:p>
        </w:tc>
      </w:tr>
      <w:tr w:rsidR="002B133A" w:rsidRPr="003D56F0" w14:paraId="75028F5E" w14:textId="77777777" w:rsidTr="00AC1AF3">
        <w:trPr>
          <w:trHeight w:val="300"/>
        </w:trPr>
        <w:tc>
          <w:tcPr>
            <w:tcW w:w="2729" w:type="pct"/>
            <w:shd w:val="clear" w:color="auto" w:fill="auto"/>
            <w:noWrap/>
            <w:tcMar>
              <w:top w:w="28" w:type="dxa"/>
              <w:left w:w="28" w:type="dxa"/>
              <w:bottom w:w="28" w:type="dxa"/>
              <w:right w:w="28" w:type="dxa"/>
            </w:tcMar>
            <w:hideMark/>
          </w:tcPr>
          <w:p w14:paraId="1DB996FB" w14:textId="77777777" w:rsidR="002B133A" w:rsidRPr="003D56F0" w:rsidRDefault="002B133A" w:rsidP="003D56F0">
            <w:pPr>
              <w:rPr>
                <w:rFonts w:eastAsia="Times New Roman"/>
                <w:color w:val="000000"/>
                <w:sz w:val="20"/>
                <w:szCs w:val="20"/>
              </w:rPr>
            </w:pPr>
            <w:r w:rsidRPr="003D56F0">
              <w:rPr>
                <w:sz w:val="20"/>
                <w:szCs w:val="20"/>
              </w:rPr>
              <w:t>Average drug use over 2 years in scenario 1(comparator)</w:t>
            </w:r>
          </w:p>
        </w:tc>
        <w:tc>
          <w:tcPr>
            <w:tcW w:w="785" w:type="pct"/>
            <w:shd w:val="clear" w:color="auto" w:fill="auto"/>
            <w:noWrap/>
            <w:tcMar>
              <w:top w:w="28" w:type="dxa"/>
              <w:left w:w="28" w:type="dxa"/>
              <w:bottom w:w="28" w:type="dxa"/>
              <w:right w:w="28" w:type="dxa"/>
            </w:tcMar>
            <w:hideMark/>
          </w:tcPr>
          <w:p w14:paraId="73E1DB65" w14:textId="77777777" w:rsidR="002B133A" w:rsidRPr="003D56F0" w:rsidRDefault="002B133A" w:rsidP="003D56F0">
            <w:pPr>
              <w:rPr>
                <w:rFonts w:eastAsia="Times New Roman"/>
                <w:color w:val="000000"/>
                <w:sz w:val="20"/>
                <w:szCs w:val="20"/>
              </w:rPr>
            </w:pPr>
            <w:r w:rsidRPr="003D56F0">
              <w:rPr>
                <w:sz w:val="20"/>
                <w:szCs w:val="20"/>
              </w:rPr>
              <w:t>0.71</w:t>
            </w:r>
          </w:p>
        </w:tc>
        <w:tc>
          <w:tcPr>
            <w:tcW w:w="787" w:type="pct"/>
            <w:shd w:val="clear" w:color="auto" w:fill="auto"/>
            <w:noWrap/>
            <w:tcMar>
              <w:top w:w="28" w:type="dxa"/>
              <w:left w:w="28" w:type="dxa"/>
              <w:bottom w:w="28" w:type="dxa"/>
              <w:right w:w="28" w:type="dxa"/>
            </w:tcMar>
            <w:hideMark/>
          </w:tcPr>
          <w:p w14:paraId="3AAAA515" w14:textId="77777777" w:rsidR="002B133A" w:rsidRPr="003D56F0" w:rsidRDefault="002B133A" w:rsidP="003D56F0">
            <w:pPr>
              <w:rPr>
                <w:rFonts w:eastAsia="Times New Roman"/>
                <w:color w:val="000000"/>
                <w:sz w:val="20"/>
                <w:szCs w:val="20"/>
              </w:rPr>
            </w:pPr>
            <w:r w:rsidRPr="003D56F0">
              <w:rPr>
                <w:sz w:val="20"/>
                <w:szCs w:val="20"/>
              </w:rPr>
              <w:t>0.67545</w:t>
            </w:r>
          </w:p>
        </w:tc>
        <w:tc>
          <w:tcPr>
            <w:tcW w:w="699" w:type="pct"/>
            <w:shd w:val="clear" w:color="auto" w:fill="auto"/>
            <w:noWrap/>
            <w:tcMar>
              <w:top w:w="28" w:type="dxa"/>
              <w:left w:w="28" w:type="dxa"/>
              <w:bottom w:w="28" w:type="dxa"/>
              <w:right w:w="28" w:type="dxa"/>
            </w:tcMar>
            <w:hideMark/>
          </w:tcPr>
          <w:p w14:paraId="3F8BE5FA" w14:textId="77777777" w:rsidR="002B133A" w:rsidRPr="003D56F0" w:rsidRDefault="002B133A" w:rsidP="003D56F0">
            <w:pPr>
              <w:rPr>
                <w:rFonts w:eastAsia="Times New Roman"/>
                <w:color w:val="000000"/>
                <w:sz w:val="20"/>
                <w:szCs w:val="20"/>
              </w:rPr>
            </w:pPr>
            <w:r w:rsidRPr="003D56F0">
              <w:rPr>
                <w:sz w:val="20"/>
                <w:szCs w:val="20"/>
              </w:rPr>
              <w:t>0.74655</w:t>
            </w:r>
          </w:p>
        </w:tc>
      </w:tr>
      <w:tr w:rsidR="002B133A" w:rsidRPr="003D56F0" w14:paraId="4473884E" w14:textId="77777777" w:rsidTr="00AC1AF3">
        <w:trPr>
          <w:trHeight w:val="300"/>
        </w:trPr>
        <w:tc>
          <w:tcPr>
            <w:tcW w:w="2729" w:type="pct"/>
            <w:shd w:val="clear" w:color="auto" w:fill="auto"/>
            <w:noWrap/>
            <w:tcMar>
              <w:top w:w="28" w:type="dxa"/>
              <w:left w:w="28" w:type="dxa"/>
              <w:bottom w:w="28" w:type="dxa"/>
              <w:right w:w="28" w:type="dxa"/>
            </w:tcMar>
            <w:hideMark/>
          </w:tcPr>
          <w:p w14:paraId="7E430A65" w14:textId="77777777" w:rsidR="002B133A" w:rsidRPr="003D56F0" w:rsidRDefault="002B133A" w:rsidP="003D56F0">
            <w:pPr>
              <w:rPr>
                <w:rFonts w:eastAsia="Times New Roman"/>
                <w:color w:val="000000"/>
                <w:sz w:val="20"/>
                <w:szCs w:val="20"/>
              </w:rPr>
            </w:pPr>
            <w:r w:rsidRPr="003D56F0">
              <w:rPr>
                <w:sz w:val="20"/>
                <w:szCs w:val="20"/>
              </w:rPr>
              <w:t>Average drug use over 2 years (intervention)</w:t>
            </w:r>
          </w:p>
        </w:tc>
        <w:tc>
          <w:tcPr>
            <w:tcW w:w="785" w:type="pct"/>
            <w:shd w:val="clear" w:color="auto" w:fill="auto"/>
            <w:noWrap/>
            <w:tcMar>
              <w:top w:w="28" w:type="dxa"/>
              <w:left w:w="28" w:type="dxa"/>
              <w:bottom w:w="28" w:type="dxa"/>
              <w:right w:w="28" w:type="dxa"/>
            </w:tcMar>
            <w:hideMark/>
          </w:tcPr>
          <w:p w14:paraId="6CF2D1A1" w14:textId="77777777" w:rsidR="002B133A" w:rsidRPr="003D56F0" w:rsidRDefault="002B133A" w:rsidP="003D56F0">
            <w:pPr>
              <w:rPr>
                <w:rFonts w:eastAsia="Times New Roman"/>
                <w:color w:val="000000"/>
                <w:sz w:val="20"/>
                <w:szCs w:val="20"/>
              </w:rPr>
            </w:pPr>
            <w:r w:rsidRPr="003D56F0">
              <w:rPr>
                <w:sz w:val="20"/>
                <w:szCs w:val="20"/>
              </w:rPr>
              <w:t>0.51</w:t>
            </w:r>
          </w:p>
        </w:tc>
        <w:tc>
          <w:tcPr>
            <w:tcW w:w="787" w:type="pct"/>
            <w:shd w:val="clear" w:color="auto" w:fill="auto"/>
            <w:noWrap/>
            <w:tcMar>
              <w:top w:w="28" w:type="dxa"/>
              <w:left w:w="28" w:type="dxa"/>
              <w:bottom w:w="28" w:type="dxa"/>
              <w:right w:w="28" w:type="dxa"/>
            </w:tcMar>
            <w:hideMark/>
          </w:tcPr>
          <w:p w14:paraId="3A6100F4" w14:textId="77777777" w:rsidR="002B133A" w:rsidRPr="003D56F0" w:rsidRDefault="002B133A" w:rsidP="003D56F0">
            <w:pPr>
              <w:rPr>
                <w:rFonts w:eastAsia="Times New Roman"/>
                <w:color w:val="000000"/>
                <w:sz w:val="20"/>
                <w:szCs w:val="20"/>
              </w:rPr>
            </w:pPr>
            <w:r w:rsidRPr="003D56F0">
              <w:rPr>
                <w:sz w:val="20"/>
                <w:szCs w:val="20"/>
              </w:rPr>
              <w:t>0.4826</w:t>
            </w:r>
          </w:p>
        </w:tc>
        <w:tc>
          <w:tcPr>
            <w:tcW w:w="699" w:type="pct"/>
            <w:shd w:val="clear" w:color="auto" w:fill="auto"/>
            <w:noWrap/>
            <w:tcMar>
              <w:top w:w="28" w:type="dxa"/>
              <w:left w:w="28" w:type="dxa"/>
              <w:bottom w:w="28" w:type="dxa"/>
              <w:right w:w="28" w:type="dxa"/>
            </w:tcMar>
            <w:hideMark/>
          </w:tcPr>
          <w:p w14:paraId="366E6709" w14:textId="77777777" w:rsidR="002B133A" w:rsidRPr="003D56F0" w:rsidRDefault="002B133A" w:rsidP="003D56F0">
            <w:pPr>
              <w:rPr>
                <w:rFonts w:eastAsia="Times New Roman"/>
                <w:color w:val="000000"/>
                <w:sz w:val="20"/>
                <w:szCs w:val="20"/>
              </w:rPr>
            </w:pPr>
            <w:r w:rsidRPr="003D56F0">
              <w:rPr>
                <w:sz w:val="20"/>
                <w:szCs w:val="20"/>
              </w:rPr>
              <w:t>0.5334</w:t>
            </w:r>
          </w:p>
        </w:tc>
      </w:tr>
      <w:tr w:rsidR="002B133A" w:rsidRPr="003D56F0" w14:paraId="6B4BD726" w14:textId="77777777" w:rsidTr="00AC1AF3">
        <w:trPr>
          <w:trHeight w:val="300"/>
        </w:trPr>
        <w:tc>
          <w:tcPr>
            <w:tcW w:w="2729" w:type="pct"/>
            <w:shd w:val="clear" w:color="auto" w:fill="auto"/>
            <w:noWrap/>
            <w:tcMar>
              <w:top w:w="28" w:type="dxa"/>
              <w:left w:w="28" w:type="dxa"/>
              <w:bottom w:w="28" w:type="dxa"/>
              <w:right w:w="28" w:type="dxa"/>
            </w:tcMar>
            <w:hideMark/>
          </w:tcPr>
          <w:p w14:paraId="1F40EF7B" w14:textId="77777777" w:rsidR="002B133A" w:rsidRPr="003D56F0" w:rsidRDefault="002B133A" w:rsidP="003D56F0">
            <w:pPr>
              <w:rPr>
                <w:rFonts w:eastAsia="Times New Roman"/>
                <w:color w:val="000000"/>
                <w:sz w:val="20"/>
                <w:szCs w:val="20"/>
              </w:rPr>
            </w:pPr>
            <w:r w:rsidRPr="003D56F0">
              <w:rPr>
                <w:sz w:val="20"/>
                <w:szCs w:val="20"/>
              </w:rPr>
              <w:t>Average drug use over 2 years  in scenario 2(comparator)</w:t>
            </w:r>
          </w:p>
        </w:tc>
        <w:tc>
          <w:tcPr>
            <w:tcW w:w="785" w:type="pct"/>
            <w:shd w:val="clear" w:color="auto" w:fill="auto"/>
            <w:noWrap/>
            <w:tcMar>
              <w:top w:w="28" w:type="dxa"/>
              <w:left w:w="28" w:type="dxa"/>
              <w:bottom w:w="28" w:type="dxa"/>
              <w:right w:w="28" w:type="dxa"/>
            </w:tcMar>
            <w:hideMark/>
          </w:tcPr>
          <w:p w14:paraId="192FFEAE" w14:textId="77777777" w:rsidR="002B133A" w:rsidRPr="003D56F0" w:rsidRDefault="002B133A" w:rsidP="003D56F0">
            <w:pPr>
              <w:rPr>
                <w:rFonts w:eastAsia="Times New Roman"/>
                <w:color w:val="000000"/>
                <w:sz w:val="20"/>
                <w:szCs w:val="20"/>
              </w:rPr>
            </w:pPr>
            <w:r w:rsidRPr="003D56F0">
              <w:rPr>
                <w:sz w:val="20"/>
                <w:szCs w:val="20"/>
              </w:rPr>
              <w:t>0.60</w:t>
            </w:r>
          </w:p>
        </w:tc>
        <w:tc>
          <w:tcPr>
            <w:tcW w:w="787" w:type="pct"/>
            <w:shd w:val="clear" w:color="auto" w:fill="auto"/>
            <w:noWrap/>
            <w:tcMar>
              <w:top w:w="28" w:type="dxa"/>
              <w:left w:w="28" w:type="dxa"/>
              <w:bottom w:w="28" w:type="dxa"/>
              <w:right w:w="28" w:type="dxa"/>
            </w:tcMar>
            <w:hideMark/>
          </w:tcPr>
          <w:p w14:paraId="614A0724" w14:textId="77777777" w:rsidR="002B133A" w:rsidRPr="003D56F0" w:rsidRDefault="002B133A" w:rsidP="003D56F0">
            <w:pPr>
              <w:rPr>
                <w:rFonts w:eastAsia="Times New Roman"/>
                <w:color w:val="000000"/>
                <w:sz w:val="20"/>
                <w:szCs w:val="20"/>
              </w:rPr>
            </w:pPr>
            <w:r w:rsidRPr="003D56F0">
              <w:rPr>
                <w:sz w:val="20"/>
                <w:szCs w:val="20"/>
              </w:rPr>
              <w:t>0.57095</w:t>
            </w:r>
          </w:p>
        </w:tc>
        <w:tc>
          <w:tcPr>
            <w:tcW w:w="699" w:type="pct"/>
            <w:shd w:val="clear" w:color="auto" w:fill="auto"/>
            <w:noWrap/>
            <w:tcMar>
              <w:top w:w="28" w:type="dxa"/>
              <w:left w:w="28" w:type="dxa"/>
              <w:bottom w:w="28" w:type="dxa"/>
              <w:right w:w="28" w:type="dxa"/>
            </w:tcMar>
            <w:hideMark/>
          </w:tcPr>
          <w:p w14:paraId="7000D72D" w14:textId="77777777" w:rsidR="002B133A" w:rsidRPr="003D56F0" w:rsidRDefault="002B133A" w:rsidP="003D56F0">
            <w:pPr>
              <w:rPr>
                <w:rFonts w:eastAsia="Times New Roman"/>
                <w:color w:val="000000"/>
                <w:sz w:val="20"/>
                <w:szCs w:val="20"/>
              </w:rPr>
            </w:pPr>
            <w:r w:rsidRPr="003D56F0">
              <w:rPr>
                <w:sz w:val="20"/>
                <w:szCs w:val="20"/>
              </w:rPr>
              <w:t>0.63105</w:t>
            </w:r>
          </w:p>
        </w:tc>
      </w:tr>
      <w:tr w:rsidR="002B133A" w:rsidRPr="003D56F0" w14:paraId="0E52B31C" w14:textId="77777777" w:rsidTr="00AC1AF3">
        <w:trPr>
          <w:trHeight w:val="300"/>
        </w:trPr>
        <w:tc>
          <w:tcPr>
            <w:tcW w:w="2729" w:type="pct"/>
            <w:shd w:val="clear" w:color="auto" w:fill="auto"/>
            <w:noWrap/>
            <w:tcMar>
              <w:top w:w="28" w:type="dxa"/>
              <w:left w:w="28" w:type="dxa"/>
              <w:bottom w:w="28" w:type="dxa"/>
              <w:right w:w="28" w:type="dxa"/>
            </w:tcMar>
            <w:hideMark/>
          </w:tcPr>
          <w:p w14:paraId="5789CC1B" w14:textId="77777777" w:rsidR="002B133A" w:rsidRPr="003D56F0" w:rsidRDefault="002B133A" w:rsidP="003D56F0">
            <w:pPr>
              <w:rPr>
                <w:rFonts w:eastAsia="Times New Roman"/>
                <w:color w:val="000000"/>
                <w:sz w:val="20"/>
                <w:szCs w:val="20"/>
              </w:rPr>
            </w:pPr>
            <w:r w:rsidRPr="003D56F0">
              <w:rPr>
                <w:sz w:val="20"/>
                <w:szCs w:val="20"/>
              </w:rPr>
              <w:t>Intervention costs</w:t>
            </w:r>
          </w:p>
        </w:tc>
        <w:tc>
          <w:tcPr>
            <w:tcW w:w="785" w:type="pct"/>
            <w:shd w:val="clear" w:color="auto" w:fill="auto"/>
            <w:noWrap/>
            <w:tcMar>
              <w:top w:w="28" w:type="dxa"/>
              <w:left w:w="28" w:type="dxa"/>
              <w:bottom w:w="28" w:type="dxa"/>
              <w:right w:w="28" w:type="dxa"/>
            </w:tcMar>
            <w:hideMark/>
          </w:tcPr>
          <w:p w14:paraId="5C681906" w14:textId="77777777" w:rsidR="002B133A" w:rsidRPr="003D56F0" w:rsidRDefault="002B133A" w:rsidP="003D56F0">
            <w:pPr>
              <w:rPr>
                <w:rFonts w:eastAsia="Times New Roman"/>
                <w:color w:val="000000"/>
                <w:sz w:val="20"/>
                <w:szCs w:val="20"/>
              </w:rPr>
            </w:pPr>
            <w:r w:rsidRPr="003D56F0">
              <w:rPr>
                <w:sz w:val="20"/>
                <w:szCs w:val="20"/>
              </w:rPr>
              <w:t>£268</w:t>
            </w:r>
          </w:p>
        </w:tc>
        <w:tc>
          <w:tcPr>
            <w:tcW w:w="787" w:type="pct"/>
            <w:shd w:val="clear" w:color="auto" w:fill="auto"/>
            <w:noWrap/>
            <w:tcMar>
              <w:top w:w="28" w:type="dxa"/>
              <w:left w:w="28" w:type="dxa"/>
              <w:bottom w:w="28" w:type="dxa"/>
              <w:right w:w="28" w:type="dxa"/>
            </w:tcMar>
            <w:hideMark/>
          </w:tcPr>
          <w:p w14:paraId="2094E6A1" w14:textId="77777777" w:rsidR="002B133A" w:rsidRPr="003D56F0" w:rsidRDefault="002B133A" w:rsidP="003D56F0">
            <w:pPr>
              <w:rPr>
                <w:rFonts w:eastAsia="Times New Roman"/>
                <w:color w:val="000000"/>
                <w:sz w:val="20"/>
                <w:szCs w:val="20"/>
              </w:rPr>
            </w:pPr>
            <w:r w:rsidRPr="003D56F0">
              <w:rPr>
                <w:sz w:val="20"/>
                <w:szCs w:val="20"/>
              </w:rPr>
              <w:t>£128</w:t>
            </w:r>
          </w:p>
        </w:tc>
        <w:tc>
          <w:tcPr>
            <w:tcW w:w="699" w:type="pct"/>
            <w:shd w:val="clear" w:color="auto" w:fill="auto"/>
            <w:noWrap/>
            <w:tcMar>
              <w:top w:w="28" w:type="dxa"/>
              <w:left w:w="28" w:type="dxa"/>
              <w:bottom w:w="28" w:type="dxa"/>
              <w:right w:w="28" w:type="dxa"/>
            </w:tcMar>
            <w:hideMark/>
          </w:tcPr>
          <w:p w14:paraId="0B60741A" w14:textId="77777777" w:rsidR="002B133A" w:rsidRPr="003D56F0" w:rsidRDefault="002B133A" w:rsidP="003D56F0">
            <w:pPr>
              <w:rPr>
                <w:rFonts w:eastAsia="Times New Roman"/>
                <w:color w:val="000000"/>
                <w:sz w:val="20"/>
                <w:szCs w:val="20"/>
              </w:rPr>
            </w:pPr>
            <w:r w:rsidRPr="003D56F0">
              <w:rPr>
                <w:sz w:val="20"/>
                <w:szCs w:val="20"/>
              </w:rPr>
              <w:t>£552</w:t>
            </w:r>
          </w:p>
        </w:tc>
      </w:tr>
      <w:tr w:rsidR="002B133A" w:rsidRPr="003D56F0" w14:paraId="2AC5EEBF" w14:textId="77777777" w:rsidTr="00AC1AF3">
        <w:trPr>
          <w:trHeight w:val="300"/>
        </w:trPr>
        <w:tc>
          <w:tcPr>
            <w:tcW w:w="2729" w:type="pct"/>
            <w:shd w:val="clear" w:color="auto" w:fill="auto"/>
            <w:noWrap/>
            <w:tcMar>
              <w:top w:w="28" w:type="dxa"/>
              <w:left w:w="28" w:type="dxa"/>
              <w:bottom w:w="28" w:type="dxa"/>
              <w:right w:w="28" w:type="dxa"/>
            </w:tcMar>
            <w:hideMark/>
          </w:tcPr>
          <w:p w14:paraId="15ADEC5A" w14:textId="77777777" w:rsidR="002B133A" w:rsidRPr="003D56F0" w:rsidRDefault="002B133A" w:rsidP="003D56F0">
            <w:pPr>
              <w:rPr>
                <w:rFonts w:eastAsia="Times New Roman"/>
                <w:color w:val="000000"/>
                <w:sz w:val="20"/>
                <w:szCs w:val="20"/>
              </w:rPr>
            </w:pPr>
            <w:r w:rsidRPr="003D56F0">
              <w:rPr>
                <w:sz w:val="20"/>
                <w:szCs w:val="20"/>
              </w:rPr>
              <w:t>Costs of hospital admissions due to cocaine, per cocaine user per year</w:t>
            </w:r>
          </w:p>
        </w:tc>
        <w:tc>
          <w:tcPr>
            <w:tcW w:w="785" w:type="pct"/>
            <w:shd w:val="clear" w:color="auto" w:fill="auto"/>
            <w:noWrap/>
            <w:tcMar>
              <w:top w:w="28" w:type="dxa"/>
              <w:left w:w="28" w:type="dxa"/>
              <w:bottom w:w="28" w:type="dxa"/>
              <w:right w:w="28" w:type="dxa"/>
            </w:tcMar>
            <w:hideMark/>
          </w:tcPr>
          <w:p w14:paraId="4C50EE7E" w14:textId="77777777" w:rsidR="002B133A" w:rsidRPr="003D56F0" w:rsidRDefault="002B133A" w:rsidP="003D56F0">
            <w:pPr>
              <w:rPr>
                <w:rFonts w:eastAsia="Times New Roman"/>
                <w:color w:val="000000"/>
                <w:sz w:val="20"/>
                <w:szCs w:val="20"/>
              </w:rPr>
            </w:pPr>
            <w:r w:rsidRPr="003D56F0">
              <w:rPr>
                <w:sz w:val="20"/>
                <w:szCs w:val="20"/>
              </w:rPr>
              <w:t>£12</w:t>
            </w:r>
          </w:p>
        </w:tc>
        <w:tc>
          <w:tcPr>
            <w:tcW w:w="787" w:type="pct"/>
            <w:shd w:val="clear" w:color="auto" w:fill="auto"/>
            <w:noWrap/>
            <w:tcMar>
              <w:top w:w="28" w:type="dxa"/>
              <w:left w:w="28" w:type="dxa"/>
              <w:bottom w:w="28" w:type="dxa"/>
              <w:right w:w="28" w:type="dxa"/>
            </w:tcMar>
            <w:hideMark/>
          </w:tcPr>
          <w:p w14:paraId="57DA41A5" w14:textId="77777777" w:rsidR="002B133A" w:rsidRPr="003D56F0" w:rsidRDefault="002B133A" w:rsidP="003D56F0">
            <w:pPr>
              <w:rPr>
                <w:rFonts w:eastAsia="Times New Roman"/>
                <w:color w:val="000000"/>
                <w:sz w:val="20"/>
                <w:szCs w:val="20"/>
              </w:rPr>
            </w:pPr>
            <w:r w:rsidRPr="003D56F0">
              <w:rPr>
                <w:sz w:val="20"/>
                <w:szCs w:val="20"/>
              </w:rPr>
              <w:t>£9</w:t>
            </w:r>
          </w:p>
        </w:tc>
        <w:tc>
          <w:tcPr>
            <w:tcW w:w="699" w:type="pct"/>
            <w:shd w:val="clear" w:color="auto" w:fill="auto"/>
            <w:noWrap/>
            <w:tcMar>
              <w:top w:w="28" w:type="dxa"/>
              <w:left w:w="28" w:type="dxa"/>
              <w:bottom w:w="28" w:type="dxa"/>
              <w:right w:w="28" w:type="dxa"/>
            </w:tcMar>
            <w:hideMark/>
          </w:tcPr>
          <w:p w14:paraId="6B154A07" w14:textId="77777777" w:rsidR="002B133A" w:rsidRPr="003D56F0" w:rsidRDefault="002B133A" w:rsidP="003D56F0">
            <w:pPr>
              <w:rPr>
                <w:rFonts w:eastAsia="Times New Roman"/>
                <w:color w:val="000000"/>
                <w:sz w:val="20"/>
                <w:szCs w:val="20"/>
              </w:rPr>
            </w:pPr>
            <w:r w:rsidRPr="003D56F0">
              <w:rPr>
                <w:sz w:val="20"/>
                <w:szCs w:val="20"/>
              </w:rPr>
              <w:t>£16</w:t>
            </w:r>
          </w:p>
        </w:tc>
      </w:tr>
      <w:tr w:rsidR="002B133A" w:rsidRPr="003D56F0" w14:paraId="1D611733" w14:textId="77777777" w:rsidTr="00AC1AF3">
        <w:trPr>
          <w:trHeight w:val="300"/>
        </w:trPr>
        <w:tc>
          <w:tcPr>
            <w:tcW w:w="2729" w:type="pct"/>
            <w:shd w:val="clear" w:color="auto" w:fill="auto"/>
            <w:noWrap/>
            <w:tcMar>
              <w:top w:w="28" w:type="dxa"/>
              <w:left w:w="28" w:type="dxa"/>
              <w:bottom w:w="28" w:type="dxa"/>
              <w:right w:w="28" w:type="dxa"/>
            </w:tcMar>
            <w:hideMark/>
          </w:tcPr>
          <w:p w14:paraId="0664E723" w14:textId="77777777" w:rsidR="002B133A" w:rsidRPr="003D56F0" w:rsidRDefault="002B133A" w:rsidP="003D56F0">
            <w:pPr>
              <w:rPr>
                <w:rFonts w:eastAsia="Times New Roman"/>
                <w:color w:val="000000"/>
                <w:sz w:val="20"/>
                <w:szCs w:val="20"/>
              </w:rPr>
            </w:pPr>
            <w:r w:rsidRPr="003D56F0">
              <w:rPr>
                <w:sz w:val="20"/>
                <w:szCs w:val="20"/>
              </w:rPr>
              <w:t>Costs of possession arrests per cocaine user per year</w:t>
            </w:r>
          </w:p>
        </w:tc>
        <w:tc>
          <w:tcPr>
            <w:tcW w:w="785" w:type="pct"/>
            <w:shd w:val="clear" w:color="auto" w:fill="auto"/>
            <w:noWrap/>
            <w:tcMar>
              <w:top w:w="28" w:type="dxa"/>
              <w:left w:w="28" w:type="dxa"/>
              <w:bottom w:w="28" w:type="dxa"/>
              <w:right w:w="28" w:type="dxa"/>
            </w:tcMar>
            <w:hideMark/>
          </w:tcPr>
          <w:p w14:paraId="6803E3B5" w14:textId="77777777" w:rsidR="002B133A" w:rsidRPr="003D56F0" w:rsidRDefault="002B133A" w:rsidP="003D56F0">
            <w:pPr>
              <w:rPr>
                <w:rFonts w:eastAsia="Times New Roman"/>
                <w:color w:val="000000"/>
                <w:sz w:val="20"/>
                <w:szCs w:val="20"/>
              </w:rPr>
            </w:pPr>
            <w:r w:rsidRPr="003D56F0">
              <w:rPr>
                <w:sz w:val="20"/>
                <w:szCs w:val="20"/>
              </w:rPr>
              <w:t>£18</w:t>
            </w:r>
          </w:p>
        </w:tc>
        <w:tc>
          <w:tcPr>
            <w:tcW w:w="787" w:type="pct"/>
            <w:shd w:val="clear" w:color="auto" w:fill="auto"/>
            <w:noWrap/>
            <w:tcMar>
              <w:top w:w="28" w:type="dxa"/>
              <w:left w:w="28" w:type="dxa"/>
              <w:bottom w:w="28" w:type="dxa"/>
              <w:right w:w="28" w:type="dxa"/>
            </w:tcMar>
            <w:hideMark/>
          </w:tcPr>
          <w:p w14:paraId="78438738" w14:textId="77777777" w:rsidR="002B133A" w:rsidRPr="003D56F0" w:rsidRDefault="002B133A" w:rsidP="003D56F0">
            <w:pPr>
              <w:rPr>
                <w:rFonts w:eastAsia="Times New Roman"/>
                <w:color w:val="000000"/>
                <w:sz w:val="20"/>
                <w:szCs w:val="20"/>
              </w:rPr>
            </w:pPr>
            <w:r w:rsidRPr="003D56F0">
              <w:rPr>
                <w:sz w:val="20"/>
                <w:szCs w:val="20"/>
              </w:rPr>
              <w:t>£14</w:t>
            </w:r>
          </w:p>
        </w:tc>
        <w:tc>
          <w:tcPr>
            <w:tcW w:w="699" w:type="pct"/>
            <w:shd w:val="clear" w:color="auto" w:fill="auto"/>
            <w:noWrap/>
            <w:tcMar>
              <w:top w:w="28" w:type="dxa"/>
              <w:left w:w="28" w:type="dxa"/>
              <w:bottom w:w="28" w:type="dxa"/>
              <w:right w:w="28" w:type="dxa"/>
            </w:tcMar>
            <w:hideMark/>
          </w:tcPr>
          <w:p w14:paraId="51A761D5" w14:textId="77777777" w:rsidR="002B133A" w:rsidRPr="003D56F0" w:rsidRDefault="002B133A" w:rsidP="003D56F0">
            <w:pPr>
              <w:rPr>
                <w:rFonts w:eastAsia="Times New Roman"/>
                <w:color w:val="000000"/>
                <w:sz w:val="20"/>
                <w:szCs w:val="20"/>
              </w:rPr>
            </w:pPr>
            <w:r w:rsidRPr="003D56F0">
              <w:rPr>
                <w:sz w:val="20"/>
                <w:szCs w:val="20"/>
              </w:rPr>
              <w:t>£23</w:t>
            </w:r>
          </w:p>
        </w:tc>
      </w:tr>
      <w:tr w:rsidR="002B133A" w:rsidRPr="003D56F0" w14:paraId="37B550A7" w14:textId="77777777" w:rsidTr="00AC1AF3">
        <w:trPr>
          <w:trHeight w:val="300"/>
        </w:trPr>
        <w:tc>
          <w:tcPr>
            <w:tcW w:w="2729" w:type="pct"/>
            <w:shd w:val="clear" w:color="auto" w:fill="auto"/>
            <w:noWrap/>
            <w:tcMar>
              <w:top w:w="28" w:type="dxa"/>
              <w:left w:w="28" w:type="dxa"/>
              <w:bottom w:w="28" w:type="dxa"/>
              <w:right w:w="28" w:type="dxa"/>
            </w:tcMar>
            <w:hideMark/>
          </w:tcPr>
          <w:p w14:paraId="30C3CBCE" w14:textId="77777777" w:rsidR="002B133A" w:rsidRPr="003D56F0" w:rsidRDefault="002B133A" w:rsidP="003D56F0">
            <w:pPr>
              <w:rPr>
                <w:rFonts w:eastAsia="Times New Roman"/>
                <w:color w:val="000000"/>
                <w:sz w:val="20"/>
                <w:szCs w:val="20"/>
              </w:rPr>
            </w:pPr>
            <w:r w:rsidRPr="003D56F0">
              <w:rPr>
                <w:sz w:val="20"/>
                <w:szCs w:val="20"/>
              </w:rPr>
              <w:t>Cost of drug treatment per cocaine user per year</w:t>
            </w:r>
          </w:p>
        </w:tc>
        <w:tc>
          <w:tcPr>
            <w:tcW w:w="785" w:type="pct"/>
            <w:shd w:val="clear" w:color="auto" w:fill="auto"/>
            <w:noWrap/>
            <w:tcMar>
              <w:top w:w="28" w:type="dxa"/>
              <w:left w:w="28" w:type="dxa"/>
              <w:bottom w:w="28" w:type="dxa"/>
              <w:right w:w="28" w:type="dxa"/>
            </w:tcMar>
            <w:hideMark/>
          </w:tcPr>
          <w:p w14:paraId="626E743A" w14:textId="77777777" w:rsidR="002B133A" w:rsidRPr="003D56F0" w:rsidRDefault="002B133A" w:rsidP="003D56F0">
            <w:pPr>
              <w:rPr>
                <w:rFonts w:eastAsia="Times New Roman"/>
                <w:color w:val="000000"/>
                <w:sz w:val="20"/>
                <w:szCs w:val="20"/>
              </w:rPr>
            </w:pPr>
            <w:r w:rsidRPr="003D56F0">
              <w:rPr>
                <w:sz w:val="20"/>
                <w:szCs w:val="20"/>
              </w:rPr>
              <w:t>£23</w:t>
            </w:r>
          </w:p>
        </w:tc>
        <w:tc>
          <w:tcPr>
            <w:tcW w:w="787" w:type="pct"/>
            <w:shd w:val="clear" w:color="auto" w:fill="auto"/>
            <w:noWrap/>
            <w:tcMar>
              <w:top w:w="28" w:type="dxa"/>
              <w:left w:w="28" w:type="dxa"/>
              <w:bottom w:w="28" w:type="dxa"/>
              <w:right w:w="28" w:type="dxa"/>
            </w:tcMar>
            <w:hideMark/>
          </w:tcPr>
          <w:p w14:paraId="426DBF78" w14:textId="77777777" w:rsidR="002B133A" w:rsidRPr="003D56F0" w:rsidRDefault="002B133A" w:rsidP="003D56F0">
            <w:pPr>
              <w:rPr>
                <w:rFonts w:eastAsia="Times New Roman"/>
                <w:color w:val="000000"/>
                <w:sz w:val="20"/>
                <w:szCs w:val="20"/>
              </w:rPr>
            </w:pPr>
            <w:r w:rsidRPr="003D56F0">
              <w:rPr>
                <w:sz w:val="20"/>
                <w:szCs w:val="20"/>
              </w:rPr>
              <w:t>£17</w:t>
            </w:r>
          </w:p>
        </w:tc>
        <w:tc>
          <w:tcPr>
            <w:tcW w:w="699" w:type="pct"/>
            <w:shd w:val="clear" w:color="auto" w:fill="auto"/>
            <w:noWrap/>
            <w:tcMar>
              <w:top w:w="28" w:type="dxa"/>
              <w:left w:w="28" w:type="dxa"/>
              <w:bottom w:w="28" w:type="dxa"/>
              <w:right w:w="28" w:type="dxa"/>
            </w:tcMar>
            <w:hideMark/>
          </w:tcPr>
          <w:p w14:paraId="075735BD" w14:textId="77777777" w:rsidR="002B133A" w:rsidRPr="003D56F0" w:rsidRDefault="002B133A" w:rsidP="003D56F0">
            <w:pPr>
              <w:rPr>
                <w:rFonts w:eastAsia="Times New Roman"/>
                <w:color w:val="000000"/>
                <w:sz w:val="20"/>
                <w:szCs w:val="20"/>
              </w:rPr>
            </w:pPr>
            <w:r w:rsidRPr="003D56F0">
              <w:rPr>
                <w:sz w:val="20"/>
                <w:szCs w:val="20"/>
              </w:rPr>
              <w:t>£29</w:t>
            </w:r>
          </w:p>
        </w:tc>
      </w:tr>
      <w:tr w:rsidR="002B133A" w:rsidRPr="003D56F0" w14:paraId="37F1B5AD" w14:textId="77777777" w:rsidTr="00AC1AF3">
        <w:trPr>
          <w:trHeight w:val="300"/>
        </w:trPr>
        <w:tc>
          <w:tcPr>
            <w:tcW w:w="2729" w:type="pct"/>
            <w:shd w:val="clear" w:color="auto" w:fill="auto"/>
            <w:noWrap/>
            <w:tcMar>
              <w:top w:w="28" w:type="dxa"/>
              <w:left w:w="28" w:type="dxa"/>
              <w:bottom w:w="28" w:type="dxa"/>
              <w:right w:w="28" w:type="dxa"/>
            </w:tcMar>
            <w:hideMark/>
          </w:tcPr>
          <w:p w14:paraId="41E3EAF6" w14:textId="77777777" w:rsidR="002B133A" w:rsidRPr="003D56F0" w:rsidRDefault="002B133A" w:rsidP="003D56F0">
            <w:pPr>
              <w:rPr>
                <w:rFonts w:eastAsia="Times New Roman"/>
                <w:color w:val="000000"/>
                <w:sz w:val="20"/>
                <w:szCs w:val="20"/>
              </w:rPr>
            </w:pPr>
            <w:r w:rsidRPr="003D56F0">
              <w:rPr>
                <w:sz w:val="20"/>
                <w:szCs w:val="20"/>
              </w:rPr>
              <w:t>QALYs lost from cocaine-specific and CVD deaths per user per year</w:t>
            </w:r>
          </w:p>
        </w:tc>
        <w:tc>
          <w:tcPr>
            <w:tcW w:w="785" w:type="pct"/>
            <w:shd w:val="clear" w:color="auto" w:fill="auto"/>
            <w:noWrap/>
            <w:tcMar>
              <w:top w:w="28" w:type="dxa"/>
              <w:left w:w="28" w:type="dxa"/>
              <w:bottom w:w="28" w:type="dxa"/>
              <w:right w:w="28" w:type="dxa"/>
            </w:tcMar>
            <w:hideMark/>
          </w:tcPr>
          <w:p w14:paraId="5FB9C678" w14:textId="77777777" w:rsidR="002B133A" w:rsidRPr="003D56F0" w:rsidRDefault="002B133A" w:rsidP="003D56F0">
            <w:pPr>
              <w:rPr>
                <w:rFonts w:eastAsia="Times New Roman"/>
                <w:color w:val="000000"/>
                <w:sz w:val="20"/>
                <w:szCs w:val="20"/>
              </w:rPr>
            </w:pPr>
            <w:r w:rsidRPr="003D56F0">
              <w:rPr>
                <w:sz w:val="20"/>
                <w:szCs w:val="20"/>
              </w:rPr>
              <w:t>0.003</w:t>
            </w:r>
          </w:p>
        </w:tc>
        <w:tc>
          <w:tcPr>
            <w:tcW w:w="787" w:type="pct"/>
            <w:shd w:val="clear" w:color="auto" w:fill="auto"/>
            <w:noWrap/>
            <w:tcMar>
              <w:top w:w="28" w:type="dxa"/>
              <w:left w:w="28" w:type="dxa"/>
              <w:bottom w:w="28" w:type="dxa"/>
              <w:right w:w="28" w:type="dxa"/>
            </w:tcMar>
            <w:hideMark/>
          </w:tcPr>
          <w:p w14:paraId="74FFC108" w14:textId="77777777" w:rsidR="002B133A" w:rsidRPr="003D56F0" w:rsidRDefault="002B133A" w:rsidP="003D56F0">
            <w:pPr>
              <w:rPr>
                <w:rFonts w:eastAsia="Times New Roman"/>
                <w:color w:val="000000"/>
                <w:sz w:val="20"/>
                <w:szCs w:val="20"/>
              </w:rPr>
            </w:pPr>
            <w:r w:rsidRPr="003D56F0">
              <w:rPr>
                <w:sz w:val="20"/>
                <w:szCs w:val="20"/>
              </w:rPr>
              <w:t>0.002</w:t>
            </w:r>
          </w:p>
        </w:tc>
        <w:tc>
          <w:tcPr>
            <w:tcW w:w="699" w:type="pct"/>
            <w:shd w:val="clear" w:color="auto" w:fill="auto"/>
            <w:noWrap/>
            <w:tcMar>
              <w:top w:w="28" w:type="dxa"/>
              <w:left w:w="28" w:type="dxa"/>
              <w:bottom w:w="28" w:type="dxa"/>
              <w:right w:w="28" w:type="dxa"/>
            </w:tcMar>
            <w:hideMark/>
          </w:tcPr>
          <w:p w14:paraId="129D4F23" w14:textId="77777777" w:rsidR="002B133A" w:rsidRPr="003D56F0" w:rsidRDefault="002B133A" w:rsidP="003D56F0">
            <w:pPr>
              <w:rPr>
                <w:rFonts w:eastAsia="Times New Roman"/>
                <w:color w:val="000000"/>
                <w:sz w:val="20"/>
                <w:szCs w:val="20"/>
              </w:rPr>
            </w:pPr>
            <w:r w:rsidRPr="003D56F0">
              <w:rPr>
                <w:sz w:val="20"/>
                <w:szCs w:val="20"/>
              </w:rPr>
              <w:t>0.003</w:t>
            </w:r>
          </w:p>
        </w:tc>
      </w:tr>
      <w:tr w:rsidR="002B133A" w:rsidRPr="003D56F0" w14:paraId="0D915EDD" w14:textId="77777777" w:rsidTr="00AC1AF3">
        <w:trPr>
          <w:trHeight w:val="300"/>
        </w:trPr>
        <w:tc>
          <w:tcPr>
            <w:tcW w:w="2729" w:type="pct"/>
            <w:shd w:val="clear" w:color="auto" w:fill="auto"/>
            <w:noWrap/>
            <w:tcMar>
              <w:top w:w="28" w:type="dxa"/>
              <w:left w:w="28" w:type="dxa"/>
              <w:bottom w:w="28" w:type="dxa"/>
              <w:right w:w="28" w:type="dxa"/>
            </w:tcMar>
            <w:hideMark/>
          </w:tcPr>
          <w:p w14:paraId="4ED37E05" w14:textId="77777777" w:rsidR="002B133A" w:rsidRPr="003D56F0" w:rsidRDefault="002B133A" w:rsidP="003D56F0">
            <w:pPr>
              <w:rPr>
                <w:rFonts w:eastAsia="Times New Roman"/>
                <w:color w:val="000000"/>
                <w:sz w:val="20"/>
                <w:szCs w:val="20"/>
              </w:rPr>
            </w:pPr>
            <w:r w:rsidRPr="003D56F0">
              <w:rPr>
                <w:sz w:val="20"/>
                <w:szCs w:val="20"/>
              </w:rPr>
              <w:t>Annual risk of becoming cocaine dependent for cocaine users aged 16-19</w:t>
            </w:r>
          </w:p>
        </w:tc>
        <w:tc>
          <w:tcPr>
            <w:tcW w:w="785" w:type="pct"/>
            <w:shd w:val="clear" w:color="auto" w:fill="auto"/>
            <w:noWrap/>
            <w:tcMar>
              <w:top w:w="28" w:type="dxa"/>
              <w:left w:w="28" w:type="dxa"/>
              <w:bottom w:w="28" w:type="dxa"/>
              <w:right w:w="28" w:type="dxa"/>
            </w:tcMar>
            <w:hideMark/>
          </w:tcPr>
          <w:p w14:paraId="22966D4B" w14:textId="77777777" w:rsidR="002B133A" w:rsidRPr="003D56F0" w:rsidRDefault="002B133A" w:rsidP="003D56F0">
            <w:pPr>
              <w:rPr>
                <w:rFonts w:eastAsia="Times New Roman"/>
                <w:color w:val="000000"/>
                <w:sz w:val="20"/>
                <w:szCs w:val="20"/>
              </w:rPr>
            </w:pPr>
            <w:r w:rsidRPr="003D56F0">
              <w:rPr>
                <w:sz w:val="20"/>
                <w:szCs w:val="20"/>
              </w:rPr>
              <w:t>0.0129</w:t>
            </w:r>
          </w:p>
        </w:tc>
        <w:tc>
          <w:tcPr>
            <w:tcW w:w="787" w:type="pct"/>
            <w:shd w:val="clear" w:color="auto" w:fill="auto"/>
            <w:noWrap/>
            <w:tcMar>
              <w:top w:w="28" w:type="dxa"/>
              <w:left w:w="28" w:type="dxa"/>
              <w:bottom w:w="28" w:type="dxa"/>
              <w:right w:w="28" w:type="dxa"/>
            </w:tcMar>
            <w:hideMark/>
          </w:tcPr>
          <w:p w14:paraId="7FEBAA2A" w14:textId="77777777" w:rsidR="002B133A" w:rsidRPr="003D56F0" w:rsidRDefault="002B133A" w:rsidP="003D56F0">
            <w:pPr>
              <w:rPr>
                <w:rFonts w:eastAsia="Times New Roman"/>
                <w:color w:val="000000"/>
                <w:sz w:val="20"/>
                <w:szCs w:val="20"/>
              </w:rPr>
            </w:pPr>
            <w:r w:rsidRPr="003D56F0">
              <w:rPr>
                <w:sz w:val="20"/>
                <w:szCs w:val="20"/>
              </w:rPr>
              <w:t>0.010</w:t>
            </w:r>
          </w:p>
        </w:tc>
        <w:tc>
          <w:tcPr>
            <w:tcW w:w="699" w:type="pct"/>
            <w:shd w:val="clear" w:color="auto" w:fill="auto"/>
            <w:noWrap/>
            <w:tcMar>
              <w:top w:w="28" w:type="dxa"/>
              <w:left w:w="28" w:type="dxa"/>
              <w:bottom w:w="28" w:type="dxa"/>
              <w:right w:w="28" w:type="dxa"/>
            </w:tcMar>
            <w:hideMark/>
          </w:tcPr>
          <w:p w14:paraId="0EEBF7E2" w14:textId="77777777" w:rsidR="002B133A" w:rsidRPr="003D56F0" w:rsidRDefault="002B133A" w:rsidP="003D56F0">
            <w:pPr>
              <w:rPr>
                <w:rFonts w:eastAsia="Times New Roman"/>
                <w:color w:val="000000"/>
                <w:sz w:val="20"/>
                <w:szCs w:val="20"/>
              </w:rPr>
            </w:pPr>
            <w:r w:rsidRPr="003D56F0">
              <w:rPr>
                <w:sz w:val="20"/>
                <w:szCs w:val="20"/>
              </w:rPr>
              <w:t>0.016</w:t>
            </w:r>
          </w:p>
        </w:tc>
      </w:tr>
      <w:tr w:rsidR="002B133A" w:rsidRPr="003D56F0" w14:paraId="432C4F31" w14:textId="77777777" w:rsidTr="00AC1AF3">
        <w:trPr>
          <w:trHeight w:val="300"/>
        </w:trPr>
        <w:tc>
          <w:tcPr>
            <w:tcW w:w="2729" w:type="pct"/>
            <w:shd w:val="clear" w:color="auto" w:fill="auto"/>
            <w:noWrap/>
            <w:tcMar>
              <w:top w:w="28" w:type="dxa"/>
              <w:left w:w="28" w:type="dxa"/>
              <w:bottom w:w="28" w:type="dxa"/>
              <w:right w:w="28" w:type="dxa"/>
            </w:tcMar>
            <w:hideMark/>
          </w:tcPr>
          <w:p w14:paraId="1CF0FBE2" w14:textId="77777777" w:rsidR="002B133A" w:rsidRPr="003D56F0" w:rsidRDefault="002B133A" w:rsidP="003D56F0">
            <w:pPr>
              <w:rPr>
                <w:rFonts w:eastAsia="Times New Roman"/>
                <w:color w:val="000000"/>
                <w:sz w:val="20"/>
                <w:szCs w:val="20"/>
              </w:rPr>
            </w:pPr>
            <w:r w:rsidRPr="003D56F0">
              <w:rPr>
                <w:sz w:val="20"/>
                <w:szCs w:val="20"/>
              </w:rPr>
              <w:t>Assumed QALY loss based on 5 years dependence (six month QALY loss *10 discounted)</w:t>
            </w:r>
          </w:p>
        </w:tc>
        <w:tc>
          <w:tcPr>
            <w:tcW w:w="785" w:type="pct"/>
            <w:shd w:val="clear" w:color="auto" w:fill="auto"/>
            <w:noWrap/>
            <w:tcMar>
              <w:top w:w="28" w:type="dxa"/>
              <w:left w:w="28" w:type="dxa"/>
              <w:bottom w:w="28" w:type="dxa"/>
              <w:right w:w="28" w:type="dxa"/>
            </w:tcMar>
            <w:hideMark/>
          </w:tcPr>
          <w:p w14:paraId="63FBDE66" w14:textId="77777777" w:rsidR="002B133A" w:rsidRPr="003D56F0" w:rsidRDefault="002B133A" w:rsidP="003D56F0">
            <w:pPr>
              <w:rPr>
                <w:rFonts w:eastAsia="Times New Roman"/>
                <w:color w:val="000000"/>
                <w:sz w:val="20"/>
                <w:szCs w:val="20"/>
              </w:rPr>
            </w:pPr>
            <w:r w:rsidRPr="003D56F0">
              <w:rPr>
                <w:sz w:val="20"/>
                <w:szCs w:val="20"/>
              </w:rPr>
              <w:t>0.58</w:t>
            </w:r>
          </w:p>
        </w:tc>
        <w:tc>
          <w:tcPr>
            <w:tcW w:w="787" w:type="pct"/>
            <w:shd w:val="clear" w:color="auto" w:fill="auto"/>
            <w:noWrap/>
            <w:tcMar>
              <w:top w:w="28" w:type="dxa"/>
              <w:left w:w="28" w:type="dxa"/>
              <w:bottom w:w="28" w:type="dxa"/>
              <w:right w:w="28" w:type="dxa"/>
            </w:tcMar>
            <w:hideMark/>
          </w:tcPr>
          <w:p w14:paraId="508FCBF7" w14:textId="77777777" w:rsidR="002B133A" w:rsidRPr="003D56F0" w:rsidRDefault="002B133A" w:rsidP="003D56F0">
            <w:pPr>
              <w:rPr>
                <w:rFonts w:eastAsia="Times New Roman"/>
                <w:color w:val="000000"/>
                <w:sz w:val="20"/>
                <w:szCs w:val="20"/>
              </w:rPr>
            </w:pPr>
            <w:r w:rsidRPr="003D56F0">
              <w:rPr>
                <w:sz w:val="20"/>
                <w:szCs w:val="20"/>
              </w:rPr>
              <w:t>0.43</w:t>
            </w:r>
          </w:p>
        </w:tc>
        <w:tc>
          <w:tcPr>
            <w:tcW w:w="699" w:type="pct"/>
            <w:shd w:val="clear" w:color="auto" w:fill="auto"/>
            <w:noWrap/>
            <w:tcMar>
              <w:top w:w="28" w:type="dxa"/>
              <w:left w:w="28" w:type="dxa"/>
              <w:bottom w:w="28" w:type="dxa"/>
              <w:right w:w="28" w:type="dxa"/>
            </w:tcMar>
            <w:hideMark/>
          </w:tcPr>
          <w:p w14:paraId="3790A590" w14:textId="77777777" w:rsidR="002B133A" w:rsidRPr="003D56F0" w:rsidRDefault="002B133A" w:rsidP="003D56F0">
            <w:pPr>
              <w:rPr>
                <w:rFonts w:eastAsia="Times New Roman"/>
                <w:color w:val="000000"/>
                <w:sz w:val="20"/>
                <w:szCs w:val="20"/>
              </w:rPr>
            </w:pPr>
            <w:r w:rsidRPr="003D56F0">
              <w:rPr>
                <w:sz w:val="20"/>
                <w:szCs w:val="20"/>
              </w:rPr>
              <w:t>0.72</w:t>
            </w:r>
          </w:p>
        </w:tc>
      </w:tr>
    </w:tbl>
    <w:p w14:paraId="6661184F" w14:textId="77777777" w:rsidR="00F56C53" w:rsidRPr="003D56F0" w:rsidRDefault="00F56C53" w:rsidP="00CC7EC2">
      <w:pPr>
        <w:rPr>
          <w:sz w:val="20"/>
          <w:szCs w:val="20"/>
        </w:rPr>
      </w:pPr>
    </w:p>
    <w:p w14:paraId="0391306D" w14:textId="79BD0509" w:rsidR="008327CD" w:rsidRPr="003D56F0" w:rsidRDefault="002B133A" w:rsidP="00AD2788">
      <w:pPr>
        <w:pStyle w:val="Heading3"/>
        <w:rPr>
          <w:sz w:val="20"/>
          <w:szCs w:val="20"/>
        </w:rPr>
      </w:pPr>
      <w:bookmarkStart w:id="81" w:name="_Toc452035660"/>
      <w:r w:rsidRPr="003D56F0">
        <w:rPr>
          <w:sz w:val="20"/>
          <w:szCs w:val="20"/>
        </w:rPr>
        <w:t>7.6 Model based on Morgenstern et al. (2009) Randomized Trial to Reduce Club Drug Use and HIV Risk Behaviors Among Men Who Have Sex With Men.</w:t>
      </w:r>
      <w:bookmarkEnd w:id="81"/>
    </w:p>
    <w:tbl>
      <w:tblPr>
        <w:tblW w:w="5000" w:type="pct"/>
        <w:tblLook w:val="04A0" w:firstRow="1" w:lastRow="0" w:firstColumn="1" w:lastColumn="0" w:noHBand="0" w:noVBand="1"/>
      </w:tblPr>
      <w:tblGrid>
        <w:gridCol w:w="4074"/>
        <w:gridCol w:w="1513"/>
        <w:gridCol w:w="3655"/>
      </w:tblGrid>
      <w:tr w:rsidR="002B133A" w:rsidRPr="003D56F0" w14:paraId="2E187C53" w14:textId="77777777" w:rsidTr="002B133A">
        <w:trPr>
          <w:trHeight w:val="300"/>
        </w:trPr>
        <w:tc>
          <w:tcPr>
            <w:tcW w:w="1995" w:type="pct"/>
            <w:tcBorders>
              <w:top w:val="nil"/>
              <w:left w:val="nil"/>
              <w:bottom w:val="nil"/>
              <w:right w:val="nil"/>
            </w:tcBorders>
            <w:shd w:val="clear" w:color="auto" w:fill="auto"/>
            <w:noWrap/>
            <w:vAlign w:val="bottom"/>
            <w:hideMark/>
          </w:tcPr>
          <w:p w14:paraId="6CE15D8D" w14:textId="77777777" w:rsidR="002B133A" w:rsidRPr="003D56F0" w:rsidRDefault="002B133A">
            <w:pPr>
              <w:rPr>
                <w:sz w:val="20"/>
                <w:szCs w:val="20"/>
              </w:rPr>
            </w:pPr>
          </w:p>
        </w:tc>
        <w:tc>
          <w:tcPr>
            <w:tcW w:w="923" w:type="pct"/>
            <w:tcBorders>
              <w:top w:val="nil"/>
              <w:left w:val="nil"/>
              <w:bottom w:val="nil"/>
              <w:right w:val="nil"/>
            </w:tcBorders>
            <w:shd w:val="clear" w:color="auto" w:fill="auto"/>
            <w:noWrap/>
            <w:vAlign w:val="bottom"/>
            <w:hideMark/>
          </w:tcPr>
          <w:p w14:paraId="1CCEE5A2" w14:textId="77777777" w:rsidR="002B133A" w:rsidRPr="003D56F0" w:rsidRDefault="002B133A">
            <w:pPr>
              <w:rPr>
                <w:sz w:val="20"/>
                <w:szCs w:val="20"/>
              </w:rPr>
            </w:pPr>
          </w:p>
        </w:tc>
        <w:tc>
          <w:tcPr>
            <w:tcW w:w="2082" w:type="pct"/>
            <w:tcBorders>
              <w:top w:val="nil"/>
              <w:left w:val="nil"/>
              <w:bottom w:val="nil"/>
              <w:right w:val="nil"/>
            </w:tcBorders>
            <w:shd w:val="clear" w:color="auto" w:fill="auto"/>
            <w:noWrap/>
            <w:vAlign w:val="bottom"/>
            <w:hideMark/>
          </w:tcPr>
          <w:p w14:paraId="484C319F" w14:textId="77777777" w:rsidR="002B133A" w:rsidRPr="003D56F0" w:rsidRDefault="002B133A">
            <w:pPr>
              <w:rPr>
                <w:sz w:val="20"/>
                <w:szCs w:val="20"/>
              </w:rPr>
            </w:pPr>
          </w:p>
        </w:tc>
      </w:tr>
      <w:tr w:rsidR="002B133A" w:rsidRPr="003D56F0" w14:paraId="4457B5FC" w14:textId="77777777" w:rsidTr="002B133A">
        <w:trPr>
          <w:trHeight w:val="300"/>
        </w:trPr>
        <w:tc>
          <w:tcPr>
            <w:tcW w:w="1995" w:type="pct"/>
            <w:tcBorders>
              <w:top w:val="single" w:sz="4" w:space="0" w:color="auto"/>
              <w:left w:val="single" w:sz="4" w:space="0" w:color="auto"/>
              <w:bottom w:val="single" w:sz="4" w:space="0" w:color="auto"/>
              <w:right w:val="single" w:sz="4" w:space="0" w:color="auto"/>
            </w:tcBorders>
            <w:shd w:val="clear" w:color="auto" w:fill="auto"/>
            <w:hideMark/>
          </w:tcPr>
          <w:p w14:paraId="7C6654A4" w14:textId="77777777" w:rsidR="002B133A" w:rsidRPr="003D56F0" w:rsidRDefault="002B133A" w:rsidP="00CC7EC2">
            <w:pPr>
              <w:rPr>
                <w:sz w:val="20"/>
                <w:szCs w:val="20"/>
              </w:rPr>
            </w:pPr>
            <w:r w:rsidRPr="003D56F0">
              <w:rPr>
                <w:sz w:val="20"/>
                <w:szCs w:val="20"/>
              </w:rPr>
              <w:t>Input/Outcome</w:t>
            </w:r>
          </w:p>
        </w:tc>
        <w:tc>
          <w:tcPr>
            <w:tcW w:w="923" w:type="pct"/>
            <w:tcBorders>
              <w:top w:val="single" w:sz="4" w:space="0" w:color="auto"/>
              <w:left w:val="nil"/>
              <w:bottom w:val="single" w:sz="4" w:space="0" w:color="auto"/>
              <w:right w:val="single" w:sz="4" w:space="0" w:color="auto"/>
            </w:tcBorders>
            <w:shd w:val="clear" w:color="auto" w:fill="auto"/>
            <w:hideMark/>
          </w:tcPr>
          <w:p w14:paraId="7CCA0545" w14:textId="77777777" w:rsidR="002B133A" w:rsidRPr="003D56F0" w:rsidRDefault="002B133A" w:rsidP="00AD2788">
            <w:pPr>
              <w:rPr>
                <w:sz w:val="20"/>
                <w:szCs w:val="20"/>
              </w:rPr>
            </w:pPr>
            <w:r w:rsidRPr="003D56F0">
              <w:rPr>
                <w:sz w:val="20"/>
                <w:szCs w:val="20"/>
              </w:rPr>
              <w:t>Assumption</w:t>
            </w:r>
          </w:p>
        </w:tc>
        <w:tc>
          <w:tcPr>
            <w:tcW w:w="2082" w:type="pct"/>
            <w:tcBorders>
              <w:top w:val="single" w:sz="4" w:space="0" w:color="auto"/>
              <w:left w:val="nil"/>
              <w:bottom w:val="single" w:sz="4" w:space="0" w:color="auto"/>
              <w:right w:val="single" w:sz="4" w:space="0" w:color="auto"/>
            </w:tcBorders>
            <w:shd w:val="clear" w:color="auto" w:fill="auto"/>
            <w:hideMark/>
          </w:tcPr>
          <w:p w14:paraId="6D392545" w14:textId="77777777" w:rsidR="002B133A" w:rsidRPr="003D56F0" w:rsidRDefault="002B133A" w:rsidP="003D56F0">
            <w:pPr>
              <w:rPr>
                <w:rFonts w:eastAsia="Times New Roman"/>
                <w:color w:val="000000"/>
                <w:sz w:val="20"/>
                <w:szCs w:val="20"/>
              </w:rPr>
            </w:pPr>
            <w:r w:rsidRPr="003D56F0">
              <w:rPr>
                <w:sz w:val="20"/>
                <w:szCs w:val="20"/>
              </w:rPr>
              <w:t>Data source</w:t>
            </w:r>
          </w:p>
        </w:tc>
      </w:tr>
      <w:tr w:rsidR="002B133A" w:rsidRPr="003D56F0" w14:paraId="12B75C04" w14:textId="77777777" w:rsidTr="002B133A">
        <w:trPr>
          <w:trHeight w:val="600"/>
        </w:trPr>
        <w:tc>
          <w:tcPr>
            <w:tcW w:w="1995" w:type="pct"/>
            <w:tcBorders>
              <w:top w:val="nil"/>
              <w:left w:val="single" w:sz="4" w:space="0" w:color="auto"/>
              <w:bottom w:val="single" w:sz="4" w:space="0" w:color="auto"/>
              <w:right w:val="single" w:sz="4" w:space="0" w:color="auto"/>
            </w:tcBorders>
            <w:shd w:val="clear" w:color="auto" w:fill="auto"/>
            <w:hideMark/>
          </w:tcPr>
          <w:p w14:paraId="73ED705E" w14:textId="77777777" w:rsidR="002B133A" w:rsidRPr="003D56F0" w:rsidRDefault="002B133A" w:rsidP="00CC7EC2">
            <w:pPr>
              <w:rPr>
                <w:sz w:val="20"/>
                <w:szCs w:val="20"/>
              </w:rPr>
            </w:pPr>
            <w:r w:rsidRPr="003D56F0">
              <w:rPr>
                <w:sz w:val="20"/>
                <w:szCs w:val="20"/>
              </w:rPr>
              <w:t>Target population</w:t>
            </w:r>
          </w:p>
        </w:tc>
        <w:tc>
          <w:tcPr>
            <w:tcW w:w="923" w:type="pct"/>
            <w:tcBorders>
              <w:top w:val="nil"/>
              <w:left w:val="nil"/>
              <w:bottom w:val="single" w:sz="4" w:space="0" w:color="auto"/>
              <w:right w:val="single" w:sz="4" w:space="0" w:color="auto"/>
            </w:tcBorders>
            <w:shd w:val="clear" w:color="auto" w:fill="auto"/>
            <w:hideMark/>
          </w:tcPr>
          <w:p w14:paraId="76FCAE98" w14:textId="77777777" w:rsidR="002B133A" w:rsidRPr="003D56F0" w:rsidRDefault="002B133A" w:rsidP="00AD2788">
            <w:pPr>
              <w:rPr>
                <w:sz w:val="20"/>
                <w:szCs w:val="20"/>
              </w:rPr>
            </w:pPr>
            <w:r w:rsidRPr="003D56F0">
              <w:rPr>
                <w:sz w:val="20"/>
                <w:szCs w:val="20"/>
              </w:rPr>
              <w:t>32,266</w:t>
            </w:r>
          </w:p>
        </w:tc>
        <w:tc>
          <w:tcPr>
            <w:tcW w:w="2082" w:type="pct"/>
            <w:tcBorders>
              <w:top w:val="nil"/>
              <w:left w:val="nil"/>
              <w:bottom w:val="single" w:sz="4" w:space="0" w:color="auto"/>
              <w:right w:val="single" w:sz="4" w:space="0" w:color="auto"/>
            </w:tcBorders>
            <w:shd w:val="clear" w:color="auto" w:fill="auto"/>
            <w:hideMark/>
          </w:tcPr>
          <w:p w14:paraId="56C30583" w14:textId="77777777" w:rsidR="002B133A" w:rsidRPr="003D56F0" w:rsidRDefault="002B133A" w:rsidP="003D56F0">
            <w:pPr>
              <w:rPr>
                <w:rFonts w:eastAsia="Times New Roman"/>
                <w:color w:val="000000"/>
                <w:sz w:val="20"/>
                <w:szCs w:val="20"/>
              </w:rPr>
            </w:pPr>
            <w:r w:rsidRPr="003D56F0">
              <w:rPr>
                <w:sz w:val="20"/>
                <w:szCs w:val="20"/>
              </w:rPr>
              <w:t>Based on 10% of gay men from Buffin et al (2012), gay men based on ONS Integrated Household Survey</w:t>
            </w:r>
          </w:p>
        </w:tc>
      </w:tr>
      <w:tr w:rsidR="002B133A" w:rsidRPr="003D56F0" w14:paraId="1F28F342" w14:textId="77777777" w:rsidTr="002B133A">
        <w:trPr>
          <w:trHeight w:val="300"/>
        </w:trPr>
        <w:tc>
          <w:tcPr>
            <w:tcW w:w="1995" w:type="pct"/>
            <w:tcBorders>
              <w:top w:val="nil"/>
              <w:left w:val="single" w:sz="4" w:space="0" w:color="auto"/>
              <w:bottom w:val="single" w:sz="4" w:space="0" w:color="auto"/>
              <w:right w:val="single" w:sz="4" w:space="0" w:color="auto"/>
            </w:tcBorders>
            <w:shd w:val="clear" w:color="auto" w:fill="auto"/>
            <w:hideMark/>
          </w:tcPr>
          <w:p w14:paraId="1F51CEBC" w14:textId="77777777" w:rsidR="002B133A" w:rsidRPr="003D56F0" w:rsidRDefault="002B133A" w:rsidP="00CC7EC2">
            <w:pPr>
              <w:rPr>
                <w:sz w:val="20"/>
                <w:szCs w:val="20"/>
              </w:rPr>
            </w:pPr>
            <w:r w:rsidRPr="003D56F0">
              <w:rPr>
                <w:sz w:val="20"/>
                <w:szCs w:val="20"/>
              </w:rPr>
              <w:t>Intervention cost</w:t>
            </w:r>
          </w:p>
        </w:tc>
        <w:tc>
          <w:tcPr>
            <w:tcW w:w="923" w:type="pct"/>
            <w:tcBorders>
              <w:top w:val="nil"/>
              <w:left w:val="nil"/>
              <w:bottom w:val="single" w:sz="4" w:space="0" w:color="auto"/>
              <w:right w:val="single" w:sz="4" w:space="0" w:color="auto"/>
            </w:tcBorders>
            <w:shd w:val="clear" w:color="auto" w:fill="auto"/>
            <w:hideMark/>
          </w:tcPr>
          <w:p w14:paraId="2074CE80" w14:textId="77777777" w:rsidR="002B133A" w:rsidRPr="003D56F0" w:rsidRDefault="002B133A" w:rsidP="00AD2788">
            <w:pPr>
              <w:rPr>
                <w:sz w:val="20"/>
                <w:szCs w:val="20"/>
              </w:rPr>
            </w:pPr>
            <w:r w:rsidRPr="003D56F0">
              <w:rPr>
                <w:sz w:val="20"/>
                <w:szCs w:val="20"/>
              </w:rPr>
              <w:t>£268</w:t>
            </w:r>
          </w:p>
        </w:tc>
        <w:tc>
          <w:tcPr>
            <w:tcW w:w="2082" w:type="pct"/>
            <w:tcBorders>
              <w:top w:val="nil"/>
              <w:left w:val="nil"/>
              <w:bottom w:val="single" w:sz="4" w:space="0" w:color="auto"/>
              <w:right w:val="single" w:sz="4" w:space="0" w:color="auto"/>
            </w:tcBorders>
            <w:shd w:val="clear" w:color="auto" w:fill="auto"/>
            <w:hideMark/>
          </w:tcPr>
          <w:p w14:paraId="3C22D3ED" w14:textId="77777777" w:rsidR="002B133A" w:rsidRPr="003D56F0" w:rsidRDefault="002B133A" w:rsidP="003D56F0">
            <w:pPr>
              <w:rPr>
                <w:rFonts w:eastAsia="Times New Roman"/>
                <w:color w:val="000000"/>
                <w:sz w:val="20"/>
                <w:szCs w:val="20"/>
              </w:rPr>
            </w:pPr>
            <w:r w:rsidRPr="003D56F0">
              <w:rPr>
                <w:rFonts w:eastAsia="Times New Roman"/>
                <w:color w:val="000000"/>
                <w:sz w:val="20"/>
                <w:szCs w:val="20"/>
              </w:rPr>
              <w:t>Based on </w:t>
            </w:r>
            <w:r w:rsidRPr="003D56F0">
              <w:rPr>
                <w:sz w:val="20"/>
                <w:szCs w:val="20"/>
              </w:rPr>
              <w:t>salary costs of a mental health nurse from PSSRU, which are £67 an hour, or £268 for four hours.</w:t>
            </w:r>
          </w:p>
        </w:tc>
      </w:tr>
      <w:tr w:rsidR="002B133A" w:rsidRPr="003D56F0" w14:paraId="0B876705" w14:textId="77777777" w:rsidTr="002B133A">
        <w:trPr>
          <w:trHeight w:val="1200"/>
        </w:trPr>
        <w:tc>
          <w:tcPr>
            <w:tcW w:w="1995" w:type="pct"/>
            <w:tcBorders>
              <w:top w:val="nil"/>
              <w:left w:val="single" w:sz="4" w:space="0" w:color="auto"/>
              <w:bottom w:val="single" w:sz="4" w:space="0" w:color="auto"/>
              <w:right w:val="single" w:sz="4" w:space="0" w:color="auto"/>
            </w:tcBorders>
            <w:shd w:val="clear" w:color="auto" w:fill="auto"/>
            <w:hideMark/>
          </w:tcPr>
          <w:p w14:paraId="0108DB62" w14:textId="77777777" w:rsidR="002B133A" w:rsidRPr="003D56F0" w:rsidRDefault="002B133A" w:rsidP="00CC7EC2">
            <w:pPr>
              <w:rPr>
                <w:sz w:val="20"/>
                <w:szCs w:val="20"/>
              </w:rPr>
            </w:pPr>
            <w:r w:rsidRPr="003D56F0">
              <w:rPr>
                <w:sz w:val="20"/>
                <w:szCs w:val="20"/>
              </w:rPr>
              <w:lastRenderedPageBreak/>
              <w:t>Drug use - base case model</w:t>
            </w:r>
          </w:p>
        </w:tc>
        <w:tc>
          <w:tcPr>
            <w:tcW w:w="923" w:type="pct"/>
            <w:tcBorders>
              <w:top w:val="nil"/>
              <w:left w:val="nil"/>
              <w:bottom w:val="single" w:sz="4" w:space="0" w:color="auto"/>
              <w:right w:val="single" w:sz="4" w:space="0" w:color="auto"/>
            </w:tcBorders>
            <w:shd w:val="clear" w:color="auto" w:fill="auto"/>
            <w:hideMark/>
          </w:tcPr>
          <w:p w14:paraId="4BD4FF1D" w14:textId="77777777" w:rsidR="002B133A" w:rsidRPr="003D56F0" w:rsidRDefault="002B133A" w:rsidP="00AD2788">
            <w:pPr>
              <w:rPr>
                <w:sz w:val="20"/>
                <w:szCs w:val="20"/>
              </w:rPr>
            </w:pPr>
            <w:r w:rsidRPr="003D56F0">
              <w:rPr>
                <w:sz w:val="20"/>
                <w:szCs w:val="20"/>
              </w:rPr>
              <w:t>0.683 (intervention); 0.837 (control) - average drug use over two years</w:t>
            </w:r>
          </w:p>
        </w:tc>
        <w:tc>
          <w:tcPr>
            <w:tcW w:w="2082" w:type="pct"/>
            <w:tcBorders>
              <w:top w:val="nil"/>
              <w:left w:val="nil"/>
              <w:bottom w:val="single" w:sz="4" w:space="0" w:color="auto"/>
              <w:right w:val="single" w:sz="4" w:space="0" w:color="auto"/>
            </w:tcBorders>
            <w:shd w:val="clear" w:color="auto" w:fill="auto"/>
            <w:hideMark/>
          </w:tcPr>
          <w:p w14:paraId="454BE470" w14:textId="77777777" w:rsidR="002B133A" w:rsidRPr="003D56F0" w:rsidRDefault="002B133A" w:rsidP="003D56F0">
            <w:pPr>
              <w:rPr>
                <w:rFonts w:eastAsia="Times New Roman"/>
                <w:color w:val="000000"/>
                <w:sz w:val="20"/>
                <w:szCs w:val="20"/>
              </w:rPr>
            </w:pPr>
            <w:r w:rsidRPr="003D56F0">
              <w:rPr>
                <w:sz w:val="20"/>
                <w:szCs w:val="20"/>
              </w:rPr>
              <w:t>Morgenstern paper reported days of drug use, which is assumed to be in line with prevalence. So as days of drug use change from 17 days to 6 days in the intervention, prevalence is assumed to change from 100% to 65%.</w:t>
            </w:r>
          </w:p>
        </w:tc>
      </w:tr>
      <w:tr w:rsidR="002B133A" w:rsidRPr="003D56F0" w14:paraId="6AEE3E87" w14:textId="77777777" w:rsidTr="002B133A">
        <w:trPr>
          <w:trHeight w:val="1200"/>
        </w:trPr>
        <w:tc>
          <w:tcPr>
            <w:tcW w:w="1995" w:type="pct"/>
            <w:tcBorders>
              <w:top w:val="nil"/>
              <w:left w:val="single" w:sz="4" w:space="0" w:color="auto"/>
              <w:bottom w:val="single" w:sz="4" w:space="0" w:color="auto"/>
              <w:right w:val="single" w:sz="4" w:space="0" w:color="auto"/>
            </w:tcBorders>
            <w:shd w:val="clear" w:color="auto" w:fill="auto"/>
            <w:hideMark/>
          </w:tcPr>
          <w:p w14:paraId="6487E57C" w14:textId="77777777" w:rsidR="002B133A" w:rsidRPr="003D56F0" w:rsidRDefault="002B133A" w:rsidP="00CC7EC2">
            <w:pPr>
              <w:rPr>
                <w:sz w:val="20"/>
                <w:szCs w:val="20"/>
              </w:rPr>
            </w:pPr>
            <w:r w:rsidRPr="003D56F0">
              <w:rPr>
                <w:sz w:val="20"/>
                <w:szCs w:val="20"/>
              </w:rPr>
              <w:t>Drug use - maintained reduction scenario</w:t>
            </w:r>
          </w:p>
        </w:tc>
        <w:tc>
          <w:tcPr>
            <w:tcW w:w="923" w:type="pct"/>
            <w:tcBorders>
              <w:top w:val="nil"/>
              <w:left w:val="nil"/>
              <w:bottom w:val="single" w:sz="4" w:space="0" w:color="auto"/>
              <w:right w:val="single" w:sz="4" w:space="0" w:color="auto"/>
            </w:tcBorders>
            <w:shd w:val="clear" w:color="auto" w:fill="auto"/>
            <w:hideMark/>
          </w:tcPr>
          <w:p w14:paraId="4C7BA881" w14:textId="77777777" w:rsidR="002B133A" w:rsidRPr="003D56F0" w:rsidRDefault="002B133A" w:rsidP="00AD2788">
            <w:pPr>
              <w:rPr>
                <w:sz w:val="20"/>
                <w:szCs w:val="20"/>
              </w:rPr>
            </w:pPr>
            <w:r w:rsidRPr="003D56F0">
              <w:rPr>
                <w:sz w:val="20"/>
                <w:szCs w:val="20"/>
              </w:rPr>
              <w:t>0.380 (intervention); 0.647 (control) - average drug use over two years</w:t>
            </w:r>
          </w:p>
        </w:tc>
        <w:tc>
          <w:tcPr>
            <w:tcW w:w="2082" w:type="pct"/>
            <w:tcBorders>
              <w:top w:val="nil"/>
              <w:left w:val="nil"/>
              <w:bottom w:val="single" w:sz="4" w:space="0" w:color="auto"/>
              <w:right w:val="single" w:sz="4" w:space="0" w:color="auto"/>
            </w:tcBorders>
            <w:shd w:val="clear" w:color="auto" w:fill="auto"/>
            <w:hideMark/>
          </w:tcPr>
          <w:p w14:paraId="3EFC2A44" w14:textId="77777777" w:rsidR="002B133A" w:rsidRPr="003D56F0" w:rsidRDefault="002B133A" w:rsidP="003D56F0">
            <w:pPr>
              <w:rPr>
                <w:rFonts w:eastAsia="Times New Roman"/>
                <w:color w:val="000000"/>
                <w:sz w:val="20"/>
                <w:szCs w:val="20"/>
              </w:rPr>
            </w:pPr>
            <w:r w:rsidRPr="003D56F0">
              <w:rPr>
                <w:sz w:val="20"/>
                <w:szCs w:val="20"/>
              </w:rPr>
              <w:t>Morgenstern paper reported days of drug use, which is assumed to be in line with prevalence. So as days of drug use change from 17 days to 6 days in the intervention, prevalence is assumed to change from 100% to 65%.</w:t>
            </w:r>
          </w:p>
        </w:tc>
      </w:tr>
      <w:tr w:rsidR="002B133A" w:rsidRPr="003D56F0" w14:paraId="4355D137" w14:textId="77777777" w:rsidTr="002B133A">
        <w:trPr>
          <w:trHeight w:val="900"/>
        </w:trPr>
        <w:tc>
          <w:tcPr>
            <w:tcW w:w="1995" w:type="pct"/>
            <w:tcBorders>
              <w:top w:val="nil"/>
              <w:left w:val="single" w:sz="4" w:space="0" w:color="auto"/>
              <w:bottom w:val="single" w:sz="4" w:space="0" w:color="auto"/>
              <w:right w:val="single" w:sz="4" w:space="0" w:color="auto"/>
            </w:tcBorders>
            <w:shd w:val="clear" w:color="auto" w:fill="auto"/>
            <w:hideMark/>
          </w:tcPr>
          <w:p w14:paraId="50E1BA5A" w14:textId="77777777" w:rsidR="002B133A" w:rsidRPr="003D56F0" w:rsidRDefault="002B133A" w:rsidP="00CC7EC2">
            <w:pPr>
              <w:rPr>
                <w:sz w:val="20"/>
                <w:szCs w:val="20"/>
              </w:rPr>
            </w:pPr>
            <w:r w:rsidRPr="003D56F0">
              <w:rPr>
                <w:sz w:val="20"/>
                <w:szCs w:val="20"/>
              </w:rPr>
              <w:t>Cocaine specific hospital costs</w:t>
            </w:r>
          </w:p>
        </w:tc>
        <w:tc>
          <w:tcPr>
            <w:tcW w:w="923" w:type="pct"/>
            <w:tcBorders>
              <w:top w:val="nil"/>
              <w:left w:val="nil"/>
              <w:bottom w:val="single" w:sz="4" w:space="0" w:color="auto"/>
              <w:right w:val="single" w:sz="4" w:space="0" w:color="auto"/>
            </w:tcBorders>
            <w:shd w:val="clear" w:color="auto" w:fill="auto"/>
            <w:hideMark/>
          </w:tcPr>
          <w:p w14:paraId="7EB6EB87" w14:textId="77777777" w:rsidR="002B133A" w:rsidRPr="003D56F0" w:rsidRDefault="002B133A" w:rsidP="00AD2788">
            <w:pPr>
              <w:rPr>
                <w:sz w:val="20"/>
                <w:szCs w:val="20"/>
              </w:rPr>
            </w:pPr>
            <w:r w:rsidRPr="003D56F0">
              <w:rPr>
                <w:sz w:val="20"/>
                <w:szCs w:val="20"/>
              </w:rPr>
              <w:t>£3.95 per cocaine user per year</w:t>
            </w:r>
          </w:p>
        </w:tc>
        <w:tc>
          <w:tcPr>
            <w:tcW w:w="2082" w:type="pct"/>
            <w:tcBorders>
              <w:top w:val="nil"/>
              <w:left w:val="nil"/>
              <w:bottom w:val="single" w:sz="4" w:space="0" w:color="auto"/>
              <w:right w:val="single" w:sz="4" w:space="0" w:color="auto"/>
            </w:tcBorders>
            <w:shd w:val="clear" w:color="auto" w:fill="auto"/>
            <w:hideMark/>
          </w:tcPr>
          <w:p w14:paraId="4A769C45" w14:textId="77777777" w:rsidR="002B133A" w:rsidRPr="003D56F0" w:rsidRDefault="002B133A" w:rsidP="003D56F0">
            <w:pPr>
              <w:rPr>
                <w:rFonts w:eastAsia="Times New Roman"/>
                <w:color w:val="000000"/>
                <w:sz w:val="20"/>
                <w:szCs w:val="20"/>
              </w:rPr>
            </w:pPr>
            <w:r w:rsidRPr="003D56F0">
              <w:rPr>
                <w:sz w:val="20"/>
                <w:szCs w:val="20"/>
              </w:rPr>
              <w:t xml:space="preserve">Based on 1624 admissions for cocaine poisoning or mental &amp; behavioural disorders due to cocaine (each costing £1,590) divided by 726,559 cocaine users aged 18-59, assuming 80% conveyed by ambulance. </w:t>
            </w:r>
          </w:p>
        </w:tc>
      </w:tr>
      <w:tr w:rsidR="002B133A" w:rsidRPr="003D56F0" w14:paraId="6C4BC28A" w14:textId="77777777" w:rsidTr="002B133A">
        <w:trPr>
          <w:trHeight w:val="900"/>
        </w:trPr>
        <w:tc>
          <w:tcPr>
            <w:tcW w:w="1995" w:type="pct"/>
            <w:tcBorders>
              <w:top w:val="nil"/>
              <w:left w:val="single" w:sz="4" w:space="0" w:color="auto"/>
              <w:bottom w:val="single" w:sz="4" w:space="0" w:color="auto"/>
              <w:right w:val="single" w:sz="4" w:space="0" w:color="auto"/>
            </w:tcBorders>
            <w:shd w:val="clear" w:color="auto" w:fill="auto"/>
            <w:hideMark/>
          </w:tcPr>
          <w:p w14:paraId="4E481621" w14:textId="77777777" w:rsidR="002B133A" w:rsidRPr="003D56F0" w:rsidRDefault="002B133A" w:rsidP="00CC7EC2">
            <w:pPr>
              <w:rPr>
                <w:sz w:val="20"/>
                <w:szCs w:val="20"/>
              </w:rPr>
            </w:pPr>
            <w:r w:rsidRPr="003D56F0">
              <w:rPr>
                <w:sz w:val="20"/>
                <w:szCs w:val="20"/>
              </w:rPr>
              <w:t>Cocaine related CVD hospital costs</w:t>
            </w:r>
          </w:p>
        </w:tc>
        <w:tc>
          <w:tcPr>
            <w:tcW w:w="923" w:type="pct"/>
            <w:tcBorders>
              <w:top w:val="nil"/>
              <w:left w:val="nil"/>
              <w:bottom w:val="single" w:sz="4" w:space="0" w:color="auto"/>
              <w:right w:val="single" w:sz="4" w:space="0" w:color="auto"/>
            </w:tcBorders>
            <w:shd w:val="clear" w:color="auto" w:fill="auto"/>
            <w:hideMark/>
          </w:tcPr>
          <w:p w14:paraId="3E85C016" w14:textId="77777777" w:rsidR="002B133A" w:rsidRPr="003D56F0" w:rsidRDefault="002B133A" w:rsidP="00AD2788">
            <w:pPr>
              <w:rPr>
                <w:sz w:val="20"/>
                <w:szCs w:val="20"/>
              </w:rPr>
            </w:pPr>
            <w:r w:rsidRPr="003D56F0">
              <w:rPr>
                <w:sz w:val="20"/>
                <w:szCs w:val="20"/>
              </w:rPr>
              <w:t>£8.52 per cocaine user per year</w:t>
            </w:r>
          </w:p>
        </w:tc>
        <w:tc>
          <w:tcPr>
            <w:tcW w:w="2082" w:type="pct"/>
            <w:tcBorders>
              <w:top w:val="nil"/>
              <w:left w:val="nil"/>
              <w:bottom w:val="single" w:sz="4" w:space="0" w:color="auto"/>
              <w:right w:val="single" w:sz="4" w:space="0" w:color="auto"/>
            </w:tcBorders>
            <w:shd w:val="clear" w:color="auto" w:fill="auto"/>
            <w:hideMark/>
          </w:tcPr>
          <w:p w14:paraId="2C26EC80" w14:textId="77777777" w:rsidR="002B133A" w:rsidRPr="003D56F0" w:rsidRDefault="002B133A" w:rsidP="003D56F0">
            <w:pPr>
              <w:rPr>
                <w:rFonts w:eastAsia="Times New Roman"/>
                <w:color w:val="000000"/>
                <w:sz w:val="20"/>
                <w:szCs w:val="20"/>
              </w:rPr>
            </w:pPr>
            <w:r w:rsidRPr="003D56F0">
              <w:rPr>
                <w:sz w:val="20"/>
                <w:szCs w:val="20"/>
              </w:rPr>
              <w:t>Based on 20% of 5,067 myocardial infarction admissions in 18-44 year olds (Qureshi et al 2001 estimated 1 in 4), plus 3% of 53,355 non-myocardial infarction CVD admissions in 18-44 year olds (based on Lucena et al.)</w:t>
            </w:r>
          </w:p>
        </w:tc>
      </w:tr>
      <w:tr w:rsidR="002B133A" w:rsidRPr="003D56F0" w14:paraId="22073DA7" w14:textId="77777777" w:rsidTr="002B133A">
        <w:trPr>
          <w:trHeight w:val="600"/>
        </w:trPr>
        <w:tc>
          <w:tcPr>
            <w:tcW w:w="1995" w:type="pct"/>
            <w:tcBorders>
              <w:top w:val="nil"/>
              <w:left w:val="single" w:sz="4" w:space="0" w:color="auto"/>
              <w:bottom w:val="single" w:sz="4" w:space="0" w:color="auto"/>
              <w:right w:val="single" w:sz="4" w:space="0" w:color="auto"/>
            </w:tcBorders>
            <w:shd w:val="clear" w:color="auto" w:fill="auto"/>
            <w:hideMark/>
          </w:tcPr>
          <w:p w14:paraId="31731262" w14:textId="77777777" w:rsidR="002B133A" w:rsidRPr="003D56F0" w:rsidRDefault="002B133A" w:rsidP="00CC7EC2">
            <w:pPr>
              <w:rPr>
                <w:sz w:val="20"/>
                <w:szCs w:val="20"/>
              </w:rPr>
            </w:pPr>
            <w:r w:rsidRPr="003D56F0">
              <w:rPr>
                <w:sz w:val="20"/>
                <w:szCs w:val="20"/>
              </w:rPr>
              <w:t>QALY loss from risk of future cocaine dependence</w:t>
            </w:r>
          </w:p>
        </w:tc>
        <w:tc>
          <w:tcPr>
            <w:tcW w:w="923" w:type="pct"/>
            <w:tcBorders>
              <w:top w:val="nil"/>
              <w:left w:val="nil"/>
              <w:bottom w:val="single" w:sz="4" w:space="0" w:color="auto"/>
              <w:right w:val="single" w:sz="4" w:space="0" w:color="auto"/>
            </w:tcBorders>
            <w:shd w:val="clear" w:color="auto" w:fill="auto"/>
            <w:hideMark/>
          </w:tcPr>
          <w:p w14:paraId="269502F5" w14:textId="77777777" w:rsidR="002B133A" w:rsidRPr="003D56F0" w:rsidRDefault="002B133A" w:rsidP="00AD2788">
            <w:pPr>
              <w:rPr>
                <w:sz w:val="20"/>
                <w:szCs w:val="20"/>
              </w:rPr>
            </w:pPr>
            <w:r w:rsidRPr="003D56F0">
              <w:rPr>
                <w:sz w:val="20"/>
                <w:szCs w:val="20"/>
              </w:rPr>
              <w:t>1.98 QALYs per 1000 users per year</w:t>
            </w:r>
          </w:p>
        </w:tc>
        <w:tc>
          <w:tcPr>
            <w:tcW w:w="2082" w:type="pct"/>
            <w:tcBorders>
              <w:top w:val="nil"/>
              <w:left w:val="nil"/>
              <w:bottom w:val="single" w:sz="4" w:space="0" w:color="auto"/>
              <w:right w:val="single" w:sz="4" w:space="0" w:color="auto"/>
            </w:tcBorders>
            <w:shd w:val="clear" w:color="auto" w:fill="auto"/>
            <w:hideMark/>
          </w:tcPr>
          <w:p w14:paraId="3D9F442D" w14:textId="77777777" w:rsidR="002B133A" w:rsidRPr="003D56F0" w:rsidRDefault="002B133A" w:rsidP="003D56F0">
            <w:pPr>
              <w:rPr>
                <w:rFonts w:eastAsia="Times New Roman"/>
                <w:color w:val="000000"/>
                <w:sz w:val="20"/>
                <w:szCs w:val="20"/>
              </w:rPr>
            </w:pPr>
            <w:r w:rsidRPr="003D56F0">
              <w:rPr>
                <w:sz w:val="20"/>
                <w:szCs w:val="20"/>
              </w:rPr>
              <w:t>Based on risk of dependence of 0.344% for 30-40 year olds from Wagner et al (2002) multiplied by 10 * 0.064 QALYs lost every six month from Pyne et al 2011).</w:t>
            </w:r>
          </w:p>
        </w:tc>
      </w:tr>
      <w:tr w:rsidR="002B133A" w:rsidRPr="003D56F0" w14:paraId="700D9C4C" w14:textId="77777777" w:rsidTr="002B133A">
        <w:trPr>
          <w:trHeight w:val="900"/>
        </w:trPr>
        <w:tc>
          <w:tcPr>
            <w:tcW w:w="1995" w:type="pct"/>
            <w:tcBorders>
              <w:top w:val="nil"/>
              <w:left w:val="single" w:sz="4" w:space="0" w:color="auto"/>
              <w:bottom w:val="single" w:sz="4" w:space="0" w:color="auto"/>
              <w:right w:val="single" w:sz="4" w:space="0" w:color="auto"/>
            </w:tcBorders>
            <w:shd w:val="clear" w:color="auto" w:fill="auto"/>
            <w:hideMark/>
          </w:tcPr>
          <w:p w14:paraId="0AD4F834" w14:textId="77777777" w:rsidR="002B133A" w:rsidRPr="003D56F0" w:rsidRDefault="002B133A" w:rsidP="00CC7EC2">
            <w:pPr>
              <w:rPr>
                <w:sz w:val="20"/>
                <w:szCs w:val="20"/>
              </w:rPr>
            </w:pPr>
            <w:r w:rsidRPr="003D56F0">
              <w:rPr>
                <w:sz w:val="20"/>
                <w:szCs w:val="20"/>
              </w:rPr>
              <w:t>QALYs lost from cocaine related deaths</w:t>
            </w:r>
          </w:p>
        </w:tc>
        <w:tc>
          <w:tcPr>
            <w:tcW w:w="923" w:type="pct"/>
            <w:tcBorders>
              <w:top w:val="nil"/>
              <w:left w:val="nil"/>
              <w:bottom w:val="single" w:sz="4" w:space="0" w:color="auto"/>
              <w:right w:val="single" w:sz="4" w:space="0" w:color="auto"/>
            </w:tcBorders>
            <w:shd w:val="clear" w:color="auto" w:fill="auto"/>
            <w:hideMark/>
          </w:tcPr>
          <w:p w14:paraId="27428FC6" w14:textId="77777777" w:rsidR="002B133A" w:rsidRPr="003D56F0" w:rsidRDefault="002B133A" w:rsidP="00AD2788">
            <w:pPr>
              <w:rPr>
                <w:sz w:val="20"/>
                <w:szCs w:val="20"/>
              </w:rPr>
            </w:pPr>
            <w:r w:rsidRPr="003D56F0">
              <w:rPr>
                <w:sz w:val="20"/>
                <w:szCs w:val="20"/>
              </w:rPr>
              <w:t>2.24 QALYs per 1000 users per year</w:t>
            </w:r>
          </w:p>
        </w:tc>
        <w:tc>
          <w:tcPr>
            <w:tcW w:w="2082" w:type="pct"/>
            <w:tcBorders>
              <w:top w:val="nil"/>
              <w:left w:val="nil"/>
              <w:bottom w:val="single" w:sz="4" w:space="0" w:color="auto"/>
              <w:right w:val="single" w:sz="4" w:space="0" w:color="auto"/>
            </w:tcBorders>
            <w:shd w:val="clear" w:color="auto" w:fill="auto"/>
            <w:hideMark/>
          </w:tcPr>
          <w:p w14:paraId="3F927134" w14:textId="77777777" w:rsidR="002B133A" w:rsidRPr="003D56F0" w:rsidRDefault="002B133A" w:rsidP="003D56F0">
            <w:pPr>
              <w:rPr>
                <w:rFonts w:eastAsia="Times New Roman"/>
                <w:color w:val="000000"/>
                <w:sz w:val="20"/>
                <w:szCs w:val="20"/>
              </w:rPr>
            </w:pPr>
            <w:r w:rsidRPr="003D56F0">
              <w:rPr>
                <w:sz w:val="20"/>
                <w:szCs w:val="20"/>
              </w:rPr>
              <w:t>Based on 17.7 discounted QALYs lost per death and 3% of CVD deaths (1586 deaths in men in 2014) aged&lt;45 being cocaine related , and 50% of cocaine specific deaths (74 deaths in 2014) being related to powder cocaine.</w:t>
            </w:r>
          </w:p>
        </w:tc>
      </w:tr>
      <w:tr w:rsidR="002B133A" w:rsidRPr="003D56F0" w14:paraId="533409FB" w14:textId="77777777" w:rsidTr="002B133A">
        <w:trPr>
          <w:trHeight w:val="900"/>
        </w:trPr>
        <w:tc>
          <w:tcPr>
            <w:tcW w:w="1995" w:type="pct"/>
            <w:tcBorders>
              <w:top w:val="nil"/>
              <w:left w:val="single" w:sz="4" w:space="0" w:color="auto"/>
              <w:bottom w:val="single" w:sz="4" w:space="0" w:color="auto"/>
              <w:right w:val="single" w:sz="4" w:space="0" w:color="auto"/>
            </w:tcBorders>
            <w:shd w:val="clear" w:color="auto" w:fill="auto"/>
            <w:hideMark/>
          </w:tcPr>
          <w:p w14:paraId="55320997" w14:textId="77777777" w:rsidR="002B133A" w:rsidRPr="003D56F0" w:rsidRDefault="002B133A" w:rsidP="00CC7EC2">
            <w:pPr>
              <w:rPr>
                <w:sz w:val="20"/>
                <w:szCs w:val="20"/>
              </w:rPr>
            </w:pPr>
            <w:r w:rsidRPr="003D56F0">
              <w:rPr>
                <w:sz w:val="20"/>
                <w:szCs w:val="20"/>
              </w:rPr>
              <w:t>Drug treatment costs</w:t>
            </w:r>
          </w:p>
        </w:tc>
        <w:tc>
          <w:tcPr>
            <w:tcW w:w="923" w:type="pct"/>
            <w:tcBorders>
              <w:top w:val="nil"/>
              <w:left w:val="nil"/>
              <w:bottom w:val="single" w:sz="4" w:space="0" w:color="auto"/>
              <w:right w:val="single" w:sz="4" w:space="0" w:color="auto"/>
            </w:tcBorders>
            <w:shd w:val="clear" w:color="auto" w:fill="auto"/>
            <w:hideMark/>
          </w:tcPr>
          <w:p w14:paraId="7BA6DAF7" w14:textId="77777777" w:rsidR="002B133A" w:rsidRPr="003D56F0" w:rsidRDefault="002B133A" w:rsidP="00AD2788">
            <w:pPr>
              <w:rPr>
                <w:sz w:val="20"/>
                <w:szCs w:val="20"/>
              </w:rPr>
            </w:pPr>
            <w:r w:rsidRPr="003D56F0">
              <w:rPr>
                <w:sz w:val="20"/>
                <w:szCs w:val="20"/>
              </w:rPr>
              <w:t>£22.81 per user per year</w:t>
            </w:r>
          </w:p>
        </w:tc>
        <w:tc>
          <w:tcPr>
            <w:tcW w:w="2082" w:type="pct"/>
            <w:tcBorders>
              <w:top w:val="nil"/>
              <w:left w:val="nil"/>
              <w:bottom w:val="single" w:sz="4" w:space="0" w:color="auto"/>
              <w:right w:val="single" w:sz="4" w:space="0" w:color="auto"/>
            </w:tcBorders>
            <w:shd w:val="clear" w:color="auto" w:fill="auto"/>
            <w:hideMark/>
          </w:tcPr>
          <w:p w14:paraId="4B2B3243" w14:textId="77777777" w:rsidR="002B133A" w:rsidRPr="003D56F0" w:rsidRDefault="002B133A" w:rsidP="003D56F0">
            <w:pPr>
              <w:rPr>
                <w:rFonts w:eastAsia="Times New Roman"/>
                <w:color w:val="000000"/>
                <w:sz w:val="20"/>
                <w:szCs w:val="20"/>
              </w:rPr>
            </w:pPr>
            <w:r w:rsidRPr="003D56F0">
              <w:rPr>
                <w:sz w:val="20"/>
                <w:szCs w:val="20"/>
              </w:rPr>
              <w:t>Based on 10,610 people in drug treatment in England with primary drug of cocaine in 2013/14 divided by estimated 726,559 cocaine users in England, multiplied by estimated £1,562 per cocaine user in treatment from PHE.</w:t>
            </w:r>
          </w:p>
        </w:tc>
      </w:tr>
      <w:tr w:rsidR="002B133A" w:rsidRPr="003D56F0" w14:paraId="39194797" w14:textId="77777777" w:rsidTr="002B133A">
        <w:trPr>
          <w:trHeight w:val="900"/>
        </w:trPr>
        <w:tc>
          <w:tcPr>
            <w:tcW w:w="1995" w:type="pct"/>
            <w:tcBorders>
              <w:top w:val="nil"/>
              <w:left w:val="single" w:sz="4" w:space="0" w:color="auto"/>
              <w:bottom w:val="single" w:sz="4" w:space="0" w:color="auto"/>
              <w:right w:val="single" w:sz="4" w:space="0" w:color="auto"/>
            </w:tcBorders>
            <w:shd w:val="clear" w:color="auto" w:fill="auto"/>
            <w:hideMark/>
          </w:tcPr>
          <w:p w14:paraId="0E6FD3A1" w14:textId="77777777" w:rsidR="002B133A" w:rsidRPr="003D56F0" w:rsidRDefault="002B133A" w:rsidP="00CC7EC2">
            <w:pPr>
              <w:rPr>
                <w:sz w:val="20"/>
                <w:szCs w:val="20"/>
              </w:rPr>
            </w:pPr>
            <w:r w:rsidRPr="003D56F0">
              <w:rPr>
                <w:sz w:val="20"/>
                <w:szCs w:val="20"/>
              </w:rPr>
              <w:t>Crime costs</w:t>
            </w:r>
          </w:p>
        </w:tc>
        <w:tc>
          <w:tcPr>
            <w:tcW w:w="923" w:type="pct"/>
            <w:tcBorders>
              <w:top w:val="nil"/>
              <w:left w:val="nil"/>
              <w:bottom w:val="single" w:sz="4" w:space="0" w:color="auto"/>
              <w:right w:val="single" w:sz="4" w:space="0" w:color="auto"/>
            </w:tcBorders>
            <w:shd w:val="clear" w:color="auto" w:fill="auto"/>
            <w:hideMark/>
          </w:tcPr>
          <w:p w14:paraId="73167B1C" w14:textId="77777777" w:rsidR="002B133A" w:rsidRPr="003D56F0" w:rsidRDefault="002B133A" w:rsidP="00AD2788">
            <w:pPr>
              <w:rPr>
                <w:sz w:val="20"/>
                <w:szCs w:val="20"/>
              </w:rPr>
            </w:pPr>
            <w:r w:rsidRPr="003D56F0">
              <w:rPr>
                <w:sz w:val="20"/>
                <w:szCs w:val="20"/>
              </w:rPr>
              <w:t>£18.10 per cocaine user per year</w:t>
            </w:r>
          </w:p>
        </w:tc>
        <w:tc>
          <w:tcPr>
            <w:tcW w:w="2082" w:type="pct"/>
            <w:tcBorders>
              <w:top w:val="nil"/>
              <w:left w:val="nil"/>
              <w:bottom w:val="single" w:sz="4" w:space="0" w:color="auto"/>
              <w:right w:val="single" w:sz="4" w:space="0" w:color="auto"/>
            </w:tcBorders>
            <w:shd w:val="clear" w:color="auto" w:fill="auto"/>
            <w:hideMark/>
          </w:tcPr>
          <w:p w14:paraId="407DE725" w14:textId="77777777" w:rsidR="002B133A" w:rsidRPr="003D56F0" w:rsidRDefault="002B133A" w:rsidP="003D56F0">
            <w:pPr>
              <w:rPr>
                <w:rFonts w:eastAsia="Times New Roman"/>
                <w:color w:val="000000"/>
                <w:sz w:val="20"/>
                <w:szCs w:val="20"/>
              </w:rPr>
            </w:pPr>
            <w:r w:rsidRPr="003D56F0">
              <w:rPr>
                <w:sz w:val="20"/>
                <w:szCs w:val="20"/>
              </w:rPr>
              <w:t>Based on 22.6% of 31,915 non-cannabis drug possession arrests = 7,207, multiplied by £1,925 from Godfrey (2002 inflated to 2015 prices) divided by 766,402 cocaine users in England &amp; Wales</w:t>
            </w:r>
          </w:p>
        </w:tc>
      </w:tr>
      <w:tr w:rsidR="002B133A" w:rsidRPr="003D56F0" w14:paraId="596A3AAD" w14:textId="77777777" w:rsidTr="002B133A">
        <w:trPr>
          <w:trHeight w:val="300"/>
        </w:trPr>
        <w:tc>
          <w:tcPr>
            <w:tcW w:w="1995" w:type="pct"/>
            <w:tcBorders>
              <w:top w:val="nil"/>
              <w:left w:val="single" w:sz="4" w:space="0" w:color="auto"/>
              <w:bottom w:val="single" w:sz="4" w:space="0" w:color="auto"/>
              <w:right w:val="single" w:sz="4" w:space="0" w:color="auto"/>
            </w:tcBorders>
            <w:shd w:val="clear" w:color="auto" w:fill="auto"/>
            <w:noWrap/>
            <w:vAlign w:val="bottom"/>
            <w:hideMark/>
          </w:tcPr>
          <w:p w14:paraId="19DC3AD5" w14:textId="77777777" w:rsidR="002B133A" w:rsidRPr="003D56F0" w:rsidRDefault="002B133A" w:rsidP="00CC7EC2">
            <w:pPr>
              <w:rPr>
                <w:sz w:val="20"/>
                <w:szCs w:val="20"/>
              </w:rPr>
            </w:pPr>
            <w:r w:rsidRPr="003D56F0">
              <w:rPr>
                <w:sz w:val="20"/>
                <w:szCs w:val="20"/>
              </w:rPr>
              <w:t>Total social costs per cocaine user per year</w:t>
            </w:r>
          </w:p>
        </w:tc>
        <w:tc>
          <w:tcPr>
            <w:tcW w:w="923" w:type="pct"/>
            <w:tcBorders>
              <w:top w:val="nil"/>
              <w:left w:val="nil"/>
              <w:bottom w:val="single" w:sz="4" w:space="0" w:color="auto"/>
              <w:right w:val="single" w:sz="4" w:space="0" w:color="auto"/>
            </w:tcBorders>
            <w:shd w:val="clear" w:color="auto" w:fill="auto"/>
            <w:noWrap/>
            <w:vAlign w:val="bottom"/>
            <w:hideMark/>
          </w:tcPr>
          <w:p w14:paraId="30C9C217" w14:textId="77777777" w:rsidR="002B133A" w:rsidRPr="003D56F0" w:rsidRDefault="002B133A" w:rsidP="00AD2788">
            <w:pPr>
              <w:rPr>
                <w:sz w:val="20"/>
                <w:szCs w:val="20"/>
              </w:rPr>
            </w:pPr>
            <w:r w:rsidRPr="003D56F0">
              <w:rPr>
                <w:sz w:val="20"/>
                <w:szCs w:val="20"/>
              </w:rPr>
              <w:t>£53.38</w:t>
            </w:r>
          </w:p>
        </w:tc>
        <w:tc>
          <w:tcPr>
            <w:tcW w:w="2082" w:type="pct"/>
            <w:tcBorders>
              <w:top w:val="nil"/>
              <w:left w:val="nil"/>
              <w:bottom w:val="single" w:sz="4" w:space="0" w:color="auto"/>
              <w:right w:val="single" w:sz="4" w:space="0" w:color="auto"/>
            </w:tcBorders>
            <w:shd w:val="clear" w:color="auto" w:fill="auto"/>
            <w:noWrap/>
            <w:vAlign w:val="bottom"/>
            <w:hideMark/>
          </w:tcPr>
          <w:p w14:paraId="4727B57C" w14:textId="77777777" w:rsidR="002B133A" w:rsidRPr="003D56F0" w:rsidRDefault="002B133A" w:rsidP="003D56F0">
            <w:pPr>
              <w:rPr>
                <w:rFonts w:eastAsia="Times New Roman"/>
                <w:color w:val="000000"/>
                <w:sz w:val="20"/>
                <w:szCs w:val="20"/>
              </w:rPr>
            </w:pPr>
            <w:r w:rsidRPr="003D56F0">
              <w:rPr>
                <w:sz w:val="20"/>
                <w:szCs w:val="20"/>
              </w:rPr>
              <w:t>Summed from above</w:t>
            </w:r>
          </w:p>
        </w:tc>
      </w:tr>
      <w:tr w:rsidR="002B133A" w:rsidRPr="003D56F0" w14:paraId="49A2E128" w14:textId="77777777" w:rsidTr="002B133A">
        <w:trPr>
          <w:trHeight w:val="300"/>
        </w:trPr>
        <w:tc>
          <w:tcPr>
            <w:tcW w:w="1995" w:type="pct"/>
            <w:tcBorders>
              <w:top w:val="nil"/>
              <w:left w:val="single" w:sz="4" w:space="0" w:color="auto"/>
              <w:bottom w:val="single" w:sz="4" w:space="0" w:color="auto"/>
              <w:right w:val="single" w:sz="4" w:space="0" w:color="auto"/>
            </w:tcBorders>
            <w:shd w:val="clear" w:color="auto" w:fill="auto"/>
            <w:noWrap/>
            <w:vAlign w:val="bottom"/>
            <w:hideMark/>
          </w:tcPr>
          <w:p w14:paraId="5B59D683" w14:textId="77777777" w:rsidR="002B133A" w:rsidRPr="003D56F0" w:rsidRDefault="002B133A" w:rsidP="00CC7EC2">
            <w:pPr>
              <w:rPr>
                <w:sz w:val="20"/>
                <w:szCs w:val="20"/>
              </w:rPr>
            </w:pPr>
            <w:r w:rsidRPr="003D56F0">
              <w:rPr>
                <w:sz w:val="20"/>
                <w:szCs w:val="20"/>
              </w:rPr>
              <w:lastRenderedPageBreak/>
              <w:t>Total QALYs lost per cocaine user per year</w:t>
            </w:r>
          </w:p>
        </w:tc>
        <w:tc>
          <w:tcPr>
            <w:tcW w:w="923" w:type="pct"/>
            <w:tcBorders>
              <w:top w:val="nil"/>
              <w:left w:val="nil"/>
              <w:bottom w:val="single" w:sz="4" w:space="0" w:color="auto"/>
              <w:right w:val="single" w:sz="4" w:space="0" w:color="auto"/>
            </w:tcBorders>
            <w:shd w:val="clear" w:color="auto" w:fill="auto"/>
            <w:noWrap/>
            <w:vAlign w:val="bottom"/>
            <w:hideMark/>
          </w:tcPr>
          <w:p w14:paraId="20874D5D" w14:textId="77777777" w:rsidR="002B133A" w:rsidRPr="003D56F0" w:rsidRDefault="002B133A" w:rsidP="00AD2788">
            <w:pPr>
              <w:rPr>
                <w:sz w:val="20"/>
                <w:szCs w:val="20"/>
              </w:rPr>
            </w:pPr>
            <w:r w:rsidRPr="003D56F0">
              <w:rPr>
                <w:sz w:val="20"/>
                <w:szCs w:val="20"/>
              </w:rPr>
              <w:t>0.004223107</w:t>
            </w:r>
          </w:p>
        </w:tc>
        <w:tc>
          <w:tcPr>
            <w:tcW w:w="2082" w:type="pct"/>
            <w:tcBorders>
              <w:top w:val="nil"/>
              <w:left w:val="nil"/>
              <w:bottom w:val="single" w:sz="4" w:space="0" w:color="auto"/>
              <w:right w:val="single" w:sz="4" w:space="0" w:color="auto"/>
            </w:tcBorders>
            <w:shd w:val="clear" w:color="auto" w:fill="auto"/>
            <w:noWrap/>
            <w:vAlign w:val="bottom"/>
            <w:hideMark/>
          </w:tcPr>
          <w:p w14:paraId="01AFA03C" w14:textId="77777777" w:rsidR="002B133A" w:rsidRPr="003D56F0" w:rsidRDefault="002B133A" w:rsidP="003D56F0">
            <w:pPr>
              <w:rPr>
                <w:rFonts w:eastAsia="Times New Roman"/>
                <w:color w:val="000000"/>
                <w:sz w:val="20"/>
                <w:szCs w:val="20"/>
              </w:rPr>
            </w:pPr>
            <w:r w:rsidRPr="003D56F0">
              <w:rPr>
                <w:sz w:val="20"/>
                <w:szCs w:val="20"/>
              </w:rPr>
              <w:t>Summed from above</w:t>
            </w:r>
          </w:p>
        </w:tc>
      </w:tr>
    </w:tbl>
    <w:p w14:paraId="7D30E53F" w14:textId="77777777" w:rsidR="002B133A" w:rsidRPr="003D56F0" w:rsidRDefault="002B133A" w:rsidP="00CC7EC2">
      <w:pPr>
        <w:pStyle w:val="Heading4"/>
        <w:rPr>
          <w:sz w:val="20"/>
          <w:szCs w:val="20"/>
        </w:rPr>
      </w:pPr>
      <w:r w:rsidRPr="003D56F0">
        <w:rPr>
          <w:sz w:val="20"/>
          <w:szCs w:val="20"/>
        </w:rPr>
        <w:t>Sensitivity Analysis Parameters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65"/>
        <w:gridCol w:w="1419"/>
        <w:gridCol w:w="708"/>
        <w:gridCol w:w="690"/>
      </w:tblGrid>
      <w:tr w:rsidR="002B133A" w:rsidRPr="003D56F0" w14:paraId="214B7658" w14:textId="77777777" w:rsidTr="00AC1AF3">
        <w:trPr>
          <w:trHeight w:val="663"/>
        </w:trPr>
        <w:tc>
          <w:tcPr>
            <w:tcW w:w="3449" w:type="pct"/>
            <w:shd w:val="clear" w:color="auto" w:fill="auto"/>
            <w:noWrap/>
            <w:tcMar>
              <w:top w:w="28" w:type="dxa"/>
              <w:left w:w="28" w:type="dxa"/>
              <w:bottom w:w="28" w:type="dxa"/>
              <w:right w:w="28" w:type="dxa"/>
            </w:tcMar>
            <w:hideMark/>
          </w:tcPr>
          <w:p w14:paraId="64D1C5D0" w14:textId="77777777" w:rsidR="002B133A" w:rsidRPr="003D56F0" w:rsidRDefault="002B133A" w:rsidP="003D56F0">
            <w:pPr>
              <w:rPr>
                <w:rFonts w:eastAsia="Times New Roman"/>
                <w:color w:val="000000"/>
                <w:sz w:val="20"/>
                <w:szCs w:val="20"/>
              </w:rPr>
            </w:pPr>
            <w:r w:rsidRPr="003D56F0">
              <w:rPr>
                <w:sz w:val="20"/>
                <w:szCs w:val="20"/>
              </w:rPr>
              <w:t>Variable description</w:t>
            </w:r>
          </w:p>
        </w:tc>
        <w:tc>
          <w:tcPr>
            <w:tcW w:w="781" w:type="pct"/>
            <w:shd w:val="clear" w:color="auto" w:fill="auto"/>
            <w:noWrap/>
            <w:tcMar>
              <w:top w:w="28" w:type="dxa"/>
              <w:left w:w="28" w:type="dxa"/>
              <w:bottom w:w="28" w:type="dxa"/>
              <w:right w:w="28" w:type="dxa"/>
            </w:tcMar>
            <w:hideMark/>
          </w:tcPr>
          <w:p w14:paraId="5E9EB4F9" w14:textId="77777777" w:rsidR="002B133A" w:rsidRPr="003D56F0" w:rsidRDefault="002B133A" w:rsidP="003D56F0">
            <w:pPr>
              <w:rPr>
                <w:sz w:val="20"/>
                <w:szCs w:val="20"/>
              </w:rPr>
            </w:pPr>
            <w:r w:rsidRPr="003D56F0">
              <w:rPr>
                <w:sz w:val="20"/>
                <w:szCs w:val="20"/>
              </w:rPr>
              <w:t>Parameters</w:t>
            </w:r>
          </w:p>
        </w:tc>
        <w:tc>
          <w:tcPr>
            <w:tcW w:w="390" w:type="pct"/>
            <w:shd w:val="clear" w:color="auto" w:fill="auto"/>
            <w:noWrap/>
            <w:tcMar>
              <w:top w:w="28" w:type="dxa"/>
              <w:left w:w="28" w:type="dxa"/>
              <w:bottom w:w="28" w:type="dxa"/>
              <w:right w:w="28" w:type="dxa"/>
            </w:tcMar>
            <w:hideMark/>
          </w:tcPr>
          <w:p w14:paraId="09918A54" w14:textId="77777777" w:rsidR="002B133A" w:rsidRPr="003D56F0" w:rsidRDefault="002B133A" w:rsidP="003D56F0">
            <w:pPr>
              <w:rPr>
                <w:sz w:val="20"/>
                <w:szCs w:val="20"/>
              </w:rPr>
            </w:pPr>
            <w:r w:rsidRPr="003D56F0">
              <w:rPr>
                <w:sz w:val="20"/>
                <w:szCs w:val="20"/>
              </w:rPr>
              <w:t xml:space="preserve">Low </w:t>
            </w:r>
          </w:p>
        </w:tc>
        <w:tc>
          <w:tcPr>
            <w:tcW w:w="380" w:type="pct"/>
            <w:shd w:val="clear" w:color="auto" w:fill="auto"/>
            <w:noWrap/>
            <w:tcMar>
              <w:top w:w="28" w:type="dxa"/>
              <w:left w:w="28" w:type="dxa"/>
              <w:bottom w:w="28" w:type="dxa"/>
              <w:right w:w="28" w:type="dxa"/>
            </w:tcMar>
            <w:hideMark/>
          </w:tcPr>
          <w:p w14:paraId="2F747223" w14:textId="77777777" w:rsidR="002B133A" w:rsidRPr="003D56F0" w:rsidRDefault="002B133A" w:rsidP="003D56F0">
            <w:pPr>
              <w:rPr>
                <w:sz w:val="20"/>
                <w:szCs w:val="20"/>
              </w:rPr>
            </w:pPr>
            <w:r w:rsidRPr="003D56F0">
              <w:rPr>
                <w:sz w:val="20"/>
                <w:szCs w:val="20"/>
              </w:rPr>
              <w:t>High</w:t>
            </w:r>
          </w:p>
        </w:tc>
      </w:tr>
      <w:tr w:rsidR="002B133A" w:rsidRPr="003D56F0" w14:paraId="558B80B7" w14:textId="77777777" w:rsidTr="00AC1AF3">
        <w:trPr>
          <w:trHeight w:val="300"/>
        </w:trPr>
        <w:tc>
          <w:tcPr>
            <w:tcW w:w="3449" w:type="pct"/>
            <w:shd w:val="clear" w:color="auto" w:fill="auto"/>
            <w:noWrap/>
            <w:tcMar>
              <w:top w:w="28" w:type="dxa"/>
              <w:left w:w="28" w:type="dxa"/>
              <w:bottom w:w="28" w:type="dxa"/>
              <w:right w:w="28" w:type="dxa"/>
            </w:tcMar>
            <w:hideMark/>
          </w:tcPr>
          <w:p w14:paraId="6707C856" w14:textId="77777777" w:rsidR="002B133A" w:rsidRPr="003D56F0" w:rsidRDefault="002B133A" w:rsidP="003D56F0">
            <w:pPr>
              <w:rPr>
                <w:sz w:val="20"/>
                <w:szCs w:val="20"/>
              </w:rPr>
            </w:pPr>
            <w:r w:rsidRPr="003D56F0">
              <w:rPr>
                <w:sz w:val="20"/>
                <w:szCs w:val="20"/>
              </w:rPr>
              <w:t>Average drug use over 2 years in scenario 1 (intervention)</w:t>
            </w:r>
          </w:p>
        </w:tc>
        <w:tc>
          <w:tcPr>
            <w:tcW w:w="781" w:type="pct"/>
            <w:shd w:val="clear" w:color="auto" w:fill="auto"/>
            <w:noWrap/>
            <w:tcMar>
              <w:top w:w="28" w:type="dxa"/>
              <w:left w:w="28" w:type="dxa"/>
              <w:bottom w:w="28" w:type="dxa"/>
              <w:right w:w="28" w:type="dxa"/>
            </w:tcMar>
            <w:hideMark/>
          </w:tcPr>
          <w:p w14:paraId="309D7830" w14:textId="77777777" w:rsidR="002B133A" w:rsidRPr="003D56F0" w:rsidRDefault="002B133A" w:rsidP="003D56F0">
            <w:pPr>
              <w:rPr>
                <w:rFonts w:eastAsia="Times New Roman"/>
                <w:color w:val="000000"/>
                <w:sz w:val="20"/>
                <w:szCs w:val="20"/>
              </w:rPr>
            </w:pPr>
            <w:r w:rsidRPr="003D56F0">
              <w:rPr>
                <w:sz w:val="20"/>
                <w:szCs w:val="20"/>
              </w:rPr>
              <w:t>0.68</w:t>
            </w:r>
          </w:p>
        </w:tc>
        <w:tc>
          <w:tcPr>
            <w:tcW w:w="390" w:type="pct"/>
            <w:shd w:val="clear" w:color="auto" w:fill="auto"/>
            <w:noWrap/>
            <w:tcMar>
              <w:top w:w="28" w:type="dxa"/>
              <w:left w:w="28" w:type="dxa"/>
              <w:bottom w:w="28" w:type="dxa"/>
              <w:right w:w="28" w:type="dxa"/>
            </w:tcMar>
            <w:hideMark/>
          </w:tcPr>
          <w:p w14:paraId="2418A753" w14:textId="77777777" w:rsidR="002B133A" w:rsidRPr="003D56F0" w:rsidRDefault="002B133A" w:rsidP="003D56F0">
            <w:pPr>
              <w:rPr>
                <w:rFonts w:eastAsia="Times New Roman"/>
                <w:color w:val="000000"/>
                <w:sz w:val="20"/>
                <w:szCs w:val="20"/>
              </w:rPr>
            </w:pPr>
            <w:r w:rsidRPr="003D56F0">
              <w:rPr>
                <w:sz w:val="20"/>
                <w:szCs w:val="20"/>
              </w:rPr>
              <w:t>0.51</w:t>
            </w:r>
          </w:p>
        </w:tc>
        <w:tc>
          <w:tcPr>
            <w:tcW w:w="380" w:type="pct"/>
            <w:shd w:val="clear" w:color="auto" w:fill="auto"/>
            <w:noWrap/>
            <w:tcMar>
              <w:top w:w="28" w:type="dxa"/>
              <w:left w:w="28" w:type="dxa"/>
              <w:bottom w:w="28" w:type="dxa"/>
              <w:right w:w="28" w:type="dxa"/>
            </w:tcMar>
            <w:hideMark/>
          </w:tcPr>
          <w:p w14:paraId="60D7E57B" w14:textId="77777777" w:rsidR="002B133A" w:rsidRPr="003D56F0" w:rsidRDefault="002B133A" w:rsidP="003D56F0">
            <w:pPr>
              <w:rPr>
                <w:rFonts w:eastAsia="Times New Roman"/>
                <w:color w:val="000000"/>
                <w:sz w:val="20"/>
                <w:szCs w:val="20"/>
              </w:rPr>
            </w:pPr>
            <w:r w:rsidRPr="003D56F0">
              <w:rPr>
                <w:sz w:val="20"/>
                <w:szCs w:val="20"/>
              </w:rPr>
              <w:t>0.85</w:t>
            </w:r>
          </w:p>
        </w:tc>
      </w:tr>
      <w:tr w:rsidR="002B133A" w:rsidRPr="003D56F0" w14:paraId="4226F514" w14:textId="77777777" w:rsidTr="00AC1AF3">
        <w:trPr>
          <w:trHeight w:val="300"/>
        </w:trPr>
        <w:tc>
          <w:tcPr>
            <w:tcW w:w="3449" w:type="pct"/>
            <w:shd w:val="clear" w:color="auto" w:fill="auto"/>
            <w:noWrap/>
            <w:tcMar>
              <w:top w:w="28" w:type="dxa"/>
              <w:left w:w="28" w:type="dxa"/>
              <w:bottom w:w="28" w:type="dxa"/>
              <w:right w:w="28" w:type="dxa"/>
            </w:tcMar>
            <w:hideMark/>
          </w:tcPr>
          <w:p w14:paraId="63D5CEEF" w14:textId="77777777" w:rsidR="002B133A" w:rsidRPr="003D56F0" w:rsidRDefault="002B133A" w:rsidP="003D56F0">
            <w:pPr>
              <w:rPr>
                <w:rFonts w:eastAsia="Times New Roman"/>
                <w:color w:val="000000"/>
                <w:sz w:val="20"/>
                <w:szCs w:val="20"/>
              </w:rPr>
            </w:pPr>
            <w:r w:rsidRPr="003D56F0">
              <w:rPr>
                <w:sz w:val="20"/>
                <w:szCs w:val="20"/>
              </w:rPr>
              <w:t>Average drug use over 2 years in scenario 1(comparator)</w:t>
            </w:r>
          </w:p>
        </w:tc>
        <w:tc>
          <w:tcPr>
            <w:tcW w:w="781" w:type="pct"/>
            <w:shd w:val="clear" w:color="auto" w:fill="auto"/>
            <w:noWrap/>
            <w:tcMar>
              <w:top w:w="28" w:type="dxa"/>
              <w:left w:w="28" w:type="dxa"/>
              <w:bottom w:w="28" w:type="dxa"/>
              <w:right w:w="28" w:type="dxa"/>
            </w:tcMar>
            <w:hideMark/>
          </w:tcPr>
          <w:p w14:paraId="1C709A97" w14:textId="77777777" w:rsidR="002B133A" w:rsidRPr="003D56F0" w:rsidRDefault="002B133A" w:rsidP="003D56F0">
            <w:pPr>
              <w:rPr>
                <w:rFonts w:eastAsia="Times New Roman"/>
                <w:color w:val="000000"/>
                <w:sz w:val="20"/>
                <w:szCs w:val="20"/>
              </w:rPr>
            </w:pPr>
            <w:r w:rsidRPr="003D56F0">
              <w:rPr>
                <w:sz w:val="20"/>
                <w:szCs w:val="20"/>
              </w:rPr>
              <w:t>0.84</w:t>
            </w:r>
          </w:p>
        </w:tc>
        <w:tc>
          <w:tcPr>
            <w:tcW w:w="390" w:type="pct"/>
            <w:shd w:val="clear" w:color="auto" w:fill="auto"/>
            <w:noWrap/>
            <w:tcMar>
              <w:top w:w="28" w:type="dxa"/>
              <w:left w:w="28" w:type="dxa"/>
              <w:bottom w:w="28" w:type="dxa"/>
              <w:right w:w="28" w:type="dxa"/>
            </w:tcMar>
            <w:hideMark/>
          </w:tcPr>
          <w:p w14:paraId="26E75EAF" w14:textId="77777777" w:rsidR="002B133A" w:rsidRPr="003D56F0" w:rsidRDefault="002B133A" w:rsidP="003D56F0">
            <w:pPr>
              <w:rPr>
                <w:rFonts w:eastAsia="Times New Roman"/>
                <w:color w:val="000000"/>
                <w:sz w:val="20"/>
                <w:szCs w:val="20"/>
              </w:rPr>
            </w:pPr>
            <w:r w:rsidRPr="003D56F0">
              <w:rPr>
                <w:sz w:val="20"/>
                <w:szCs w:val="20"/>
              </w:rPr>
              <w:t>0.63</w:t>
            </w:r>
          </w:p>
        </w:tc>
        <w:tc>
          <w:tcPr>
            <w:tcW w:w="380" w:type="pct"/>
            <w:shd w:val="clear" w:color="auto" w:fill="auto"/>
            <w:noWrap/>
            <w:tcMar>
              <w:top w:w="28" w:type="dxa"/>
              <w:left w:w="28" w:type="dxa"/>
              <w:bottom w:w="28" w:type="dxa"/>
              <w:right w:w="28" w:type="dxa"/>
            </w:tcMar>
            <w:hideMark/>
          </w:tcPr>
          <w:p w14:paraId="15283286" w14:textId="77777777" w:rsidR="002B133A" w:rsidRPr="003D56F0" w:rsidRDefault="002B133A" w:rsidP="003D56F0">
            <w:pPr>
              <w:rPr>
                <w:rFonts w:eastAsia="Times New Roman"/>
                <w:color w:val="000000"/>
                <w:sz w:val="20"/>
                <w:szCs w:val="20"/>
              </w:rPr>
            </w:pPr>
            <w:r w:rsidRPr="003D56F0">
              <w:rPr>
                <w:sz w:val="20"/>
                <w:szCs w:val="20"/>
              </w:rPr>
              <w:t>1.05</w:t>
            </w:r>
          </w:p>
        </w:tc>
      </w:tr>
      <w:tr w:rsidR="002B133A" w:rsidRPr="003D56F0" w14:paraId="7C03B562" w14:textId="77777777" w:rsidTr="00AC1AF3">
        <w:trPr>
          <w:trHeight w:val="300"/>
        </w:trPr>
        <w:tc>
          <w:tcPr>
            <w:tcW w:w="3449" w:type="pct"/>
            <w:shd w:val="clear" w:color="auto" w:fill="auto"/>
            <w:noWrap/>
            <w:tcMar>
              <w:top w:w="28" w:type="dxa"/>
              <w:left w:w="28" w:type="dxa"/>
              <w:bottom w:w="28" w:type="dxa"/>
              <w:right w:w="28" w:type="dxa"/>
            </w:tcMar>
            <w:hideMark/>
          </w:tcPr>
          <w:p w14:paraId="6B94D528" w14:textId="77777777" w:rsidR="002B133A" w:rsidRPr="003D56F0" w:rsidRDefault="002B133A" w:rsidP="003D56F0">
            <w:pPr>
              <w:rPr>
                <w:rFonts w:eastAsia="Times New Roman"/>
                <w:color w:val="000000"/>
                <w:sz w:val="20"/>
                <w:szCs w:val="20"/>
              </w:rPr>
            </w:pPr>
            <w:r w:rsidRPr="003D56F0">
              <w:rPr>
                <w:sz w:val="20"/>
                <w:szCs w:val="20"/>
              </w:rPr>
              <w:t>Average drug use over 2 years in scenario 2 (intervention)</w:t>
            </w:r>
          </w:p>
        </w:tc>
        <w:tc>
          <w:tcPr>
            <w:tcW w:w="781" w:type="pct"/>
            <w:shd w:val="clear" w:color="auto" w:fill="auto"/>
            <w:noWrap/>
            <w:tcMar>
              <w:top w:w="28" w:type="dxa"/>
              <w:left w:w="28" w:type="dxa"/>
              <w:bottom w:w="28" w:type="dxa"/>
              <w:right w:w="28" w:type="dxa"/>
            </w:tcMar>
            <w:hideMark/>
          </w:tcPr>
          <w:p w14:paraId="47C25804" w14:textId="77777777" w:rsidR="002B133A" w:rsidRPr="003D56F0" w:rsidRDefault="002B133A" w:rsidP="003D56F0">
            <w:pPr>
              <w:rPr>
                <w:rFonts w:eastAsia="Times New Roman"/>
                <w:color w:val="000000"/>
                <w:sz w:val="20"/>
                <w:szCs w:val="20"/>
              </w:rPr>
            </w:pPr>
            <w:r w:rsidRPr="003D56F0">
              <w:rPr>
                <w:sz w:val="20"/>
                <w:szCs w:val="20"/>
              </w:rPr>
              <w:t>0.38</w:t>
            </w:r>
          </w:p>
        </w:tc>
        <w:tc>
          <w:tcPr>
            <w:tcW w:w="390" w:type="pct"/>
            <w:shd w:val="clear" w:color="auto" w:fill="auto"/>
            <w:noWrap/>
            <w:tcMar>
              <w:top w:w="28" w:type="dxa"/>
              <w:left w:w="28" w:type="dxa"/>
              <w:bottom w:w="28" w:type="dxa"/>
              <w:right w:w="28" w:type="dxa"/>
            </w:tcMar>
            <w:hideMark/>
          </w:tcPr>
          <w:p w14:paraId="05B76E4B" w14:textId="77777777" w:rsidR="002B133A" w:rsidRPr="003D56F0" w:rsidRDefault="002B133A" w:rsidP="003D56F0">
            <w:pPr>
              <w:rPr>
                <w:rFonts w:eastAsia="Times New Roman"/>
                <w:color w:val="000000"/>
                <w:sz w:val="20"/>
                <w:szCs w:val="20"/>
              </w:rPr>
            </w:pPr>
            <w:r w:rsidRPr="003D56F0">
              <w:rPr>
                <w:sz w:val="20"/>
                <w:szCs w:val="20"/>
              </w:rPr>
              <w:t>0.28</w:t>
            </w:r>
          </w:p>
        </w:tc>
        <w:tc>
          <w:tcPr>
            <w:tcW w:w="380" w:type="pct"/>
            <w:shd w:val="clear" w:color="auto" w:fill="auto"/>
            <w:noWrap/>
            <w:tcMar>
              <w:top w:w="28" w:type="dxa"/>
              <w:left w:w="28" w:type="dxa"/>
              <w:bottom w:w="28" w:type="dxa"/>
              <w:right w:w="28" w:type="dxa"/>
            </w:tcMar>
            <w:hideMark/>
          </w:tcPr>
          <w:p w14:paraId="690EE8BE" w14:textId="77777777" w:rsidR="002B133A" w:rsidRPr="003D56F0" w:rsidRDefault="002B133A" w:rsidP="003D56F0">
            <w:pPr>
              <w:rPr>
                <w:rFonts w:eastAsia="Times New Roman"/>
                <w:color w:val="000000"/>
                <w:sz w:val="20"/>
                <w:szCs w:val="20"/>
              </w:rPr>
            </w:pPr>
            <w:r w:rsidRPr="003D56F0">
              <w:rPr>
                <w:sz w:val="20"/>
                <w:szCs w:val="20"/>
              </w:rPr>
              <w:t>0.47</w:t>
            </w:r>
          </w:p>
        </w:tc>
      </w:tr>
      <w:tr w:rsidR="002B133A" w:rsidRPr="003D56F0" w14:paraId="4F0B247B" w14:textId="77777777" w:rsidTr="00AC1AF3">
        <w:trPr>
          <w:trHeight w:val="300"/>
        </w:trPr>
        <w:tc>
          <w:tcPr>
            <w:tcW w:w="3449" w:type="pct"/>
            <w:shd w:val="clear" w:color="auto" w:fill="auto"/>
            <w:noWrap/>
            <w:tcMar>
              <w:top w:w="28" w:type="dxa"/>
              <w:left w:w="28" w:type="dxa"/>
              <w:bottom w:w="28" w:type="dxa"/>
              <w:right w:w="28" w:type="dxa"/>
            </w:tcMar>
            <w:hideMark/>
          </w:tcPr>
          <w:p w14:paraId="3552742D" w14:textId="77777777" w:rsidR="002B133A" w:rsidRPr="003D56F0" w:rsidRDefault="002B133A" w:rsidP="003D56F0">
            <w:pPr>
              <w:rPr>
                <w:rFonts w:eastAsia="Times New Roman"/>
                <w:color w:val="000000"/>
                <w:sz w:val="20"/>
                <w:szCs w:val="20"/>
              </w:rPr>
            </w:pPr>
            <w:r w:rsidRPr="003D56F0">
              <w:rPr>
                <w:sz w:val="20"/>
                <w:szCs w:val="20"/>
              </w:rPr>
              <w:t>Average drug use over 2 years  in scenario 2(comparator)</w:t>
            </w:r>
          </w:p>
        </w:tc>
        <w:tc>
          <w:tcPr>
            <w:tcW w:w="781" w:type="pct"/>
            <w:shd w:val="clear" w:color="auto" w:fill="auto"/>
            <w:noWrap/>
            <w:tcMar>
              <w:top w:w="28" w:type="dxa"/>
              <w:left w:w="28" w:type="dxa"/>
              <w:bottom w:w="28" w:type="dxa"/>
              <w:right w:w="28" w:type="dxa"/>
            </w:tcMar>
            <w:hideMark/>
          </w:tcPr>
          <w:p w14:paraId="373FBAB0" w14:textId="77777777" w:rsidR="002B133A" w:rsidRPr="003D56F0" w:rsidRDefault="002B133A" w:rsidP="003D56F0">
            <w:pPr>
              <w:rPr>
                <w:rFonts w:eastAsia="Times New Roman"/>
                <w:color w:val="000000"/>
                <w:sz w:val="20"/>
                <w:szCs w:val="20"/>
              </w:rPr>
            </w:pPr>
            <w:r w:rsidRPr="003D56F0">
              <w:rPr>
                <w:sz w:val="20"/>
                <w:szCs w:val="20"/>
              </w:rPr>
              <w:t>0.65</w:t>
            </w:r>
          </w:p>
        </w:tc>
        <w:tc>
          <w:tcPr>
            <w:tcW w:w="390" w:type="pct"/>
            <w:shd w:val="clear" w:color="auto" w:fill="auto"/>
            <w:noWrap/>
            <w:tcMar>
              <w:top w:w="28" w:type="dxa"/>
              <w:left w:w="28" w:type="dxa"/>
              <w:bottom w:w="28" w:type="dxa"/>
              <w:right w:w="28" w:type="dxa"/>
            </w:tcMar>
            <w:hideMark/>
          </w:tcPr>
          <w:p w14:paraId="22E9D1B3" w14:textId="77777777" w:rsidR="002B133A" w:rsidRPr="003D56F0" w:rsidRDefault="002B133A" w:rsidP="003D56F0">
            <w:pPr>
              <w:rPr>
                <w:rFonts w:eastAsia="Times New Roman"/>
                <w:color w:val="000000"/>
                <w:sz w:val="20"/>
                <w:szCs w:val="20"/>
              </w:rPr>
            </w:pPr>
            <w:r w:rsidRPr="003D56F0">
              <w:rPr>
                <w:sz w:val="20"/>
                <w:szCs w:val="20"/>
              </w:rPr>
              <w:t>0.49</w:t>
            </w:r>
          </w:p>
        </w:tc>
        <w:tc>
          <w:tcPr>
            <w:tcW w:w="380" w:type="pct"/>
            <w:shd w:val="clear" w:color="auto" w:fill="auto"/>
            <w:noWrap/>
            <w:tcMar>
              <w:top w:w="28" w:type="dxa"/>
              <w:left w:w="28" w:type="dxa"/>
              <w:bottom w:w="28" w:type="dxa"/>
              <w:right w:w="28" w:type="dxa"/>
            </w:tcMar>
            <w:hideMark/>
          </w:tcPr>
          <w:p w14:paraId="7F1E78BF" w14:textId="77777777" w:rsidR="002B133A" w:rsidRPr="003D56F0" w:rsidRDefault="002B133A" w:rsidP="003D56F0">
            <w:pPr>
              <w:rPr>
                <w:rFonts w:eastAsia="Times New Roman"/>
                <w:color w:val="000000"/>
                <w:sz w:val="20"/>
                <w:szCs w:val="20"/>
              </w:rPr>
            </w:pPr>
            <w:r w:rsidRPr="003D56F0">
              <w:rPr>
                <w:sz w:val="20"/>
                <w:szCs w:val="20"/>
              </w:rPr>
              <w:t>0.81</w:t>
            </w:r>
          </w:p>
        </w:tc>
      </w:tr>
      <w:tr w:rsidR="002B133A" w:rsidRPr="003D56F0" w14:paraId="25E37E70" w14:textId="77777777" w:rsidTr="00AC1AF3">
        <w:trPr>
          <w:trHeight w:val="300"/>
        </w:trPr>
        <w:tc>
          <w:tcPr>
            <w:tcW w:w="3449" w:type="pct"/>
            <w:shd w:val="clear" w:color="auto" w:fill="auto"/>
            <w:noWrap/>
            <w:tcMar>
              <w:top w:w="28" w:type="dxa"/>
              <w:left w:w="28" w:type="dxa"/>
              <w:bottom w:w="28" w:type="dxa"/>
              <w:right w:w="28" w:type="dxa"/>
            </w:tcMar>
            <w:hideMark/>
          </w:tcPr>
          <w:p w14:paraId="79836E81" w14:textId="77777777" w:rsidR="002B133A" w:rsidRPr="003D56F0" w:rsidRDefault="002B133A" w:rsidP="003D56F0">
            <w:pPr>
              <w:rPr>
                <w:rFonts w:eastAsia="Times New Roman"/>
                <w:color w:val="000000"/>
                <w:sz w:val="20"/>
                <w:szCs w:val="20"/>
              </w:rPr>
            </w:pPr>
            <w:r w:rsidRPr="003D56F0">
              <w:rPr>
                <w:sz w:val="20"/>
                <w:szCs w:val="20"/>
              </w:rPr>
              <w:t>Intervention costs</w:t>
            </w:r>
          </w:p>
        </w:tc>
        <w:tc>
          <w:tcPr>
            <w:tcW w:w="781" w:type="pct"/>
            <w:shd w:val="clear" w:color="auto" w:fill="auto"/>
            <w:noWrap/>
            <w:tcMar>
              <w:top w:w="28" w:type="dxa"/>
              <w:left w:w="28" w:type="dxa"/>
              <w:bottom w:w="28" w:type="dxa"/>
              <w:right w:w="28" w:type="dxa"/>
            </w:tcMar>
            <w:hideMark/>
          </w:tcPr>
          <w:p w14:paraId="42333350" w14:textId="77777777" w:rsidR="002B133A" w:rsidRPr="003D56F0" w:rsidRDefault="002B133A" w:rsidP="003D56F0">
            <w:pPr>
              <w:rPr>
                <w:rFonts w:eastAsia="Times New Roman"/>
                <w:color w:val="000000"/>
                <w:sz w:val="20"/>
                <w:szCs w:val="20"/>
              </w:rPr>
            </w:pPr>
            <w:r w:rsidRPr="003D56F0">
              <w:rPr>
                <w:sz w:val="20"/>
                <w:szCs w:val="20"/>
              </w:rPr>
              <w:t>£268</w:t>
            </w:r>
          </w:p>
        </w:tc>
        <w:tc>
          <w:tcPr>
            <w:tcW w:w="390" w:type="pct"/>
            <w:shd w:val="clear" w:color="auto" w:fill="auto"/>
            <w:noWrap/>
            <w:tcMar>
              <w:top w:w="28" w:type="dxa"/>
              <w:left w:w="28" w:type="dxa"/>
              <w:bottom w:w="28" w:type="dxa"/>
              <w:right w:w="28" w:type="dxa"/>
            </w:tcMar>
            <w:hideMark/>
          </w:tcPr>
          <w:p w14:paraId="414465FE" w14:textId="77777777" w:rsidR="002B133A" w:rsidRPr="003D56F0" w:rsidRDefault="002B133A" w:rsidP="003D56F0">
            <w:pPr>
              <w:rPr>
                <w:rFonts w:eastAsia="Times New Roman"/>
                <w:color w:val="000000"/>
                <w:sz w:val="20"/>
                <w:szCs w:val="20"/>
              </w:rPr>
            </w:pPr>
            <w:r w:rsidRPr="003D56F0">
              <w:rPr>
                <w:sz w:val="20"/>
                <w:szCs w:val="20"/>
              </w:rPr>
              <w:t>£128</w:t>
            </w:r>
          </w:p>
        </w:tc>
        <w:tc>
          <w:tcPr>
            <w:tcW w:w="380" w:type="pct"/>
            <w:shd w:val="clear" w:color="auto" w:fill="auto"/>
            <w:noWrap/>
            <w:tcMar>
              <w:top w:w="28" w:type="dxa"/>
              <w:left w:w="28" w:type="dxa"/>
              <w:bottom w:w="28" w:type="dxa"/>
              <w:right w:w="28" w:type="dxa"/>
            </w:tcMar>
            <w:hideMark/>
          </w:tcPr>
          <w:p w14:paraId="7809AA9F" w14:textId="77777777" w:rsidR="002B133A" w:rsidRPr="003D56F0" w:rsidRDefault="002B133A" w:rsidP="003D56F0">
            <w:pPr>
              <w:rPr>
                <w:rFonts w:eastAsia="Times New Roman"/>
                <w:color w:val="000000"/>
                <w:sz w:val="20"/>
                <w:szCs w:val="20"/>
              </w:rPr>
            </w:pPr>
            <w:r w:rsidRPr="003D56F0">
              <w:rPr>
                <w:sz w:val="20"/>
                <w:szCs w:val="20"/>
              </w:rPr>
              <w:t>£552</w:t>
            </w:r>
          </w:p>
        </w:tc>
      </w:tr>
      <w:tr w:rsidR="002B133A" w:rsidRPr="003D56F0" w14:paraId="7143F591" w14:textId="77777777" w:rsidTr="00AC1AF3">
        <w:trPr>
          <w:trHeight w:val="300"/>
        </w:trPr>
        <w:tc>
          <w:tcPr>
            <w:tcW w:w="3449" w:type="pct"/>
            <w:shd w:val="clear" w:color="auto" w:fill="auto"/>
            <w:noWrap/>
            <w:tcMar>
              <w:top w:w="28" w:type="dxa"/>
              <w:left w:w="28" w:type="dxa"/>
              <w:bottom w:w="28" w:type="dxa"/>
              <w:right w:w="28" w:type="dxa"/>
            </w:tcMar>
            <w:hideMark/>
          </w:tcPr>
          <w:p w14:paraId="23765F16" w14:textId="77777777" w:rsidR="002B133A" w:rsidRPr="003D56F0" w:rsidRDefault="002B133A" w:rsidP="003D56F0">
            <w:pPr>
              <w:rPr>
                <w:rFonts w:eastAsia="Times New Roman"/>
                <w:color w:val="000000"/>
                <w:sz w:val="20"/>
                <w:szCs w:val="20"/>
              </w:rPr>
            </w:pPr>
            <w:r w:rsidRPr="003D56F0">
              <w:rPr>
                <w:sz w:val="20"/>
                <w:szCs w:val="20"/>
              </w:rPr>
              <w:t>Costs of hospital admissions due to cocaine, per cocaine user per year</w:t>
            </w:r>
          </w:p>
        </w:tc>
        <w:tc>
          <w:tcPr>
            <w:tcW w:w="781" w:type="pct"/>
            <w:shd w:val="clear" w:color="auto" w:fill="auto"/>
            <w:noWrap/>
            <w:tcMar>
              <w:top w:w="28" w:type="dxa"/>
              <w:left w:w="28" w:type="dxa"/>
              <w:bottom w:w="28" w:type="dxa"/>
              <w:right w:w="28" w:type="dxa"/>
            </w:tcMar>
            <w:hideMark/>
          </w:tcPr>
          <w:p w14:paraId="0F2AA503" w14:textId="77777777" w:rsidR="002B133A" w:rsidRPr="003D56F0" w:rsidRDefault="002B133A" w:rsidP="003D56F0">
            <w:pPr>
              <w:rPr>
                <w:rFonts w:eastAsia="Times New Roman"/>
                <w:color w:val="000000"/>
                <w:sz w:val="20"/>
                <w:szCs w:val="20"/>
              </w:rPr>
            </w:pPr>
            <w:r w:rsidRPr="003D56F0">
              <w:rPr>
                <w:sz w:val="20"/>
                <w:szCs w:val="20"/>
              </w:rPr>
              <w:t>£12</w:t>
            </w:r>
          </w:p>
        </w:tc>
        <w:tc>
          <w:tcPr>
            <w:tcW w:w="390" w:type="pct"/>
            <w:shd w:val="clear" w:color="auto" w:fill="auto"/>
            <w:noWrap/>
            <w:tcMar>
              <w:top w:w="28" w:type="dxa"/>
              <w:left w:w="28" w:type="dxa"/>
              <w:bottom w:w="28" w:type="dxa"/>
              <w:right w:w="28" w:type="dxa"/>
            </w:tcMar>
            <w:hideMark/>
          </w:tcPr>
          <w:p w14:paraId="72092BA5" w14:textId="77777777" w:rsidR="002B133A" w:rsidRPr="003D56F0" w:rsidRDefault="002B133A" w:rsidP="003D56F0">
            <w:pPr>
              <w:rPr>
                <w:rFonts w:eastAsia="Times New Roman"/>
                <w:color w:val="000000"/>
                <w:sz w:val="20"/>
                <w:szCs w:val="20"/>
              </w:rPr>
            </w:pPr>
            <w:r w:rsidRPr="003D56F0">
              <w:rPr>
                <w:sz w:val="20"/>
                <w:szCs w:val="20"/>
              </w:rPr>
              <w:t>£9</w:t>
            </w:r>
          </w:p>
        </w:tc>
        <w:tc>
          <w:tcPr>
            <w:tcW w:w="380" w:type="pct"/>
            <w:shd w:val="clear" w:color="auto" w:fill="auto"/>
            <w:noWrap/>
            <w:tcMar>
              <w:top w:w="28" w:type="dxa"/>
              <w:left w:w="28" w:type="dxa"/>
              <w:bottom w:w="28" w:type="dxa"/>
              <w:right w:w="28" w:type="dxa"/>
            </w:tcMar>
            <w:hideMark/>
          </w:tcPr>
          <w:p w14:paraId="64DC44B0" w14:textId="77777777" w:rsidR="002B133A" w:rsidRPr="003D56F0" w:rsidRDefault="002B133A" w:rsidP="003D56F0">
            <w:pPr>
              <w:rPr>
                <w:rFonts w:eastAsia="Times New Roman"/>
                <w:color w:val="000000"/>
                <w:sz w:val="20"/>
                <w:szCs w:val="20"/>
              </w:rPr>
            </w:pPr>
            <w:r w:rsidRPr="003D56F0">
              <w:rPr>
                <w:sz w:val="20"/>
                <w:szCs w:val="20"/>
              </w:rPr>
              <w:t>£16</w:t>
            </w:r>
          </w:p>
        </w:tc>
      </w:tr>
      <w:tr w:rsidR="002B133A" w:rsidRPr="003D56F0" w14:paraId="30431FEA" w14:textId="77777777" w:rsidTr="00AC1AF3">
        <w:trPr>
          <w:trHeight w:val="300"/>
        </w:trPr>
        <w:tc>
          <w:tcPr>
            <w:tcW w:w="3449" w:type="pct"/>
            <w:shd w:val="clear" w:color="auto" w:fill="auto"/>
            <w:noWrap/>
            <w:tcMar>
              <w:top w:w="28" w:type="dxa"/>
              <w:left w:w="28" w:type="dxa"/>
              <w:bottom w:w="28" w:type="dxa"/>
              <w:right w:w="28" w:type="dxa"/>
            </w:tcMar>
            <w:hideMark/>
          </w:tcPr>
          <w:p w14:paraId="5730AF84" w14:textId="77777777" w:rsidR="002B133A" w:rsidRPr="003D56F0" w:rsidRDefault="002B133A" w:rsidP="003D56F0">
            <w:pPr>
              <w:rPr>
                <w:rFonts w:eastAsia="Times New Roman"/>
                <w:color w:val="000000"/>
                <w:sz w:val="20"/>
                <w:szCs w:val="20"/>
              </w:rPr>
            </w:pPr>
            <w:r w:rsidRPr="003D56F0">
              <w:rPr>
                <w:sz w:val="20"/>
                <w:szCs w:val="20"/>
              </w:rPr>
              <w:t>Costs of possession arrests per cocaine user per year</w:t>
            </w:r>
          </w:p>
        </w:tc>
        <w:tc>
          <w:tcPr>
            <w:tcW w:w="781" w:type="pct"/>
            <w:shd w:val="clear" w:color="auto" w:fill="auto"/>
            <w:noWrap/>
            <w:tcMar>
              <w:top w:w="28" w:type="dxa"/>
              <w:left w:w="28" w:type="dxa"/>
              <w:bottom w:w="28" w:type="dxa"/>
              <w:right w:w="28" w:type="dxa"/>
            </w:tcMar>
            <w:hideMark/>
          </w:tcPr>
          <w:p w14:paraId="01CA2DE7" w14:textId="77777777" w:rsidR="002B133A" w:rsidRPr="003D56F0" w:rsidRDefault="002B133A" w:rsidP="003D56F0">
            <w:pPr>
              <w:rPr>
                <w:rFonts w:eastAsia="Times New Roman"/>
                <w:color w:val="000000"/>
                <w:sz w:val="20"/>
                <w:szCs w:val="20"/>
              </w:rPr>
            </w:pPr>
            <w:r w:rsidRPr="003D56F0">
              <w:rPr>
                <w:sz w:val="20"/>
                <w:szCs w:val="20"/>
              </w:rPr>
              <w:t>£18</w:t>
            </w:r>
          </w:p>
        </w:tc>
        <w:tc>
          <w:tcPr>
            <w:tcW w:w="390" w:type="pct"/>
            <w:shd w:val="clear" w:color="auto" w:fill="auto"/>
            <w:noWrap/>
            <w:tcMar>
              <w:top w:w="28" w:type="dxa"/>
              <w:left w:w="28" w:type="dxa"/>
              <w:bottom w:w="28" w:type="dxa"/>
              <w:right w:w="28" w:type="dxa"/>
            </w:tcMar>
            <w:hideMark/>
          </w:tcPr>
          <w:p w14:paraId="444FAD51" w14:textId="77777777" w:rsidR="002B133A" w:rsidRPr="003D56F0" w:rsidRDefault="002B133A" w:rsidP="003D56F0">
            <w:pPr>
              <w:rPr>
                <w:rFonts w:eastAsia="Times New Roman"/>
                <w:color w:val="000000"/>
                <w:sz w:val="20"/>
                <w:szCs w:val="20"/>
              </w:rPr>
            </w:pPr>
            <w:r w:rsidRPr="003D56F0">
              <w:rPr>
                <w:sz w:val="20"/>
                <w:szCs w:val="20"/>
              </w:rPr>
              <w:t>£14</w:t>
            </w:r>
          </w:p>
        </w:tc>
        <w:tc>
          <w:tcPr>
            <w:tcW w:w="380" w:type="pct"/>
            <w:shd w:val="clear" w:color="auto" w:fill="auto"/>
            <w:noWrap/>
            <w:tcMar>
              <w:top w:w="28" w:type="dxa"/>
              <w:left w:w="28" w:type="dxa"/>
              <w:bottom w:w="28" w:type="dxa"/>
              <w:right w:w="28" w:type="dxa"/>
            </w:tcMar>
            <w:hideMark/>
          </w:tcPr>
          <w:p w14:paraId="3FB8D152" w14:textId="77777777" w:rsidR="002B133A" w:rsidRPr="003D56F0" w:rsidRDefault="002B133A" w:rsidP="003D56F0">
            <w:pPr>
              <w:rPr>
                <w:rFonts w:eastAsia="Times New Roman"/>
                <w:color w:val="000000"/>
                <w:sz w:val="20"/>
                <w:szCs w:val="20"/>
              </w:rPr>
            </w:pPr>
            <w:r w:rsidRPr="003D56F0">
              <w:rPr>
                <w:sz w:val="20"/>
                <w:szCs w:val="20"/>
              </w:rPr>
              <w:t>£23</w:t>
            </w:r>
          </w:p>
        </w:tc>
      </w:tr>
      <w:tr w:rsidR="002B133A" w:rsidRPr="003D56F0" w14:paraId="2B93E6F9" w14:textId="77777777" w:rsidTr="00AC1AF3">
        <w:trPr>
          <w:trHeight w:val="300"/>
        </w:trPr>
        <w:tc>
          <w:tcPr>
            <w:tcW w:w="3449" w:type="pct"/>
            <w:shd w:val="clear" w:color="auto" w:fill="auto"/>
            <w:noWrap/>
            <w:tcMar>
              <w:top w:w="28" w:type="dxa"/>
              <w:left w:w="28" w:type="dxa"/>
              <w:bottom w:w="28" w:type="dxa"/>
              <w:right w:w="28" w:type="dxa"/>
            </w:tcMar>
            <w:hideMark/>
          </w:tcPr>
          <w:p w14:paraId="1A2C27C8" w14:textId="77777777" w:rsidR="002B133A" w:rsidRPr="003D56F0" w:rsidRDefault="002B133A" w:rsidP="003D56F0">
            <w:pPr>
              <w:rPr>
                <w:rFonts w:eastAsia="Times New Roman"/>
                <w:color w:val="000000"/>
                <w:sz w:val="20"/>
                <w:szCs w:val="20"/>
              </w:rPr>
            </w:pPr>
            <w:r w:rsidRPr="003D56F0">
              <w:rPr>
                <w:sz w:val="20"/>
                <w:szCs w:val="20"/>
              </w:rPr>
              <w:t>Cost of drug treatment per cocaine user per year</w:t>
            </w:r>
          </w:p>
        </w:tc>
        <w:tc>
          <w:tcPr>
            <w:tcW w:w="781" w:type="pct"/>
            <w:shd w:val="clear" w:color="auto" w:fill="auto"/>
            <w:noWrap/>
            <w:tcMar>
              <w:top w:w="28" w:type="dxa"/>
              <w:left w:w="28" w:type="dxa"/>
              <w:bottom w:w="28" w:type="dxa"/>
              <w:right w:w="28" w:type="dxa"/>
            </w:tcMar>
            <w:hideMark/>
          </w:tcPr>
          <w:p w14:paraId="2AFED9FB" w14:textId="77777777" w:rsidR="002B133A" w:rsidRPr="003D56F0" w:rsidRDefault="002B133A" w:rsidP="003D56F0">
            <w:pPr>
              <w:rPr>
                <w:rFonts w:eastAsia="Times New Roman"/>
                <w:color w:val="000000"/>
                <w:sz w:val="20"/>
                <w:szCs w:val="20"/>
              </w:rPr>
            </w:pPr>
            <w:r w:rsidRPr="003D56F0">
              <w:rPr>
                <w:sz w:val="20"/>
                <w:szCs w:val="20"/>
              </w:rPr>
              <w:t>£23</w:t>
            </w:r>
          </w:p>
        </w:tc>
        <w:tc>
          <w:tcPr>
            <w:tcW w:w="390" w:type="pct"/>
            <w:shd w:val="clear" w:color="auto" w:fill="auto"/>
            <w:noWrap/>
            <w:tcMar>
              <w:top w:w="28" w:type="dxa"/>
              <w:left w:w="28" w:type="dxa"/>
              <w:bottom w:w="28" w:type="dxa"/>
              <w:right w:w="28" w:type="dxa"/>
            </w:tcMar>
            <w:hideMark/>
          </w:tcPr>
          <w:p w14:paraId="0DFD401D" w14:textId="77777777" w:rsidR="002B133A" w:rsidRPr="003D56F0" w:rsidRDefault="002B133A" w:rsidP="003D56F0">
            <w:pPr>
              <w:rPr>
                <w:rFonts w:eastAsia="Times New Roman"/>
                <w:color w:val="000000"/>
                <w:sz w:val="20"/>
                <w:szCs w:val="20"/>
              </w:rPr>
            </w:pPr>
            <w:r w:rsidRPr="003D56F0">
              <w:rPr>
                <w:sz w:val="20"/>
                <w:szCs w:val="20"/>
              </w:rPr>
              <w:t>£17</w:t>
            </w:r>
          </w:p>
        </w:tc>
        <w:tc>
          <w:tcPr>
            <w:tcW w:w="380" w:type="pct"/>
            <w:shd w:val="clear" w:color="auto" w:fill="auto"/>
            <w:noWrap/>
            <w:tcMar>
              <w:top w:w="28" w:type="dxa"/>
              <w:left w:w="28" w:type="dxa"/>
              <w:bottom w:w="28" w:type="dxa"/>
              <w:right w:w="28" w:type="dxa"/>
            </w:tcMar>
            <w:hideMark/>
          </w:tcPr>
          <w:p w14:paraId="4791486A" w14:textId="77777777" w:rsidR="002B133A" w:rsidRPr="003D56F0" w:rsidRDefault="002B133A" w:rsidP="003D56F0">
            <w:pPr>
              <w:rPr>
                <w:rFonts w:eastAsia="Times New Roman"/>
                <w:color w:val="000000"/>
                <w:sz w:val="20"/>
                <w:szCs w:val="20"/>
              </w:rPr>
            </w:pPr>
            <w:r w:rsidRPr="003D56F0">
              <w:rPr>
                <w:sz w:val="20"/>
                <w:szCs w:val="20"/>
              </w:rPr>
              <w:t>£29</w:t>
            </w:r>
          </w:p>
        </w:tc>
      </w:tr>
      <w:tr w:rsidR="002B133A" w:rsidRPr="003D56F0" w14:paraId="0473BD00" w14:textId="77777777" w:rsidTr="00AC1AF3">
        <w:trPr>
          <w:trHeight w:val="300"/>
        </w:trPr>
        <w:tc>
          <w:tcPr>
            <w:tcW w:w="3449" w:type="pct"/>
            <w:shd w:val="clear" w:color="auto" w:fill="auto"/>
            <w:noWrap/>
            <w:tcMar>
              <w:top w:w="28" w:type="dxa"/>
              <w:left w:w="28" w:type="dxa"/>
              <w:bottom w:w="28" w:type="dxa"/>
              <w:right w:w="28" w:type="dxa"/>
            </w:tcMar>
            <w:hideMark/>
          </w:tcPr>
          <w:p w14:paraId="6410977A" w14:textId="77777777" w:rsidR="002B133A" w:rsidRPr="003D56F0" w:rsidRDefault="002B133A" w:rsidP="003D56F0">
            <w:pPr>
              <w:rPr>
                <w:rFonts w:eastAsia="Times New Roman"/>
                <w:color w:val="000000"/>
                <w:sz w:val="20"/>
                <w:szCs w:val="20"/>
              </w:rPr>
            </w:pPr>
            <w:r w:rsidRPr="003D56F0">
              <w:rPr>
                <w:sz w:val="20"/>
                <w:szCs w:val="20"/>
              </w:rPr>
              <w:t>QALYs lost from cocaine-specific and CVD deaths per user per year</w:t>
            </w:r>
          </w:p>
        </w:tc>
        <w:tc>
          <w:tcPr>
            <w:tcW w:w="781" w:type="pct"/>
            <w:shd w:val="clear" w:color="auto" w:fill="auto"/>
            <w:noWrap/>
            <w:tcMar>
              <w:top w:w="28" w:type="dxa"/>
              <w:left w:w="28" w:type="dxa"/>
              <w:bottom w:w="28" w:type="dxa"/>
              <w:right w:w="28" w:type="dxa"/>
            </w:tcMar>
            <w:hideMark/>
          </w:tcPr>
          <w:p w14:paraId="6B9005EC" w14:textId="77777777" w:rsidR="002B133A" w:rsidRPr="003D56F0" w:rsidRDefault="002B133A" w:rsidP="003D56F0">
            <w:pPr>
              <w:rPr>
                <w:rFonts w:eastAsia="Times New Roman"/>
                <w:color w:val="000000"/>
                <w:sz w:val="20"/>
                <w:szCs w:val="20"/>
              </w:rPr>
            </w:pPr>
            <w:r w:rsidRPr="003D56F0">
              <w:rPr>
                <w:sz w:val="20"/>
                <w:szCs w:val="20"/>
              </w:rPr>
              <w:t>0.002</w:t>
            </w:r>
          </w:p>
        </w:tc>
        <w:tc>
          <w:tcPr>
            <w:tcW w:w="390" w:type="pct"/>
            <w:shd w:val="clear" w:color="auto" w:fill="auto"/>
            <w:noWrap/>
            <w:tcMar>
              <w:top w:w="28" w:type="dxa"/>
              <w:left w:w="28" w:type="dxa"/>
              <w:bottom w:w="28" w:type="dxa"/>
              <w:right w:w="28" w:type="dxa"/>
            </w:tcMar>
            <w:hideMark/>
          </w:tcPr>
          <w:p w14:paraId="0F403070" w14:textId="77777777" w:rsidR="002B133A" w:rsidRPr="003D56F0" w:rsidRDefault="002B133A" w:rsidP="003D56F0">
            <w:pPr>
              <w:rPr>
                <w:rFonts w:eastAsia="Times New Roman"/>
                <w:color w:val="000000"/>
                <w:sz w:val="20"/>
                <w:szCs w:val="20"/>
              </w:rPr>
            </w:pPr>
            <w:r w:rsidRPr="003D56F0">
              <w:rPr>
                <w:sz w:val="20"/>
                <w:szCs w:val="20"/>
              </w:rPr>
              <w:t>0.002</w:t>
            </w:r>
          </w:p>
        </w:tc>
        <w:tc>
          <w:tcPr>
            <w:tcW w:w="380" w:type="pct"/>
            <w:shd w:val="clear" w:color="auto" w:fill="auto"/>
            <w:noWrap/>
            <w:tcMar>
              <w:top w:w="28" w:type="dxa"/>
              <w:left w:w="28" w:type="dxa"/>
              <w:bottom w:w="28" w:type="dxa"/>
              <w:right w:w="28" w:type="dxa"/>
            </w:tcMar>
            <w:hideMark/>
          </w:tcPr>
          <w:p w14:paraId="2C8EFC59" w14:textId="77777777" w:rsidR="002B133A" w:rsidRPr="003D56F0" w:rsidRDefault="002B133A" w:rsidP="003D56F0">
            <w:pPr>
              <w:rPr>
                <w:rFonts w:eastAsia="Times New Roman"/>
                <w:color w:val="000000"/>
                <w:sz w:val="20"/>
                <w:szCs w:val="20"/>
              </w:rPr>
            </w:pPr>
            <w:r w:rsidRPr="003D56F0">
              <w:rPr>
                <w:sz w:val="20"/>
                <w:szCs w:val="20"/>
              </w:rPr>
              <w:t>0.003</w:t>
            </w:r>
          </w:p>
        </w:tc>
      </w:tr>
      <w:tr w:rsidR="002B133A" w:rsidRPr="003D56F0" w14:paraId="28FE59B6" w14:textId="77777777" w:rsidTr="00AC1AF3">
        <w:trPr>
          <w:trHeight w:val="300"/>
        </w:trPr>
        <w:tc>
          <w:tcPr>
            <w:tcW w:w="3449" w:type="pct"/>
            <w:shd w:val="clear" w:color="auto" w:fill="auto"/>
            <w:noWrap/>
            <w:tcMar>
              <w:top w:w="28" w:type="dxa"/>
              <w:left w:w="28" w:type="dxa"/>
              <w:bottom w:w="28" w:type="dxa"/>
              <w:right w:w="28" w:type="dxa"/>
            </w:tcMar>
            <w:hideMark/>
          </w:tcPr>
          <w:p w14:paraId="6726543B" w14:textId="77777777" w:rsidR="002B133A" w:rsidRPr="003D56F0" w:rsidRDefault="002B133A" w:rsidP="003D56F0">
            <w:pPr>
              <w:rPr>
                <w:rFonts w:eastAsia="Times New Roman"/>
                <w:color w:val="000000"/>
                <w:sz w:val="20"/>
                <w:szCs w:val="20"/>
              </w:rPr>
            </w:pPr>
            <w:r w:rsidRPr="003D56F0">
              <w:rPr>
                <w:sz w:val="20"/>
                <w:szCs w:val="20"/>
              </w:rPr>
              <w:t>Annual risk of becoming cocaine dependent for cocaine users aged 16-19</w:t>
            </w:r>
          </w:p>
        </w:tc>
        <w:tc>
          <w:tcPr>
            <w:tcW w:w="781" w:type="pct"/>
            <w:shd w:val="clear" w:color="auto" w:fill="auto"/>
            <w:noWrap/>
            <w:tcMar>
              <w:top w:w="28" w:type="dxa"/>
              <w:left w:w="28" w:type="dxa"/>
              <w:bottom w:w="28" w:type="dxa"/>
              <w:right w:w="28" w:type="dxa"/>
            </w:tcMar>
            <w:hideMark/>
          </w:tcPr>
          <w:p w14:paraId="447A5438" w14:textId="77777777" w:rsidR="002B133A" w:rsidRPr="003D56F0" w:rsidRDefault="002B133A" w:rsidP="003D56F0">
            <w:pPr>
              <w:rPr>
                <w:rFonts w:eastAsia="Times New Roman"/>
                <w:color w:val="000000"/>
                <w:sz w:val="20"/>
                <w:szCs w:val="20"/>
              </w:rPr>
            </w:pPr>
            <w:r w:rsidRPr="003D56F0">
              <w:rPr>
                <w:sz w:val="20"/>
                <w:szCs w:val="20"/>
              </w:rPr>
              <w:t>0.003</w:t>
            </w:r>
          </w:p>
        </w:tc>
        <w:tc>
          <w:tcPr>
            <w:tcW w:w="390" w:type="pct"/>
            <w:shd w:val="clear" w:color="auto" w:fill="auto"/>
            <w:noWrap/>
            <w:tcMar>
              <w:top w:w="28" w:type="dxa"/>
              <w:left w:w="28" w:type="dxa"/>
              <w:bottom w:w="28" w:type="dxa"/>
              <w:right w:w="28" w:type="dxa"/>
            </w:tcMar>
            <w:hideMark/>
          </w:tcPr>
          <w:p w14:paraId="23FDBAB1" w14:textId="77777777" w:rsidR="002B133A" w:rsidRPr="003D56F0" w:rsidRDefault="002B133A" w:rsidP="003D56F0">
            <w:pPr>
              <w:rPr>
                <w:rFonts w:eastAsia="Times New Roman"/>
                <w:color w:val="000000"/>
                <w:sz w:val="20"/>
                <w:szCs w:val="20"/>
              </w:rPr>
            </w:pPr>
            <w:r w:rsidRPr="003D56F0">
              <w:rPr>
                <w:sz w:val="20"/>
                <w:szCs w:val="20"/>
              </w:rPr>
              <w:t>0.003</w:t>
            </w:r>
          </w:p>
        </w:tc>
        <w:tc>
          <w:tcPr>
            <w:tcW w:w="380" w:type="pct"/>
            <w:shd w:val="clear" w:color="auto" w:fill="auto"/>
            <w:noWrap/>
            <w:tcMar>
              <w:top w:w="28" w:type="dxa"/>
              <w:left w:w="28" w:type="dxa"/>
              <w:bottom w:w="28" w:type="dxa"/>
              <w:right w:w="28" w:type="dxa"/>
            </w:tcMar>
            <w:hideMark/>
          </w:tcPr>
          <w:p w14:paraId="57EFE3AD" w14:textId="77777777" w:rsidR="002B133A" w:rsidRPr="003D56F0" w:rsidRDefault="002B133A" w:rsidP="003D56F0">
            <w:pPr>
              <w:rPr>
                <w:rFonts w:eastAsia="Times New Roman"/>
                <w:color w:val="000000"/>
                <w:sz w:val="20"/>
                <w:szCs w:val="20"/>
              </w:rPr>
            </w:pPr>
            <w:r w:rsidRPr="003D56F0">
              <w:rPr>
                <w:sz w:val="20"/>
                <w:szCs w:val="20"/>
              </w:rPr>
              <w:t>0.004</w:t>
            </w:r>
          </w:p>
        </w:tc>
      </w:tr>
      <w:tr w:rsidR="002B133A" w:rsidRPr="003D56F0" w14:paraId="690E0FF3" w14:textId="77777777" w:rsidTr="00AC1AF3">
        <w:trPr>
          <w:trHeight w:val="300"/>
        </w:trPr>
        <w:tc>
          <w:tcPr>
            <w:tcW w:w="3449" w:type="pct"/>
            <w:shd w:val="clear" w:color="auto" w:fill="auto"/>
            <w:noWrap/>
            <w:tcMar>
              <w:top w:w="28" w:type="dxa"/>
              <w:left w:w="28" w:type="dxa"/>
              <w:bottom w:w="28" w:type="dxa"/>
              <w:right w:w="28" w:type="dxa"/>
            </w:tcMar>
            <w:hideMark/>
          </w:tcPr>
          <w:p w14:paraId="40C46A3E" w14:textId="77777777" w:rsidR="002B133A" w:rsidRPr="003D56F0" w:rsidRDefault="002B133A" w:rsidP="003D56F0">
            <w:pPr>
              <w:rPr>
                <w:rFonts w:eastAsia="Times New Roman"/>
                <w:color w:val="000000"/>
                <w:sz w:val="20"/>
                <w:szCs w:val="20"/>
              </w:rPr>
            </w:pPr>
            <w:r w:rsidRPr="003D56F0">
              <w:rPr>
                <w:sz w:val="20"/>
                <w:szCs w:val="20"/>
              </w:rPr>
              <w:t>Assumed QALY loss based on 5 years dependence (six month QALY loss *10 discounted)</w:t>
            </w:r>
          </w:p>
        </w:tc>
        <w:tc>
          <w:tcPr>
            <w:tcW w:w="781" w:type="pct"/>
            <w:shd w:val="clear" w:color="auto" w:fill="auto"/>
            <w:noWrap/>
            <w:tcMar>
              <w:top w:w="28" w:type="dxa"/>
              <w:left w:w="28" w:type="dxa"/>
              <w:bottom w:w="28" w:type="dxa"/>
              <w:right w:w="28" w:type="dxa"/>
            </w:tcMar>
            <w:hideMark/>
          </w:tcPr>
          <w:p w14:paraId="4A2C9F2B" w14:textId="77777777" w:rsidR="002B133A" w:rsidRPr="003D56F0" w:rsidRDefault="002B133A" w:rsidP="003D56F0">
            <w:pPr>
              <w:rPr>
                <w:rFonts w:eastAsia="Times New Roman"/>
                <w:color w:val="000000"/>
                <w:sz w:val="20"/>
                <w:szCs w:val="20"/>
              </w:rPr>
            </w:pPr>
            <w:r w:rsidRPr="003D56F0">
              <w:rPr>
                <w:sz w:val="20"/>
                <w:szCs w:val="20"/>
              </w:rPr>
              <w:t>0.58</w:t>
            </w:r>
          </w:p>
        </w:tc>
        <w:tc>
          <w:tcPr>
            <w:tcW w:w="390" w:type="pct"/>
            <w:shd w:val="clear" w:color="auto" w:fill="auto"/>
            <w:noWrap/>
            <w:tcMar>
              <w:top w:w="28" w:type="dxa"/>
              <w:left w:w="28" w:type="dxa"/>
              <w:bottom w:w="28" w:type="dxa"/>
              <w:right w:w="28" w:type="dxa"/>
            </w:tcMar>
            <w:hideMark/>
          </w:tcPr>
          <w:p w14:paraId="2CE31BE0" w14:textId="77777777" w:rsidR="002B133A" w:rsidRPr="003D56F0" w:rsidRDefault="002B133A" w:rsidP="003D56F0">
            <w:pPr>
              <w:rPr>
                <w:rFonts w:eastAsia="Times New Roman"/>
                <w:color w:val="000000"/>
                <w:sz w:val="20"/>
                <w:szCs w:val="20"/>
              </w:rPr>
            </w:pPr>
            <w:r w:rsidRPr="003D56F0">
              <w:rPr>
                <w:sz w:val="20"/>
                <w:szCs w:val="20"/>
              </w:rPr>
              <w:t>0.43</w:t>
            </w:r>
          </w:p>
        </w:tc>
        <w:tc>
          <w:tcPr>
            <w:tcW w:w="380" w:type="pct"/>
            <w:shd w:val="clear" w:color="auto" w:fill="auto"/>
            <w:noWrap/>
            <w:tcMar>
              <w:top w:w="28" w:type="dxa"/>
              <w:left w:w="28" w:type="dxa"/>
              <w:bottom w:w="28" w:type="dxa"/>
              <w:right w:w="28" w:type="dxa"/>
            </w:tcMar>
            <w:hideMark/>
          </w:tcPr>
          <w:p w14:paraId="1FB11F64" w14:textId="77777777" w:rsidR="002B133A" w:rsidRPr="003D56F0" w:rsidRDefault="002B133A" w:rsidP="003D56F0">
            <w:pPr>
              <w:rPr>
                <w:rFonts w:eastAsia="Times New Roman"/>
                <w:color w:val="000000"/>
                <w:sz w:val="20"/>
                <w:szCs w:val="20"/>
              </w:rPr>
            </w:pPr>
            <w:r w:rsidRPr="003D56F0">
              <w:rPr>
                <w:sz w:val="20"/>
                <w:szCs w:val="20"/>
              </w:rPr>
              <w:t>0.72</w:t>
            </w:r>
          </w:p>
        </w:tc>
      </w:tr>
    </w:tbl>
    <w:p w14:paraId="39D46D64" w14:textId="167BF09E" w:rsidR="002B133A" w:rsidRPr="003D56F0" w:rsidRDefault="002B133A" w:rsidP="00CC7EC2">
      <w:pPr>
        <w:pStyle w:val="Heading3"/>
        <w:rPr>
          <w:sz w:val="20"/>
          <w:szCs w:val="20"/>
        </w:rPr>
      </w:pPr>
      <w:bookmarkStart w:id="82" w:name="_Toc452035661"/>
      <w:r w:rsidRPr="003D56F0">
        <w:rPr>
          <w:sz w:val="20"/>
          <w:szCs w:val="20"/>
        </w:rPr>
        <w:t>7.7 Model based on Milburn, et al, 2012. A family intervention to reduce sexual risk behavior, substance use, and delinquency among newly homeless youth. Journal of Adolescent Health, 50(4), pp.358-364.</w:t>
      </w:r>
      <w:bookmarkEnd w:id="82"/>
    </w:p>
    <w:tbl>
      <w:tblPr>
        <w:tblW w:w="5000" w:type="pct"/>
        <w:tblLook w:val="04A0" w:firstRow="1" w:lastRow="0" w:firstColumn="1" w:lastColumn="0" w:noHBand="0" w:noVBand="1"/>
      </w:tblPr>
      <w:tblGrid>
        <w:gridCol w:w="4074"/>
        <w:gridCol w:w="1439"/>
        <w:gridCol w:w="3729"/>
      </w:tblGrid>
      <w:tr w:rsidR="002B133A" w:rsidRPr="003D56F0" w14:paraId="0905B7B0" w14:textId="77777777" w:rsidTr="00AC1AF3">
        <w:trPr>
          <w:cantSplit/>
          <w:trHeight w:val="300"/>
          <w:tblHeader/>
        </w:trPr>
        <w:tc>
          <w:tcPr>
            <w:tcW w:w="1726" w:type="pct"/>
            <w:tcBorders>
              <w:top w:val="single" w:sz="4" w:space="0" w:color="auto"/>
              <w:left w:val="single" w:sz="4" w:space="0" w:color="auto"/>
              <w:bottom w:val="single" w:sz="4" w:space="0" w:color="auto"/>
              <w:right w:val="single" w:sz="4" w:space="0" w:color="auto"/>
            </w:tcBorders>
            <w:shd w:val="clear" w:color="auto" w:fill="auto"/>
            <w:hideMark/>
          </w:tcPr>
          <w:p w14:paraId="75F51172" w14:textId="77777777" w:rsidR="002B133A" w:rsidRPr="003D56F0" w:rsidRDefault="002B133A" w:rsidP="00AD2788">
            <w:pPr>
              <w:rPr>
                <w:sz w:val="20"/>
                <w:szCs w:val="20"/>
              </w:rPr>
            </w:pPr>
            <w:r w:rsidRPr="003D56F0">
              <w:rPr>
                <w:sz w:val="20"/>
                <w:szCs w:val="20"/>
              </w:rPr>
              <w:t>Input/Outcome</w:t>
            </w:r>
          </w:p>
        </w:tc>
        <w:tc>
          <w:tcPr>
            <w:tcW w:w="913" w:type="pct"/>
            <w:tcBorders>
              <w:top w:val="single" w:sz="4" w:space="0" w:color="auto"/>
              <w:left w:val="nil"/>
              <w:bottom w:val="single" w:sz="4" w:space="0" w:color="auto"/>
              <w:right w:val="single" w:sz="4" w:space="0" w:color="auto"/>
            </w:tcBorders>
            <w:shd w:val="clear" w:color="auto" w:fill="auto"/>
            <w:hideMark/>
          </w:tcPr>
          <w:p w14:paraId="55AB2EE9" w14:textId="77777777" w:rsidR="002B133A" w:rsidRPr="003D56F0" w:rsidRDefault="002B133A">
            <w:pPr>
              <w:rPr>
                <w:sz w:val="20"/>
                <w:szCs w:val="20"/>
              </w:rPr>
            </w:pPr>
            <w:r w:rsidRPr="003D56F0">
              <w:rPr>
                <w:sz w:val="20"/>
                <w:szCs w:val="20"/>
              </w:rPr>
              <w:t>Assumption</w:t>
            </w:r>
          </w:p>
        </w:tc>
        <w:tc>
          <w:tcPr>
            <w:tcW w:w="2361" w:type="pct"/>
            <w:tcBorders>
              <w:top w:val="single" w:sz="4" w:space="0" w:color="auto"/>
              <w:left w:val="nil"/>
              <w:bottom w:val="single" w:sz="4" w:space="0" w:color="auto"/>
              <w:right w:val="single" w:sz="4" w:space="0" w:color="auto"/>
            </w:tcBorders>
            <w:shd w:val="clear" w:color="auto" w:fill="auto"/>
            <w:hideMark/>
          </w:tcPr>
          <w:p w14:paraId="23337B16" w14:textId="77777777" w:rsidR="002B133A" w:rsidRPr="003D56F0" w:rsidRDefault="002B133A">
            <w:pPr>
              <w:rPr>
                <w:sz w:val="20"/>
                <w:szCs w:val="20"/>
              </w:rPr>
            </w:pPr>
            <w:r w:rsidRPr="003D56F0">
              <w:rPr>
                <w:sz w:val="20"/>
                <w:szCs w:val="20"/>
              </w:rPr>
              <w:t>Data source</w:t>
            </w:r>
          </w:p>
        </w:tc>
      </w:tr>
      <w:tr w:rsidR="002B133A" w:rsidRPr="003D56F0" w14:paraId="4171810E" w14:textId="77777777" w:rsidTr="00AC1AF3">
        <w:trPr>
          <w:trHeight w:val="1200"/>
        </w:trPr>
        <w:tc>
          <w:tcPr>
            <w:tcW w:w="1726" w:type="pct"/>
            <w:tcBorders>
              <w:top w:val="nil"/>
              <w:left w:val="single" w:sz="4" w:space="0" w:color="auto"/>
              <w:bottom w:val="single" w:sz="4" w:space="0" w:color="auto"/>
              <w:right w:val="single" w:sz="4" w:space="0" w:color="auto"/>
            </w:tcBorders>
            <w:shd w:val="clear" w:color="auto" w:fill="auto"/>
            <w:hideMark/>
          </w:tcPr>
          <w:p w14:paraId="3B64935C" w14:textId="77777777" w:rsidR="002B133A" w:rsidRPr="003D56F0" w:rsidRDefault="002B133A" w:rsidP="00CC7EC2">
            <w:pPr>
              <w:rPr>
                <w:sz w:val="20"/>
                <w:szCs w:val="20"/>
              </w:rPr>
            </w:pPr>
            <w:r w:rsidRPr="003D56F0">
              <w:rPr>
                <w:sz w:val="20"/>
                <w:szCs w:val="20"/>
              </w:rPr>
              <w:t>Target population</w:t>
            </w:r>
          </w:p>
        </w:tc>
        <w:tc>
          <w:tcPr>
            <w:tcW w:w="913" w:type="pct"/>
            <w:tcBorders>
              <w:top w:val="nil"/>
              <w:left w:val="nil"/>
              <w:bottom w:val="single" w:sz="4" w:space="0" w:color="auto"/>
              <w:right w:val="single" w:sz="4" w:space="0" w:color="auto"/>
            </w:tcBorders>
            <w:shd w:val="clear" w:color="auto" w:fill="auto"/>
            <w:hideMark/>
          </w:tcPr>
          <w:p w14:paraId="1C7601A6" w14:textId="77777777" w:rsidR="002B133A" w:rsidRPr="003D56F0" w:rsidRDefault="002B133A" w:rsidP="00AD2788">
            <w:pPr>
              <w:rPr>
                <w:sz w:val="20"/>
                <w:szCs w:val="20"/>
              </w:rPr>
            </w:pPr>
            <w:r w:rsidRPr="003D56F0">
              <w:rPr>
                <w:sz w:val="20"/>
                <w:szCs w:val="20"/>
              </w:rPr>
              <w:t>3,507</w:t>
            </w:r>
          </w:p>
        </w:tc>
        <w:tc>
          <w:tcPr>
            <w:tcW w:w="2361" w:type="pct"/>
            <w:tcBorders>
              <w:top w:val="nil"/>
              <w:left w:val="nil"/>
              <w:bottom w:val="single" w:sz="4" w:space="0" w:color="auto"/>
              <w:right w:val="single" w:sz="4" w:space="0" w:color="auto"/>
            </w:tcBorders>
            <w:shd w:val="clear" w:color="auto" w:fill="auto"/>
            <w:hideMark/>
          </w:tcPr>
          <w:p w14:paraId="7629ECE2" w14:textId="77777777" w:rsidR="002B133A" w:rsidRPr="003D56F0" w:rsidRDefault="002B133A" w:rsidP="003D56F0">
            <w:pPr>
              <w:rPr>
                <w:rFonts w:eastAsia="Times New Roman"/>
                <w:color w:val="000000"/>
                <w:sz w:val="20"/>
                <w:szCs w:val="20"/>
              </w:rPr>
            </w:pPr>
            <w:r w:rsidRPr="003D56F0">
              <w:rPr>
                <w:sz w:val="20"/>
                <w:szCs w:val="20"/>
              </w:rPr>
              <w:t>Based on an estimated 26% of young homeless people being drug users, from a base  of 13,490 young homeless people aged 16-24 ( DCLG data for England, statutory homeless cases aged 16-24 2014/15)</w:t>
            </w:r>
          </w:p>
        </w:tc>
      </w:tr>
      <w:tr w:rsidR="002B133A" w:rsidRPr="003D56F0" w14:paraId="50C5C76E" w14:textId="77777777" w:rsidTr="00AC1AF3">
        <w:trPr>
          <w:trHeight w:val="1324"/>
        </w:trPr>
        <w:tc>
          <w:tcPr>
            <w:tcW w:w="1726" w:type="pct"/>
            <w:tcBorders>
              <w:top w:val="nil"/>
              <w:left w:val="single" w:sz="4" w:space="0" w:color="auto"/>
              <w:bottom w:val="single" w:sz="4" w:space="0" w:color="auto"/>
              <w:right w:val="single" w:sz="4" w:space="0" w:color="auto"/>
            </w:tcBorders>
            <w:shd w:val="clear" w:color="auto" w:fill="auto"/>
            <w:hideMark/>
          </w:tcPr>
          <w:p w14:paraId="3A70BFBE" w14:textId="77777777" w:rsidR="002B133A" w:rsidRPr="003D56F0" w:rsidRDefault="002B133A" w:rsidP="00CC7EC2">
            <w:pPr>
              <w:rPr>
                <w:sz w:val="20"/>
                <w:szCs w:val="20"/>
              </w:rPr>
            </w:pPr>
            <w:r w:rsidRPr="003D56F0">
              <w:rPr>
                <w:sz w:val="20"/>
                <w:szCs w:val="20"/>
              </w:rPr>
              <w:t>Intervention cost</w:t>
            </w:r>
          </w:p>
        </w:tc>
        <w:tc>
          <w:tcPr>
            <w:tcW w:w="913" w:type="pct"/>
            <w:tcBorders>
              <w:top w:val="nil"/>
              <w:left w:val="nil"/>
              <w:bottom w:val="single" w:sz="4" w:space="0" w:color="auto"/>
              <w:right w:val="single" w:sz="4" w:space="0" w:color="auto"/>
            </w:tcBorders>
            <w:shd w:val="clear" w:color="auto" w:fill="auto"/>
            <w:hideMark/>
          </w:tcPr>
          <w:p w14:paraId="1278A4B5" w14:textId="77777777" w:rsidR="002B133A" w:rsidRPr="003D56F0" w:rsidRDefault="002B133A" w:rsidP="00AD2788">
            <w:pPr>
              <w:rPr>
                <w:sz w:val="20"/>
                <w:szCs w:val="20"/>
              </w:rPr>
            </w:pPr>
            <w:r w:rsidRPr="003D56F0">
              <w:rPr>
                <w:sz w:val="20"/>
                <w:szCs w:val="20"/>
              </w:rPr>
              <w:t>£825</w:t>
            </w:r>
          </w:p>
        </w:tc>
        <w:tc>
          <w:tcPr>
            <w:tcW w:w="2361" w:type="pct"/>
            <w:tcBorders>
              <w:top w:val="nil"/>
              <w:left w:val="nil"/>
              <w:bottom w:val="single" w:sz="4" w:space="0" w:color="auto"/>
              <w:right w:val="single" w:sz="4" w:space="0" w:color="auto"/>
            </w:tcBorders>
            <w:shd w:val="clear" w:color="auto" w:fill="auto"/>
            <w:vAlign w:val="bottom"/>
            <w:hideMark/>
          </w:tcPr>
          <w:p w14:paraId="39536E93" w14:textId="77777777" w:rsidR="002B133A" w:rsidRPr="003D56F0" w:rsidRDefault="002B133A" w:rsidP="003D56F0">
            <w:pPr>
              <w:rPr>
                <w:rFonts w:eastAsia="Times New Roman"/>
                <w:color w:val="000000"/>
                <w:sz w:val="20"/>
                <w:szCs w:val="20"/>
              </w:rPr>
            </w:pPr>
            <w:r w:rsidRPr="003D56F0">
              <w:rPr>
                <w:sz w:val="20"/>
                <w:szCs w:val="20"/>
              </w:rPr>
              <w:t>This has been costed using the hourly costings (£55 per hour) for multi systemic therapy which seems to equate reasonably well to this kind of intervention, from p.89 Unit Costs of Health and Social Care 2015, PSSRU. Based on five, two-hour sessions the cost of the intervention is £550. With an extra 50% for additional overheads and travel the cost is £825</w:t>
            </w:r>
          </w:p>
        </w:tc>
      </w:tr>
      <w:tr w:rsidR="002B133A" w:rsidRPr="003D56F0" w14:paraId="0BA17776" w14:textId="77777777" w:rsidTr="00AC1AF3">
        <w:trPr>
          <w:trHeight w:val="600"/>
        </w:trPr>
        <w:tc>
          <w:tcPr>
            <w:tcW w:w="1726" w:type="pct"/>
            <w:tcBorders>
              <w:top w:val="nil"/>
              <w:left w:val="single" w:sz="4" w:space="0" w:color="auto"/>
              <w:bottom w:val="single" w:sz="4" w:space="0" w:color="auto"/>
              <w:right w:val="single" w:sz="4" w:space="0" w:color="auto"/>
            </w:tcBorders>
            <w:shd w:val="clear" w:color="auto" w:fill="auto"/>
            <w:hideMark/>
          </w:tcPr>
          <w:p w14:paraId="4E80B27C" w14:textId="77777777" w:rsidR="002B133A" w:rsidRPr="003D56F0" w:rsidRDefault="002B133A" w:rsidP="00CC7EC2">
            <w:pPr>
              <w:rPr>
                <w:sz w:val="20"/>
                <w:szCs w:val="20"/>
              </w:rPr>
            </w:pPr>
            <w:r w:rsidRPr="003D56F0">
              <w:rPr>
                <w:sz w:val="20"/>
                <w:szCs w:val="20"/>
              </w:rPr>
              <w:t>Drug use - base case model</w:t>
            </w:r>
          </w:p>
        </w:tc>
        <w:tc>
          <w:tcPr>
            <w:tcW w:w="913" w:type="pct"/>
            <w:tcBorders>
              <w:top w:val="nil"/>
              <w:left w:val="nil"/>
              <w:bottom w:val="single" w:sz="4" w:space="0" w:color="auto"/>
              <w:right w:val="single" w:sz="4" w:space="0" w:color="auto"/>
            </w:tcBorders>
            <w:shd w:val="clear" w:color="auto" w:fill="auto"/>
            <w:hideMark/>
          </w:tcPr>
          <w:p w14:paraId="3A4C0BA0" w14:textId="77777777" w:rsidR="002B133A" w:rsidRPr="003D56F0" w:rsidRDefault="002B133A" w:rsidP="00AD2788">
            <w:pPr>
              <w:rPr>
                <w:sz w:val="20"/>
                <w:szCs w:val="20"/>
              </w:rPr>
            </w:pPr>
            <w:r w:rsidRPr="003D56F0">
              <w:rPr>
                <w:sz w:val="20"/>
                <w:szCs w:val="20"/>
              </w:rPr>
              <w:t>0.124 (intervention); 0.167 (control) - average drug use over two years</w:t>
            </w:r>
          </w:p>
        </w:tc>
        <w:tc>
          <w:tcPr>
            <w:tcW w:w="2361" w:type="pct"/>
            <w:tcBorders>
              <w:top w:val="nil"/>
              <w:left w:val="nil"/>
              <w:bottom w:val="single" w:sz="4" w:space="0" w:color="auto"/>
              <w:right w:val="single" w:sz="4" w:space="0" w:color="auto"/>
            </w:tcBorders>
            <w:shd w:val="clear" w:color="auto" w:fill="auto"/>
            <w:hideMark/>
          </w:tcPr>
          <w:p w14:paraId="1266C508" w14:textId="77777777" w:rsidR="002B133A" w:rsidRPr="003D56F0" w:rsidRDefault="002B133A" w:rsidP="003D56F0">
            <w:pPr>
              <w:rPr>
                <w:rFonts w:eastAsia="Times New Roman"/>
                <w:color w:val="000000"/>
                <w:sz w:val="20"/>
                <w:szCs w:val="20"/>
              </w:rPr>
            </w:pPr>
            <w:r w:rsidRPr="003D56F0">
              <w:rPr>
                <w:sz w:val="20"/>
                <w:szCs w:val="20"/>
              </w:rPr>
              <w:t>Paper reported prevalence of drug use at baseline only. Assumes that days of drug use is in line with prevalence of drug use.</w:t>
            </w:r>
          </w:p>
        </w:tc>
      </w:tr>
      <w:tr w:rsidR="002B133A" w:rsidRPr="003D56F0" w14:paraId="6A100B13" w14:textId="77777777" w:rsidTr="00AC1AF3">
        <w:trPr>
          <w:trHeight w:val="600"/>
        </w:trPr>
        <w:tc>
          <w:tcPr>
            <w:tcW w:w="1726" w:type="pct"/>
            <w:tcBorders>
              <w:top w:val="nil"/>
              <w:left w:val="single" w:sz="4" w:space="0" w:color="auto"/>
              <w:bottom w:val="single" w:sz="4" w:space="0" w:color="auto"/>
              <w:right w:val="single" w:sz="4" w:space="0" w:color="auto"/>
            </w:tcBorders>
            <w:shd w:val="clear" w:color="auto" w:fill="auto"/>
            <w:hideMark/>
          </w:tcPr>
          <w:p w14:paraId="4C709C25" w14:textId="77777777" w:rsidR="002B133A" w:rsidRPr="003D56F0" w:rsidRDefault="002B133A" w:rsidP="00CC7EC2">
            <w:pPr>
              <w:rPr>
                <w:sz w:val="20"/>
                <w:szCs w:val="20"/>
              </w:rPr>
            </w:pPr>
            <w:r w:rsidRPr="003D56F0">
              <w:rPr>
                <w:sz w:val="20"/>
                <w:szCs w:val="20"/>
              </w:rPr>
              <w:lastRenderedPageBreak/>
              <w:t>3507Drug use - maintained reduction scenario</w:t>
            </w:r>
          </w:p>
        </w:tc>
        <w:tc>
          <w:tcPr>
            <w:tcW w:w="913" w:type="pct"/>
            <w:tcBorders>
              <w:top w:val="nil"/>
              <w:left w:val="nil"/>
              <w:bottom w:val="single" w:sz="4" w:space="0" w:color="auto"/>
              <w:right w:val="single" w:sz="4" w:space="0" w:color="auto"/>
            </w:tcBorders>
            <w:shd w:val="clear" w:color="auto" w:fill="auto"/>
            <w:hideMark/>
          </w:tcPr>
          <w:p w14:paraId="17230CB6" w14:textId="77777777" w:rsidR="002B133A" w:rsidRPr="003D56F0" w:rsidRDefault="002B133A" w:rsidP="00AD2788">
            <w:pPr>
              <w:rPr>
                <w:sz w:val="20"/>
                <w:szCs w:val="20"/>
              </w:rPr>
            </w:pPr>
            <w:r w:rsidRPr="003D56F0">
              <w:rPr>
                <w:sz w:val="20"/>
                <w:szCs w:val="20"/>
              </w:rPr>
              <w:t>0.053 (intervention); 0.115 (control) - average drug use over two years</w:t>
            </w:r>
          </w:p>
        </w:tc>
        <w:tc>
          <w:tcPr>
            <w:tcW w:w="2361" w:type="pct"/>
            <w:tcBorders>
              <w:top w:val="nil"/>
              <w:left w:val="nil"/>
              <w:bottom w:val="single" w:sz="4" w:space="0" w:color="auto"/>
              <w:right w:val="single" w:sz="4" w:space="0" w:color="auto"/>
            </w:tcBorders>
            <w:shd w:val="clear" w:color="auto" w:fill="auto"/>
            <w:hideMark/>
          </w:tcPr>
          <w:p w14:paraId="36AB70B8" w14:textId="77777777" w:rsidR="002B133A" w:rsidRPr="003D56F0" w:rsidRDefault="002B133A" w:rsidP="003D56F0">
            <w:pPr>
              <w:rPr>
                <w:rFonts w:eastAsia="Times New Roman"/>
                <w:color w:val="000000"/>
                <w:sz w:val="20"/>
                <w:szCs w:val="20"/>
              </w:rPr>
            </w:pPr>
            <w:r w:rsidRPr="003D56F0">
              <w:rPr>
                <w:sz w:val="20"/>
                <w:szCs w:val="20"/>
              </w:rPr>
              <w:t>Paper reported prevalence of drug use at baseline only. Assumes that days of drug use is in line with prevalence of drug use.</w:t>
            </w:r>
          </w:p>
        </w:tc>
      </w:tr>
      <w:tr w:rsidR="002B133A" w:rsidRPr="003D56F0" w14:paraId="72C06EDA" w14:textId="77777777" w:rsidTr="00AC1AF3">
        <w:trPr>
          <w:trHeight w:val="1200"/>
        </w:trPr>
        <w:tc>
          <w:tcPr>
            <w:tcW w:w="1726" w:type="pct"/>
            <w:tcBorders>
              <w:top w:val="nil"/>
              <w:left w:val="single" w:sz="4" w:space="0" w:color="auto"/>
              <w:bottom w:val="single" w:sz="4" w:space="0" w:color="auto"/>
              <w:right w:val="single" w:sz="4" w:space="0" w:color="auto"/>
            </w:tcBorders>
            <w:shd w:val="clear" w:color="auto" w:fill="auto"/>
            <w:hideMark/>
          </w:tcPr>
          <w:p w14:paraId="0485B5A4" w14:textId="77777777" w:rsidR="002B133A" w:rsidRPr="003D56F0" w:rsidRDefault="002B133A" w:rsidP="00CC7EC2">
            <w:pPr>
              <w:rPr>
                <w:sz w:val="20"/>
                <w:szCs w:val="20"/>
              </w:rPr>
            </w:pPr>
            <w:r w:rsidRPr="003D56F0">
              <w:rPr>
                <w:sz w:val="20"/>
                <w:szCs w:val="20"/>
              </w:rPr>
              <w:t>Cocaine specific hospital costs</w:t>
            </w:r>
          </w:p>
        </w:tc>
        <w:tc>
          <w:tcPr>
            <w:tcW w:w="913" w:type="pct"/>
            <w:tcBorders>
              <w:top w:val="nil"/>
              <w:left w:val="nil"/>
              <w:bottom w:val="single" w:sz="4" w:space="0" w:color="auto"/>
              <w:right w:val="single" w:sz="4" w:space="0" w:color="auto"/>
            </w:tcBorders>
            <w:shd w:val="clear" w:color="auto" w:fill="auto"/>
            <w:hideMark/>
          </w:tcPr>
          <w:p w14:paraId="189610F9" w14:textId="77777777" w:rsidR="002B133A" w:rsidRPr="003D56F0" w:rsidRDefault="002B133A" w:rsidP="00AD2788">
            <w:pPr>
              <w:rPr>
                <w:sz w:val="20"/>
                <w:szCs w:val="20"/>
              </w:rPr>
            </w:pPr>
            <w:r w:rsidRPr="003D56F0">
              <w:rPr>
                <w:sz w:val="20"/>
                <w:szCs w:val="20"/>
              </w:rPr>
              <w:t>£3.95 per cocaine user per year</w:t>
            </w:r>
          </w:p>
        </w:tc>
        <w:tc>
          <w:tcPr>
            <w:tcW w:w="2361" w:type="pct"/>
            <w:tcBorders>
              <w:top w:val="nil"/>
              <w:left w:val="nil"/>
              <w:bottom w:val="single" w:sz="4" w:space="0" w:color="auto"/>
              <w:right w:val="single" w:sz="4" w:space="0" w:color="auto"/>
            </w:tcBorders>
            <w:shd w:val="clear" w:color="auto" w:fill="auto"/>
            <w:hideMark/>
          </w:tcPr>
          <w:p w14:paraId="5015E35E" w14:textId="77777777" w:rsidR="002B133A" w:rsidRPr="003D56F0" w:rsidRDefault="002B133A" w:rsidP="003D56F0">
            <w:pPr>
              <w:rPr>
                <w:rFonts w:eastAsia="Times New Roman"/>
                <w:color w:val="000000"/>
                <w:sz w:val="20"/>
                <w:szCs w:val="20"/>
              </w:rPr>
            </w:pPr>
            <w:r w:rsidRPr="003D56F0">
              <w:rPr>
                <w:sz w:val="20"/>
                <w:szCs w:val="20"/>
              </w:rPr>
              <w:t xml:space="preserve">Based on 1624 admissions for cocaine poisoning or mental &amp; behavioural disorders due to cocaine (each costing £1,590) divided by 726,559 cocaine users aged 18-59, assuming 80% conveyed by ambulance. </w:t>
            </w:r>
          </w:p>
        </w:tc>
      </w:tr>
      <w:tr w:rsidR="002B133A" w:rsidRPr="003D56F0" w14:paraId="7536EE08" w14:textId="77777777" w:rsidTr="00AC1AF3">
        <w:trPr>
          <w:trHeight w:val="1200"/>
        </w:trPr>
        <w:tc>
          <w:tcPr>
            <w:tcW w:w="1726" w:type="pct"/>
            <w:tcBorders>
              <w:top w:val="nil"/>
              <w:left w:val="single" w:sz="4" w:space="0" w:color="auto"/>
              <w:bottom w:val="single" w:sz="4" w:space="0" w:color="auto"/>
              <w:right w:val="single" w:sz="4" w:space="0" w:color="auto"/>
            </w:tcBorders>
            <w:shd w:val="clear" w:color="auto" w:fill="auto"/>
            <w:hideMark/>
          </w:tcPr>
          <w:p w14:paraId="5B699C00" w14:textId="77777777" w:rsidR="002B133A" w:rsidRPr="003D56F0" w:rsidRDefault="002B133A" w:rsidP="00CC7EC2">
            <w:pPr>
              <w:rPr>
                <w:sz w:val="20"/>
                <w:szCs w:val="20"/>
              </w:rPr>
            </w:pPr>
            <w:r w:rsidRPr="003D56F0">
              <w:rPr>
                <w:sz w:val="20"/>
                <w:szCs w:val="20"/>
              </w:rPr>
              <w:t>Cocaine related CVD hospital costs</w:t>
            </w:r>
          </w:p>
        </w:tc>
        <w:tc>
          <w:tcPr>
            <w:tcW w:w="913" w:type="pct"/>
            <w:tcBorders>
              <w:top w:val="nil"/>
              <w:left w:val="nil"/>
              <w:bottom w:val="single" w:sz="4" w:space="0" w:color="auto"/>
              <w:right w:val="single" w:sz="4" w:space="0" w:color="auto"/>
            </w:tcBorders>
            <w:shd w:val="clear" w:color="auto" w:fill="auto"/>
            <w:hideMark/>
          </w:tcPr>
          <w:p w14:paraId="7D92A11C" w14:textId="77777777" w:rsidR="002B133A" w:rsidRPr="003D56F0" w:rsidRDefault="002B133A" w:rsidP="00AD2788">
            <w:pPr>
              <w:rPr>
                <w:sz w:val="20"/>
                <w:szCs w:val="20"/>
              </w:rPr>
            </w:pPr>
            <w:r w:rsidRPr="003D56F0">
              <w:rPr>
                <w:sz w:val="20"/>
                <w:szCs w:val="20"/>
              </w:rPr>
              <w:t>£8.52 per cocaine user per year</w:t>
            </w:r>
          </w:p>
        </w:tc>
        <w:tc>
          <w:tcPr>
            <w:tcW w:w="2361" w:type="pct"/>
            <w:tcBorders>
              <w:top w:val="nil"/>
              <w:left w:val="nil"/>
              <w:bottom w:val="single" w:sz="4" w:space="0" w:color="auto"/>
              <w:right w:val="single" w:sz="4" w:space="0" w:color="auto"/>
            </w:tcBorders>
            <w:shd w:val="clear" w:color="auto" w:fill="auto"/>
            <w:hideMark/>
          </w:tcPr>
          <w:p w14:paraId="7D3BABB3" w14:textId="77777777" w:rsidR="002B133A" w:rsidRPr="003D56F0" w:rsidRDefault="002B133A" w:rsidP="003D56F0">
            <w:pPr>
              <w:rPr>
                <w:rFonts w:eastAsia="Times New Roman"/>
                <w:color w:val="000000"/>
                <w:sz w:val="20"/>
                <w:szCs w:val="20"/>
              </w:rPr>
            </w:pPr>
            <w:r w:rsidRPr="003D56F0">
              <w:rPr>
                <w:sz w:val="20"/>
                <w:szCs w:val="20"/>
              </w:rPr>
              <w:t>Based on 20% of 5,067 myocardial infarction admissions in 18-44 year olds (Qureshi et al 2001 estimated 1 in 4), plus 3% of 53,355 non-myocardial infarction CVD admissions in 18-44 year olds (based on Lucena et al.)</w:t>
            </w:r>
          </w:p>
        </w:tc>
      </w:tr>
      <w:tr w:rsidR="002B133A" w:rsidRPr="003D56F0" w14:paraId="58E96B4B" w14:textId="77777777" w:rsidTr="00AC1AF3">
        <w:trPr>
          <w:trHeight w:val="900"/>
        </w:trPr>
        <w:tc>
          <w:tcPr>
            <w:tcW w:w="1726" w:type="pct"/>
            <w:tcBorders>
              <w:top w:val="nil"/>
              <w:left w:val="single" w:sz="4" w:space="0" w:color="auto"/>
              <w:bottom w:val="single" w:sz="4" w:space="0" w:color="auto"/>
              <w:right w:val="single" w:sz="4" w:space="0" w:color="auto"/>
            </w:tcBorders>
            <w:shd w:val="clear" w:color="auto" w:fill="auto"/>
            <w:hideMark/>
          </w:tcPr>
          <w:p w14:paraId="57569A6C" w14:textId="77777777" w:rsidR="002B133A" w:rsidRPr="003D56F0" w:rsidRDefault="002B133A" w:rsidP="00CC7EC2">
            <w:pPr>
              <w:rPr>
                <w:sz w:val="20"/>
                <w:szCs w:val="20"/>
              </w:rPr>
            </w:pPr>
            <w:r w:rsidRPr="003D56F0">
              <w:rPr>
                <w:sz w:val="20"/>
                <w:szCs w:val="20"/>
              </w:rPr>
              <w:t>QALY loss from risk of future cocaine dependence</w:t>
            </w:r>
          </w:p>
        </w:tc>
        <w:tc>
          <w:tcPr>
            <w:tcW w:w="913" w:type="pct"/>
            <w:tcBorders>
              <w:top w:val="nil"/>
              <w:left w:val="nil"/>
              <w:bottom w:val="single" w:sz="4" w:space="0" w:color="auto"/>
              <w:right w:val="single" w:sz="4" w:space="0" w:color="auto"/>
            </w:tcBorders>
            <w:shd w:val="clear" w:color="auto" w:fill="auto"/>
            <w:hideMark/>
          </w:tcPr>
          <w:p w14:paraId="306F0245" w14:textId="77777777" w:rsidR="002B133A" w:rsidRPr="003D56F0" w:rsidRDefault="002B133A" w:rsidP="00AD2788">
            <w:pPr>
              <w:rPr>
                <w:sz w:val="20"/>
                <w:szCs w:val="20"/>
              </w:rPr>
            </w:pPr>
            <w:r w:rsidRPr="003D56F0">
              <w:rPr>
                <w:sz w:val="20"/>
                <w:szCs w:val="20"/>
              </w:rPr>
              <w:t>7.89 QALYs per 1000 users per year</w:t>
            </w:r>
          </w:p>
        </w:tc>
        <w:tc>
          <w:tcPr>
            <w:tcW w:w="2361" w:type="pct"/>
            <w:tcBorders>
              <w:top w:val="nil"/>
              <w:left w:val="nil"/>
              <w:bottom w:val="single" w:sz="4" w:space="0" w:color="auto"/>
              <w:right w:val="single" w:sz="4" w:space="0" w:color="auto"/>
            </w:tcBorders>
            <w:shd w:val="clear" w:color="auto" w:fill="auto"/>
            <w:hideMark/>
          </w:tcPr>
          <w:p w14:paraId="2DB6CD29" w14:textId="77777777" w:rsidR="002B133A" w:rsidRPr="003D56F0" w:rsidRDefault="002B133A" w:rsidP="003D56F0">
            <w:pPr>
              <w:rPr>
                <w:rFonts w:eastAsia="Times New Roman"/>
                <w:color w:val="000000"/>
                <w:sz w:val="20"/>
                <w:szCs w:val="20"/>
              </w:rPr>
            </w:pPr>
            <w:r w:rsidRPr="003D56F0">
              <w:rPr>
                <w:sz w:val="20"/>
                <w:szCs w:val="20"/>
              </w:rPr>
              <w:t>Based on risk of dependence of 1.3% per year for 16-19 year olds from Wagner et al (2002) multiplied by 10 * 0.064 QALYs lost every six month from Pyne et al (2011).</w:t>
            </w:r>
          </w:p>
        </w:tc>
      </w:tr>
      <w:tr w:rsidR="002B133A" w:rsidRPr="003D56F0" w14:paraId="4F500BEE" w14:textId="77777777" w:rsidTr="00AC1AF3">
        <w:trPr>
          <w:trHeight w:val="1575"/>
        </w:trPr>
        <w:tc>
          <w:tcPr>
            <w:tcW w:w="1726" w:type="pct"/>
            <w:tcBorders>
              <w:top w:val="nil"/>
              <w:left w:val="single" w:sz="4" w:space="0" w:color="auto"/>
              <w:bottom w:val="single" w:sz="4" w:space="0" w:color="auto"/>
              <w:right w:val="single" w:sz="4" w:space="0" w:color="auto"/>
            </w:tcBorders>
            <w:shd w:val="clear" w:color="auto" w:fill="auto"/>
            <w:hideMark/>
          </w:tcPr>
          <w:p w14:paraId="0DC60E71" w14:textId="77777777" w:rsidR="002B133A" w:rsidRPr="003D56F0" w:rsidRDefault="002B133A" w:rsidP="00CC7EC2">
            <w:pPr>
              <w:rPr>
                <w:sz w:val="20"/>
                <w:szCs w:val="20"/>
              </w:rPr>
            </w:pPr>
            <w:r w:rsidRPr="003D56F0">
              <w:rPr>
                <w:sz w:val="20"/>
                <w:szCs w:val="20"/>
              </w:rPr>
              <w:t>QALYs lost from cocaine related deaths</w:t>
            </w:r>
          </w:p>
        </w:tc>
        <w:tc>
          <w:tcPr>
            <w:tcW w:w="913" w:type="pct"/>
            <w:tcBorders>
              <w:top w:val="nil"/>
              <w:left w:val="nil"/>
              <w:bottom w:val="single" w:sz="4" w:space="0" w:color="auto"/>
              <w:right w:val="single" w:sz="4" w:space="0" w:color="auto"/>
            </w:tcBorders>
            <w:shd w:val="clear" w:color="auto" w:fill="auto"/>
            <w:hideMark/>
          </w:tcPr>
          <w:p w14:paraId="0224B1A3" w14:textId="77777777" w:rsidR="002B133A" w:rsidRPr="003D56F0" w:rsidRDefault="002B133A" w:rsidP="00AD2788">
            <w:pPr>
              <w:rPr>
                <w:sz w:val="20"/>
                <w:szCs w:val="20"/>
              </w:rPr>
            </w:pPr>
            <w:r w:rsidRPr="003D56F0">
              <w:rPr>
                <w:sz w:val="20"/>
                <w:szCs w:val="20"/>
              </w:rPr>
              <w:t>2.66 QALYs per 1000 users per year</w:t>
            </w:r>
          </w:p>
        </w:tc>
        <w:tc>
          <w:tcPr>
            <w:tcW w:w="2361" w:type="pct"/>
            <w:tcBorders>
              <w:top w:val="nil"/>
              <w:left w:val="nil"/>
              <w:bottom w:val="single" w:sz="4" w:space="0" w:color="auto"/>
              <w:right w:val="single" w:sz="4" w:space="0" w:color="auto"/>
            </w:tcBorders>
            <w:shd w:val="clear" w:color="auto" w:fill="auto"/>
            <w:hideMark/>
          </w:tcPr>
          <w:p w14:paraId="54BF709D" w14:textId="77777777" w:rsidR="002B133A" w:rsidRPr="003D56F0" w:rsidRDefault="002B133A" w:rsidP="003D56F0">
            <w:pPr>
              <w:rPr>
                <w:rFonts w:eastAsia="Times New Roman"/>
                <w:color w:val="000000"/>
                <w:sz w:val="20"/>
                <w:szCs w:val="20"/>
              </w:rPr>
            </w:pPr>
            <w:r w:rsidRPr="003D56F0">
              <w:rPr>
                <w:sz w:val="20"/>
                <w:szCs w:val="20"/>
              </w:rPr>
              <w:t>Based on 32.3 discounted QALYs lost per death and 3% of CVD deaths (2334 deaths in persons 2014) aged&lt;45 being cocaine related , and 50% of cocaine specific deaths (74 deaths in 2014) being related to powder cocaine. In reality young people may be unlikely to die from cocaine use but use may lead to deaths after age 25.</w:t>
            </w:r>
          </w:p>
        </w:tc>
      </w:tr>
      <w:tr w:rsidR="002B133A" w:rsidRPr="003D56F0" w14:paraId="6288DD77" w14:textId="77777777" w:rsidTr="00AC1AF3">
        <w:trPr>
          <w:trHeight w:val="1200"/>
        </w:trPr>
        <w:tc>
          <w:tcPr>
            <w:tcW w:w="1726" w:type="pct"/>
            <w:tcBorders>
              <w:top w:val="nil"/>
              <w:left w:val="single" w:sz="4" w:space="0" w:color="auto"/>
              <w:bottom w:val="single" w:sz="4" w:space="0" w:color="auto"/>
              <w:right w:val="single" w:sz="4" w:space="0" w:color="auto"/>
            </w:tcBorders>
            <w:shd w:val="clear" w:color="auto" w:fill="auto"/>
            <w:hideMark/>
          </w:tcPr>
          <w:p w14:paraId="4CE69296" w14:textId="77777777" w:rsidR="002B133A" w:rsidRPr="003D56F0" w:rsidRDefault="002B133A" w:rsidP="00CC7EC2">
            <w:pPr>
              <w:rPr>
                <w:sz w:val="20"/>
                <w:szCs w:val="20"/>
              </w:rPr>
            </w:pPr>
            <w:r w:rsidRPr="003D56F0">
              <w:rPr>
                <w:sz w:val="20"/>
                <w:szCs w:val="20"/>
              </w:rPr>
              <w:t>Drug treatment costs</w:t>
            </w:r>
          </w:p>
        </w:tc>
        <w:tc>
          <w:tcPr>
            <w:tcW w:w="913" w:type="pct"/>
            <w:tcBorders>
              <w:top w:val="nil"/>
              <w:left w:val="nil"/>
              <w:bottom w:val="single" w:sz="4" w:space="0" w:color="auto"/>
              <w:right w:val="single" w:sz="4" w:space="0" w:color="auto"/>
            </w:tcBorders>
            <w:shd w:val="clear" w:color="auto" w:fill="auto"/>
            <w:hideMark/>
          </w:tcPr>
          <w:p w14:paraId="44925843" w14:textId="77777777" w:rsidR="002B133A" w:rsidRPr="003D56F0" w:rsidRDefault="002B133A" w:rsidP="00AD2788">
            <w:pPr>
              <w:rPr>
                <w:sz w:val="20"/>
                <w:szCs w:val="20"/>
              </w:rPr>
            </w:pPr>
            <w:r w:rsidRPr="003D56F0">
              <w:rPr>
                <w:sz w:val="20"/>
                <w:szCs w:val="20"/>
              </w:rPr>
              <w:t>£5.49 per user per year</w:t>
            </w:r>
          </w:p>
        </w:tc>
        <w:tc>
          <w:tcPr>
            <w:tcW w:w="2361" w:type="pct"/>
            <w:tcBorders>
              <w:top w:val="nil"/>
              <w:left w:val="nil"/>
              <w:bottom w:val="single" w:sz="4" w:space="0" w:color="auto"/>
              <w:right w:val="single" w:sz="4" w:space="0" w:color="auto"/>
            </w:tcBorders>
            <w:shd w:val="clear" w:color="auto" w:fill="auto"/>
            <w:hideMark/>
          </w:tcPr>
          <w:p w14:paraId="3D50DF07" w14:textId="77777777" w:rsidR="002B133A" w:rsidRPr="003D56F0" w:rsidRDefault="002B133A" w:rsidP="003D56F0">
            <w:pPr>
              <w:rPr>
                <w:rFonts w:eastAsia="Times New Roman"/>
                <w:color w:val="000000"/>
                <w:sz w:val="20"/>
                <w:szCs w:val="20"/>
              </w:rPr>
            </w:pPr>
            <w:r w:rsidRPr="003D56F0">
              <w:rPr>
                <w:sz w:val="20"/>
                <w:szCs w:val="20"/>
              </w:rPr>
              <w:t>Based on 250 young people in drug treatment in England with primary drug of cocaine in 2014/15 divided by estimated 71,156 sixteen year old cocaine users in England, multiplied by estimated £1,562 per cocaine user in treatment from PHE.</w:t>
            </w:r>
          </w:p>
        </w:tc>
      </w:tr>
      <w:tr w:rsidR="002B133A" w:rsidRPr="003D56F0" w14:paraId="175B820A" w14:textId="77777777" w:rsidTr="00AC1AF3">
        <w:trPr>
          <w:trHeight w:val="900"/>
        </w:trPr>
        <w:tc>
          <w:tcPr>
            <w:tcW w:w="1726" w:type="pct"/>
            <w:tcBorders>
              <w:top w:val="nil"/>
              <w:left w:val="single" w:sz="4" w:space="0" w:color="auto"/>
              <w:bottom w:val="single" w:sz="4" w:space="0" w:color="auto"/>
              <w:right w:val="single" w:sz="4" w:space="0" w:color="auto"/>
            </w:tcBorders>
            <w:shd w:val="clear" w:color="auto" w:fill="auto"/>
            <w:hideMark/>
          </w:tcPr>
          <w:p w14:paraId="37A51AD6" w14:textId="77777777" w:rsidR="002B133A" w:rsidRPr="003D56F0" w:rsidRDefault="002B133A" w:rsidP="00CC7EC2">
            <w:pPr>
              <w:rPr>
                <w:sz w:val="20"/>
                <w:szCs w:val="20"/>
              </w:rPr>
            </w:pPr>
            <w:r w:rsidRPr="003D56F0">
              <w:rPr>
                <w:sz w:val="20"/>
                <w:szCs w:val="20"/>
              </w:rPr>
              <w:t>Crime costs</w:t>
            </w:r>
          </w:p>
        </w:tc>
        <w:tc>
          <w:tcPr>
            <w:tcW w:w="913" w:type="pct"/>
            <w:tcBorders>
              <w:top w:val="nil"/>
              <w:left w:val="nil"/>
              <w:bottom w:val="single" w:sz="4" w:space="0" w:color="auto"/>
              <w:right w:val="single" w:sz="4" w:space="0" w:color="auto"/>
            </w:tcBorders>
            <w:shd w:val="clear" w:color="auto" w:fill="auto"/>
            <w:hideMark/>
          </w:tcPr>
          <w:p w14:paraId="54036034" w14:textId="77777777" w:rsidR="002B133A" w:rsidRPr="003D56F0" w:rsidRDefault="002B133A" w:rsidP="00AD2788">
            <w:pPr>
              <w:rPr>
                <w:sz w:val="20"/>
                <w:szCs w:val="20"/>
              </w:rPr>
            </w:pPr>
            <w:r w:rsidRPr="003D56F0">
              <w:rPr>
                <w:sz w:val="20"/>
                <w:szCs w:val="20"/>
              </w:rPr>
              <w:t>£18.10 per cocaine user per year</w:t>
            </w:r>
          </w:p>
        </w:tc>
        <w:tc>
          <w:tcPr>
            <w:tcW w:w="2361" w:type="pct"/>
            <w:tcBorders>
              <w:top w:val="nil"/>
              <w:left w:val="nil"/>
              <w:bottom w:val="single" w:sz="4" w:space="0" w:color="auto"/>
              <w:right w:val="single" w:sz="4" w:space="0" w:color="auto"/>
            </w:tcBorders>
            <w:shd w:val="clear" w:color="auto" w:fill="auto"/>
            <w:hideMark/>
          </w:tcPr>
          <w:p w14:paraId="208E8A47" w14:textId="77777777" w:rsidR="002B133A" w:rsidRPr="003D56F0" w:rsidRDefault="002B133A" w:rsidP="003D56F0">
            <w:pPr>
              <w:rPr>
                <w:rFonts w:eastAsia="Times New Roman"/>
                <w:color w:val="000000"/>
                <w:sz w:val="20"/>
                <w:szCs w:val="20"/>
              </w:rPr>
            </w:pPr>
            <w:r w:rsidRPr="003D56F0">
              <w:rPr>
                <w:sz w:val="20"/>
                <w:szCs w:val="20"/>
              </w:rPr>
              <w:t>Based on 22.6% of 31,915 non-cannabis drug possession arrests = 7,207, multiplied by £1,925 from Godfrey (2002 inflated to 2015 prices) divided by 766,402 cocaine users in England &amp; Wales</w:t>
            </w:r>
          </w:p>
        </w:tc>
      </w:tr>
      <w:tr w:rsidR="002B133A" w:rsidRPr="003D56F0" w14:paraId="4A6F8147" w14:textId="77777777" w:rsidTr="00AC1AF3">
        <w:trPr>
          <w:trHeight w:val="315"/>
        </w:trPr>
        <w:tc>
          <w:tcPr>
            <w:tcW w:w="1726" w:type="pct"/>
            <w:tcBorders>
              <w:top w:val="nil"/>
              <w:left w:val="single" w:sz="4" w:space="0" w:color="auto"/>
              <w:bottom w:val="single" w:sz="4" w:space="0" w:color="auto"/>
              <w:right w:val="single" w:sz="4" w:space="0" w:color="auto"/>
            </w:tcBorders>
            <w:shd w:val="clear" w:color="auto" w:fill="auto"/>
            <w:noWrap/>
            <w:vAlign w:val="bottom"/>
            <w:hideMark/>
          </w:tcPr>
          <w:p w14:paraId="2C986E9C" w14:textId="77777777" w:rsidR="002B133A" w:rsidRPr="003D56F0" w:rsidRDefault="002B133A" w:rsidP="00CC7EC2">
            <w:pPr>
              <w:rPr>
                <w:sz w:val="20"/>
                <w:szCs w:val="20"/>
              </w:rPr>
            </w:pPr>
            <w:r w:rsidRPr="003D56F0">
              <w:rPr>
                <w:sz w:val="20"/>
                <w:szCs w:val="20"/>
              </w:rPr>
              <w:t>Total social costs per cocaine user per year</w:t>
            </w:r>
          </w:p>
        </w:tc>
        <w:tc>
          <w:tcPr>
            <w:tcW w:w="913" w:type="pct"/>
            <w:tcBorders>
              <w:top w:val="nil"/>
              <w:left w:val="nil"/>
              <w:bottom w:val="single" w:sz="4" w:space="0" w:color="auto"/>
              <w:right w:val="single" w:sz="4" w:space="0" w:color="auto"/>
            </w:tcBorders>
            <w:shd w:val="clear" w:color="auto" w:fill="auto"/>
            <w:noWrap/>
            <w:vAlign w:val="bottom"/>
            <w:hideMark/>
          </w:tcPr>
          <w:p w14:paraId="6ED81A41" w14:textId="77777777" w:rsidR="002B133A" w:rsidRPr="003D56F0" w:rsidRDefault="002B133A" w:rsidP="00AD2788">
            <w:pPr>
              <w:rPr>
                <w:sz w:val="20"/>
                <w:szCs w:val="20"/>
              </w:rPr>
            </w:pPr>
            <w:r w:rsidRPr="003D56F0">
              <w:rPr>
                <w:sz w:val="20"/>
                <w:szCs w:val="20"/>
              </w:rPr>
              <w:t>£36.06</w:t>
            </w:r>
          </w:p>
        </w:tc>
        <w:tc>
          <w:tcPr>
            <w:tcW w:w="2361" w:type="pct"/>
            <w:tcBorders>
              <w:top w:val="nil"/>
              <w:left w:val="nil"/>
              <w:bottom w:val="single" w:sz="4" w:space="0" w:color="auto"/>
              <w:right w:val="single" w:sz="4" w:space="0" w:color="auto"/>
            </w:tcBorders>
            <w:shd w:val="clear" w:color="auto" w:fill="auto"/>
            <w:noWrap/>
            <w:vAlign w:val="bottom"/>
            <w:hideMark/>
          </w:tcPr>
          <w:p w14:paraId="737429AB" w14:textId="77777777" w:rsidR="002B133A" w:rsidRPr="003D56F0" w:rsidRDefault="002B133A" w:rsidP="003D56F0">
            <w:pPr>
              <w:rPr>
                <w:rFonts w:eastAsia="Times New Roman"/>
                <w:color w:val="000000"/>
                <w:sz w:val="20"/>
                <w:szCs w:val="20"/>
              </w:rPr>
            </w:pPr>
            <w:r w:rsidRPr="003D56F0">
              <w:rPr>
                <w:sz w:val="20"/>
                <w:szCs w:val="20"/>
              </w:rPr>
              <w:t>Summed from above</w:t>
            </w:r>
          </w:p>
        </w:tc>
      </w:tr>
      <w:tr w:rsidR="002B133A" w:rsidRPr="003D56F0" w14:paraId="7D436ECF" w14:textId="77777777" w:rsidTr="00AC1AF3">
        <w:trPr>
          <w:trHeight w:val="300"/>
        </w:trPr>
        <w:tc>
          <w:tcPr>
            <w:tcW w:w="1726" w:type="pct"/>
            <w:tcBorders>
              <w:top w:val="nil"/>
              <w:left w:val="single" w:sz="4" w:space="0" w:color="auto"/>
              <w:bottom w:val="single" w:sz="4" w:space="0" w:color="auto"/>
              <w:right w:val="single" w:sz="4" w:space="0" w:color="auto"/>
            </w:tcBorders>
            <w:shd w:val="clear" w:color="auto" w:fill="auto"/>
            <w:noWrap/>
            <w:vAlign w:val="bottom"/>
            <w:hideMark/>
          </w:tcPr>
          <w:p w14:paraId="32BF59E2" w14:textId="77777777" w:rsidR="002B133A" w:rsidRPr="003D56F0" w:rsidRDefault="002B133A" w:rsidP="00CC7EC2">
            <w:pPr>
              <w:rPr>
                <w:sz w:val="20"/>
                <w:szCs w:val="20"/>
              </w:rPr>
            </w:pPr>
            <w:r w:rsidRPr="003D56F0">
              <w:rPr>
                <w:sz w:val="20"/>
                <w:szCs w:val="20"/>
              </w:rPr>
              <w:t>Total QALYs lost per cocaine user per year</w:t>
            </w:r>
          </w:p>
        </w:tc>
        <w:tc>
          <w:tcPr>
            <w:tcW w:w="913" w:type="pct"/>
            <w:tcBorders>
              <w:top w:val="single" w:sz="8" w:space="0" w:color="auto"/>
              <w:left w:val="nil"/>
              <w:bottom w:val="single" w:sz="4" w:space="0" w:color="auto"/>
              <w:right w:val="single" w:sz="4" w:space="0" w:color="auto"/>
            </w:tcBorders>
            <w:shd w:val="clear" w:color="auto" w:fill="auto"/>
            <w:noWrap/>
            <w:vAlign w:val="bottom"/>
            <w:hideMark/>
          </w:tcPr>
          <w:p w14:paraId="71E80BD0" w14:textId="77777777" w:rsidR="002B133A" w:rsidRPr="003D56F0" w:rsidRDefault="002B133A" w:rsidP="00AD2788">
            <w:pPr>
              <w:rPr>
                <w:sz w:val="20"/>
                <w:szCs w:val="20"/>
              </w:rPr>
            </w:pPr>
            <w:r w:rsidRPr="003D56F0">
              <w:rPr>
                <w:sz w:val="20"/>
                <w:szCs w:val="20"/>
              </w:rPr>
              <w:t>0.01009</w:t>
            </w:r>
          </w:p>
        </w:tc>
        <w:tc>
          <w:tcPr>
            <w:tcW w:w="2361" w:type="pct"/>
            <w:tcBorders>
              <w:top w:val="nil"/>
              <w:left w:val="nil"/>
              <w:bottom w:val="single" w:sz="4" w:space="0" w:color="auto"/>
              <w:right w:val="single" w:sz="4" w:space="0" w:color="auto"/>
            </w:tcBorders>
            <w:shd w:val="clear" w:color="auto" w:fill="auto"/>
            <w:noWrap/>
            <w:vAlign w:val="bottom"/>
            <w:hideMark/>
          </w:tcPr>
          <w:p w14:paraId="6E1A2D29" w14:textId="77777777" w:rsidR="002B133A" w:rsidRPr="003D56F0" w:rsidRDefault="002B133A" w:rsidP="003D56F0">
            <w:pPr>
              <w:rPr>
                <w:rFonts w:eastAsia="Times New Roman"/>
                <w:color w:val="000000"/>
                <w:sz w:val="20"/>
                <w:szCs w:val="20"/>
              </w:rPr>
            </w:pPr>
            <w:r w:rsidRPr="003D56F0">
              <w:rPr>
                <w:sz w:val="20"/>
                <w:szCs w:val="20"/>
              </w:rPr>
              <w:t>Summed from above</w:t>
            </w:r>
          </w:p>
        </w:tc>
      </w:tr>
    </w:tbl>
    <w:p w14:paraId="2BCAA448" w14:textId="77777777" w:rsidR="002B133A" w:rsidRPr="003D56F0" w:rsidRDefault="002B133A" w:rsidP="00CC7EC2">
      <w:pPr>
        <w:rPr>
          <w:sz w:val="20"/>
          <w:szCs w:val="20"/>
        </w:rPr>
      </w:pPr>
    </w:p>
    <w:p w14:paraId="4BDFE4E2" w14:textId="77777777" w:rsidR="002B133A" w:rsidRPr="003D56F0" w:rsidRDefault="002B133A" w:rsidP="00AD2788">
      <w:pPr>
        <w:pStyle w:val="Heading4"/>
        <w:rPr>
          <w:sz w:val="20"/>
          <w:szCs w:val="20"/>
        </w:rPr>
      </w:pPr>
      <w:r w:rsidRPr="003D56F0">
        <w:rPr>
          <w:sz w:val="20"/>
          <w:szCs w:val="20"/>
        </w:rPr>
        <w:lastRenderedPageBreak/>
        <w:t>Sensitivity Analysis Parameters</w:t>
      </w:r>
    </w:p>
    <w:tbl>
      <w:tblPr>
        <w:tblW w:w="46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64"/>
        <w:gridCol w:w="1417"/>
        <w:gridCol w:w="1135"/>
        <w:gridCol w:w="1276"/>
      </w:tblGrid>
      <w:tr w:rsidR="002B133A" w:rsidRPr="003D56F0" w14:paraId="0336CBCC" w14:textId="77777777" w:rsidTr="00AC1AF3">
        <w:trPr>
          <w:trHeight w:val="663"/>
        </w:trPr>
        <w:tc>
          <w:tcPr>
            <w:tcW w:w="2719" w:type="pct"/>
            <w:shd w:val="clear" w:color="auto" w:fill="auto"/>
            <w:noWrap/>
            <w:tcMar>
              <w:top w:w="28" w:type="dxa"/>
              <w:left w:w="28" w:type="dxa"/>
              <w:bottom w:w="28" w:type="dxa"/>
              <w:right w:w="28" w:type="dxa"/>
            </w:tcMar>
            <w:hideMark/>
          </w:tcPr>
          <w:p w14:paraId="27BF9859" w14:textId="77777777" w:rsidR="002B133A" w:rsidRPr="003D56F0" w:rsidRDefault="002B133A" w:rsidP="003D56F0">
            <w:pPr>
              <w:rPr>
                <w:rFonts w:eastAsia="Times New Roman"/>
                <w:color w:val="000000"/>
                <w:sz w:val="20"/>
                <w:szCs w:val="20"/>
              </w:rPr>
            </w:pPr>
            <w:r w:rsidRPr="003D56F0">
              <w:rPr>
                <w:sz w:val="20"/>
                <w:szCs w:val="20"/>
              </w:rPr>
              <w:t>Variable description</w:t>
            </w:r>
          </w:p>
        </w:tc>
        <w:tc>
          <w:tcPr>
            <w:tcW w:w="844" w:type="pct"/>
            <w:shd w:val="clear" w:color="auto" w:fill="auto"/>
            <w:noWrap/>
            <w:tcMar>
              <w:top w:w="28" w:type="dxa"/>
              <w:left w:w="28" w:type="dxa"/>
              <w:bottom w:w="28" w:type="dxa"/>
              <w:right w:w="28" w:type="dxa"/>
            </w:tcMar>
            <w:hideMark/>
          </w:tcPr>
          <w:p w14:paraId="7C444780" w14:textId="77777777" w:rsidR="002B133A" w:rsidRPr="003D56F0" w:rsidRDefault="002B133A" w:rsidP="003D56F0">
            <w:pPr>
              <w:rPr>
                <w:sz w:val="20"/>
                <w:szCs w:val="20"/>
              </w:rPr>
            </w:pPr>
            <w:r w:rsidRPr="003D56F0">
              <w:rPr>
                <w:sz w:val="20"/>
                <w:szCs w:val="20"/>
              </w:rPr>
              <w:t>Parameters</w:t>
            </w:r>
          </w:p>
        </w:tc>
        <w:tc>
          <w:tcPr>
            <w:tcW w:w="676" w:type="pct"/>
            <w:shd w:val="clear" w:color="auto" w:fill="auto"/>
            <w:noWrap/>
            <w:tcMar>
              <w:top w:w="28" w:type="dxa"/>
              <w:left w:w="28" w:type="dxa"/>
              <w:bottom w:w="28" w:type="dxa"/>
              <w:right w:w="28" w:type="dxa"/>
            </w:tcMar>
            <w:hideMark/>
          </w:tcPr>
          <w:p w14:paraId="6277EA0A" w14:textId="77777777" w:rsidR="002B133A" w:rsidRPr="003D56F0" w:rsidRDefault="002B133A" w:rsidP="003D56F0">
            <w:pPr>
              <w:rPr>
                <w:sz w:val="20"/>
                <w:szCs w:val="20"/>
              </w:rPr>
            </w:pPr>
            <w:r w:rsidRPr="003D56F0">
              <w:rPr>
                <w:sz w:val="20"/>
                <w:szCs w:val="20"/>
              </w:rPr>
              <w:t xml:space="preserve">Low </w:t>
            </w:r>
          </w:p>
        </w:tc>
        <w:tc>
          <w:tcPr>
            <w:tcW w:w="760" w:type="pct"/>
            <w:shd w:val="clear" w:color="auto" w:fill="auto"/>
            <w:noWrap/>
            <w:tcMar>
              <w:top w:w="28" w:type="dxa"/>
              <w:left w:w="28" w:type="dxa"/>
              <w:bottom w:w="28" w:type="dxa"/>
              <w:right w:w="28" w:type="dxa"/>
            </w:tcMar>
            <w:hideMark/>
          </w:tcPr>
          <w:p w14:paraId="2D5A7B3E" w14:textId="77777777" w:rsidR="002B133A" w:rsidRPr="003D56F0" w:rsidRDefault="002B133A" w:rsidP="003D56F0">
            <w:pPr>
              <w:rPr>
                <w:sz w:val="20"/>
                <w:szCs w:val="20"/>
              </w:rPr>
            </w:pPr>
            <w:r w:rsidRPr="003D56F0">
              <w:rPr>
                <w:sz w:val="20"/>
                <w:szCs w:val="20"/>
              </w:rPr>
              <w:t>High</w:t>
            </w:r>
          </w:p>
        </w:tc>
      </w:tr>
      <w:tr w:rsidR="002B133A" w:rsidRPr="003D56F0" w14:paraId="0EA48510" w14:textId="77777777" w:rsidTr="00AC1AF3">
        <w:trPr>
          <w:trHeight w:val="300"/>
        </w:trPr>
        <w:tc>
          <w:tcPr>
            <w:tcW w:w="2719" w:type="pct"/>
            <w:shd w:val="clear" w:color="auto" w:fill="auto"/>
            <w:noWrap/>
            <w:tcMar>
              <w:top w:w="28" w:type="dxa"/>
              <w:left w:w="28" w:type="dxa"/>
              <w:bottom w:w="28" w:type="dxa"/>
              <w:right w:w="28" w:type="dxa"/>
            </w:tcMar>
            <w:hideMark/>
          </w:tcPr>
          <w:p w14:paraId="68351584" w14:textId="77777777" w:rsidR="002B133A" w:rsidRPr="003D56F0" w:rsidRDefault="002B133A" w:rsidP="003D56F0">
            <w:pPr>
              <w:rPr>
                <w:sz w:val="20"/>
                <w:szCs w:val="20"/>
              </w:rPr>
            </w:pPr>
            <w:r w:rsidRPr="003D56F0">
              <w:rPr>
                <w:sz w:val="20"/>
                <w:szCs w:val="20"/>
              </w:rPr>
              <w:t>Intervention costs</w:t>
            </w:r>
          </w:p>
        </w:tc>
        <w:tc>
          <w:tcPr>
            <w:tcW w:w="844" w:type="pct"/>
            <w:shd w:val="clear" w:color="auto" w:fill="auto"/>
            <w:noWrap/>
            <w:tcMar>
              <w:top w:w="28" w:type="dxa"/>
              <w:left w:w="28" w:type="dxa"/>
              <w:bottom w:w="28" w:type="dxa"/>
              <w:right w:w="28" w:type="dxa"/>
            </w:tcMar>
            <w:hideMark/>
          </w:tcPr>
          <w:p w14:paraId="578762F0" w14:textId="77777777" w:rsidR="002B133A" w:rsidRPr="003D56F0" w:rsidRDefault="002B133A" w:rsidP="003D56F0">
            <w:pPr>
              <w:rPr>
                <w:rFonts w:eastAsia="Times New Roman"/>
                <w:color w:val="000000"/>
                <w:sz w:val="20"/>
                <w:szCs w:val="20"/>
              </w:rPr>
            </w:pPr>
            <w:r w:rsidRPr="003D56F0">
              <w:rPr>
                <w:sz w:val="20"/>
                <w:szCs w:val="20"/>
              </w:rPr>
              <w:t>825</w:t>
            </w:r>
          </w:p>
        </w:tc>
        <w:tc>
          <w:tcPr>
            <w:tcW w:w="676" w:type="pct"/>
            <w:shd w:val="clear" w:color="auto" w:fill="auto"/>
            <w:noWrap/>
            <w:tcMar>
              <w:top w:w="28" w:type="dxa"/>
              <w:left w:w="28" w:type="dxa"/>
              <w:bottom w:w="28" w:type="dxa"/>
              <w:right w:w="28" w:type="dxa"/>
            </w:tcMar>
            <w:hideMark/>
          </w:tcPr>
          <w:p w14:paraId="7FEB76F0" w14:textId="77777777" w:rsidR="002B133A" w:rsidRPr="003D56F0" w:rsidRDefault="002B133A" w:rsidP="003D56F0">
            <w:pPr>
              <w:rPr>
                <w:rFonts w:eastAsia="Times New Roman"/>
                <w:color w:val="000000"/>
                <w:sz w:val="20"/>
                <w:szCs w:val="20"/>
              </w:rPr>
            </w:pPr>
            <w:r w:rsidRPr="003D56F0">
              <w:rPr>
                <w:sz w:val="20"/>
                <w:szCs w:val="20"/>
              </w:rPr>
              <w:t>618.750</w:t>
            </w:r>
          </w:p>
        </w:tc>
        <w:tc>
          <w:tcPr>
            <w:tcW w:w="760" w:type="pct"/>
            <w:shd w:val="clear" w:color="auto" w:fill="auto"/>
            <w:noWrap/>
            <w:tcMar>
              <w:top w:w="28" w:type="dxa"/>
              <w:left w:w="28" w:type="dxa"/>
              <w:bottom w:w="28" w:type="dxa"/>
              <w:right w:w="28" w:type="dxa"/>
            </w:tcMar>
            <w:hideMark/>
          </w:tcPr>
          <w:p w14:paraId="073EC8A8" w14:textId="77777777" w:rsidR="002B133A" w:rsidRPr="003D56F0" w:rsidRDefault="002B133A" w:rsidP="003D56F0">
            <w:pPr>
              <w:rPr>
                <w:rFonts w:eastAsia="Times New Roman"/>
                <w:color w:val="000000"/>
                <w:sz w:val="20"/>
                <w:szCs w:val="20"/>
              </w:rPr>
            </w:pPr>
            <w:r w:rsidRPr="003D56F0">
              <w:rPr>
                <w:sz w:val="20"/>
                <w:szCs w:val="20"/>
              </w:rPr>
              <w:t>1031.250</w:t>
            </w:r>
          </w:p>
        </w:tc>
      </w:tr>
      <w:tr w:rsidR="002B133A" w:rsidRPr="003D56F0" w14:paraId="07E9C7AA" w14:textId="77777777" w:rsidTr="00AC1AF3">
        <w:trPr>
          <w:trHeight w:val="300"/>
        </w:trPr>
        <w:tc>
          <w:tcPr>
            <w:tcW w:w="2719" w:type="pct"/>
            <w:shd w:val="clear" w:color="auto" w:fill="auto"/>
            <w:noWrap/>
            <w:tcMar>
              <w:top w:w="28" w:type="dxa"/>
              <w:left w:w="28" w:type="dxa"/>
              <w:bottom w:w="28" w:type="dxa"/>
              <w:right w:w="28" w:type="dxa"/>
            </w:tcMar>
            <w:hideMark/>
          </w:tcPr>
          <w:p w14:paraId="58917AD9" w14:textId="77777777" w:rsidR="002B133A" w:rsidRPr="003D56F0" w:rsidRDefault="002B133A" w:rsidP="003D56F0">
            <w:pPr>
              <w:rPr>
                <w:rFonts w:eastAsia="Times New Roman"/>
                <w:color w:val="000000"/>
                <w:sz w:val="20"/>
                <w:szCs w:val="20"/>
              </w:rPr>
            </w:pPr>
            <w:r w:rsidRPr="003D56F0">
              <w:rPr>
                <w:sz w:val="20"/>
                <w:szCs w:val="20"/>
              </w:rPr>
              <w:t>Costs of hospital admissions due to cocaine, per cocaine user per year</w:t>
            </w:r>
          </w:p>
        </w:tc>
        <w:tc>
          <w:tcPr>
            <w:tcW w:w="844" w:type="pct"/>
            <w:shd w:val="clear" w:color="auto" w:fill="auto"/>
            <w:noWrap/>
            <w:tcMar>
              <w:top w:w="28" w:type="dxa"/>
              <w:left w:w="28" w:type="dxa"/>
              <w:bottom w:w="28" w:type="dxa"/>
              <w:right w:w="28" w:type="dxa"/>
            </w:tcMar>
            <w:hideMark/>
          </w:tcPr>
          <w:p w14:paraId="6022ADF9" w14:textId="77777777" w:rsidR="002B133A" w:rsidRPr="003D56F0" w:rsidRDefault="002B133A" w:rsidP="003D56F0">
            <w:pPr>
              <w:rPr>
                <w:rFonts w:eastAsia="Times New Roman"/>
                <w:color w:val="000000"/>
                <w:sz w:val="20"/>
                <w:szCs w:val="20"/>
              </w:rPr>
            </w:pPr>
            <w:r w:rsidRPr="003D56F0">
              <w:rPr>
                <w:sz w:val="20"/>
                <w:szCs w:val="20"/>
              </w:rPr>
              <w:t>12.46622411</w:t>
            </w:r>
          </w:p>
        </w:tc>
        <w:tc>
          <w:tcPr>
            <w:tcW w:w="676" w:type="pct"/>
            <w:shd w:val="clear" w:color="auto" w:fill="auto"/>
            <w:noWrap/>
            <w:tcMar>
              <w:top w:w="28" w:type="dxa"/>
              <w:left w:w="28" w:type="dxa"/>
              <w:bottom w:w="28" w:type="dxa"/>
              <w:right w:w="28" w:type="dxa"/>
            </w:tcMar>
            <w:hideMark/>
          </w:tcPr>
          <w:p w14:paraId="2D790CD0" w14:textId="77777777" w:rsidR="002B133A" w:rsidRPr="003D56F0" w:rsidRDefault="002B133A" w:rsidP="003D56F0">
            <w:pPr>
              <w:rPr>
                <w:rFonts w:eastAsia="Times New Roman"/>
                <w:color w:val="000000"/>
                <w:sz w:val="20"/>
                <w:szCs w:val="20"/>
              </w:rPr>
            </w:pPr>
            <w:r w:rsidRPr="003D56F0">
              <w:rPr>
                <w:sz w:val="20"/>
                <w:szCs w:val="20"/>
              </w:rPr>
              <w:t>9.350</w:t>
            </w:r>
          </w:p>
        </w:tc>
        <w:tc>
          <w:tcPr>
            <w:tcW w:w="760" w:type="pct"/>
            <w:shd w:val="clear" w:color="auto" w:fill="auto"/>
            <w:noWrap/>
            <w:tcMar>
              <w:top w:w="28" w:type="dxa"/>
              <w:left w:w="28" w:type="dxa"/>
              <w:bottom w:w="28" w:type="dxa"/>
              <w:right w:w="28" w:type="dxa"/>
            </w:tcMar>
            <w:hideMark/>
          </w:tcPr>
          <w:p w14:paraId="17ED5BDC" w14:textId="77777777" w:rsidR="002B133A" w:rsidRPr="003D56F0" w:rsidRDefault="002B133A" w:rsidP="003D56F0">
            <w:pPr>
              <w:rPr>
                <w:rFonts w:eastAsia="Times New Roman"/>
                <w:color w:val="000000"/>
                <w:sz w:val="20"/>
                <w:szCs w:val="20"/>
              </w:rPr>
            </w:pPr>
            <w:r w:rsidRPr="003D56F0">
              <w:rPr>
                <w:sz w:val="20"/>
                <w:szCs w:val="20"/>
              </w:rPr>
              <w:t>15.583</w:t>
            </w:r>
          </w:p>
        </w:tc>
      </w:tr>
      <w:tr w:rsidR="002B133A" w:rsidRPr="003D56F0" w14:paraId="7BA8AFDF" w14:textId="77777777" w:rsidTr="00AC1AF3">
        <w:trPr>
          <w:trHeight w:val="300"/>
        </w:trPr>
        <w:tc>
          <w:tcPr>
            <w:tcW w:w="2719" w:type="pct"/>
            <w:shd w:val="clear" w:color="auto" w:fill="auto"/>
            <w:noWrap/>
            <w:tcMar>
              <w:top w:w="28" w:type="dxa"/>
              <w:left w:w="28" w:type="dxa"/>
              <w:bottom w:w="28" w:type="dxa"/>
              <w:right w:w="28" w:type="dxa"/>
            </w:tcMar>
            <w:hideMark/>
          </w:tcPr>
          <w:p w14:paraId="2E9D75D6" w14:textId="77777777" w:rsidR="002B133A" w:rsidRPr="003D56F0" w:rsidRDefault="002B133A" w:rsidP="003D56F0">
            <w:pPr>
              <w:rPr>
                <w:rFonts w:eastAsia="Times New Roman"/>
                <w:color w:val="000000"/>
                <w:sz w:val="20"/>
                <w:szCs w:val="20"/>
              </w:rPr>
            </w:pPr>
            <w:r w:rsidRPr="003D56F0">
              <w:rPr>
                <w:sz w:val="20"/>
                <w:szCs w:val="20"/>
              </w:rPr>
              <w:t>Costs of possession arrests per cocaine user per year</w:t>
            </w:r>
          </w:p>
        </w:tc>
        <w:tc>
          <w:tcPr>
            <w:tcW w:w="844" w:type="pct"/>
            <w:shd w:val="clear" w:color="auto" w:fill="auto"/>
            <w:noWrap/>
            <w:tcMar>
              <w:top w:w="28" w:type="dxa"/>
              <w:left w:w="28" w:type="dxa"/>
              <w:bottom w:w="28" w:type="dxa"/>
              <w:right w:w="28" w:type="dxa"/>
            </w:tcMar>
            <w:hideMark/>
          </w:tcPr>
          <w:p w14:paraId="69BE6B9B" w14:textId="77777777" w:rsidR="002B133A" w:rsidRPr="003D56F0" w:rsidRDefault="002B133A" w:rsidP="003D56F0">
            <w:pPr>
              <w:rPr>
                <w:rFonts w:eastAsia="Times New Roman"/>
                <w:color w:val="000000"/>
                <w:sz w:val="20"/>
                <w:szCs w:val="20"/>
              </w:rPr>
            </w:pPr>
            <w:r w:rsidRPr="003D56F0">
              <w:rPr>
                <w:sz w:val="20"/>
                <w:szCs w:val="20"/>
              </w:rPr>
              <w:t>18.10241576</w:t>
            </w:r>
          </w:p>
        </w:tc>
        <w:tc>
          <w:tcPr>
            <w:tcW w:w="676" w:type="pct"/>
            <w:shd w:val="clear" w:color="auto" w:fill="auto"/>
            <w:noWrap/>
            <w:tcMar>
              <w:top w:w="28" w:type="dxa"/>
              <w:left w:w="28" w:type="dxa"/>
              <w:bottom w:w="28" w:type="dxa"/>
              <w:right w:w="28" w:type="dxa"/>
            </w:tcMar>
            <w:hideMark/>
          </w:tcPr>
          <w:p w14:paraId="4933037B" w14:textId="77777777" w:rsidR="002B133A" w:rsidRPr="003D56F0" w:rsidRDefault="002B133A" w:rsidP="003D56F0">
            <w:pPr>
              <w:rPr>
                <w:rFonts w:eastAsia="Times New Roman"/>
                <w:color w:val="000000"/>
                <w:sz w:val="20"/>
                <w:szCs w:val="20"/>
              </w:rPr>
            </w:pPr>
            <w:r w:rsidRPr="003D56F0">
              <w:rPr>
                <w:sz w:val="20"/>
                <w:szCs w:val="20"/>
              </w:rPr>
              <w:t>13.58</w:t>
            </w:r>
          </w:p>
        </w:tc>
        <w:tc>
          <w:tcPr>
            <w:tcW w:w="760" w:type="pct"/>
            <w:shd w:val="clear" w:color="auto" w:fill="auto"/>
            <w:noWrap/>
            <w:tcMar>
              <w:top w:w="28" w:type="dxa"/>
              <w:left w:w="28" w:type="dxa"/>
              <w:bottom w:w="28" w:type="dxa"/>
              <w:right w:w="28" w:type="dxa"/>
            </w:tcMar>
            <w:hideMark/>
          </w:tcPr>
          <w:p w14:paraId="45196E49" w14:textId="77777777" w:rsidR="002B133A" w:rsidRPr="003D56F0" w:rsidRDefault="002B133A" w:rsidP="003D56F0">
            <w:pPr>
              <w:rPr>
                <w:rFonts w:eastAsia="Times New Roman"/>
                <w:color w:val="000000"/>
                <w:sz w:val="20"/>
                <w:szCs w:val="20"/>
              </w:rPr>
            </w:pPr>
            <w:r w:rsidRPr="003D56F0">
              <w:rPr>
                <w:sz w:val="20"/>
                <w:szCs w:val="20"/>
              </w:rPr>
              <w:t>53.6</w:t>
            </w:r>
          </w:p>
        </w:tc>
      </w:tr>
      <w:tr w:rsidR="002B133A" w:rsidRPr="003D56F0" w14:paraId="2F18BB2B" w14:textId="77777777" w:rsidTr="00AC1AF3">
        <w:trPr>
          <w:trHeight w:val="300"/>
        </w:trPr>
        <w:tc>
          <w:tcPr>
            <w:tcW w:w="2719" w:type="pct"/>
            <w:shd w:val="clear" w:color="auto" w:fill="auto"/>
            <w:noWrap/>
            <w:tcMar>
              <w:top w:w="28" w:type="dxa"/>
              <w:left w:w="28" w:type="dxa"/>
              <w:bottom w:w="28" w:type="dxa"/>
              <w:right w:w="28" w:type="dxa"/>
            </w:tcMar>
            <w:hideMark/>
          </w:tcPr>
          <w:p w14:paraId="116FF78C" w14:textId="77777777" w:rsidR="002B133A" w:rsidRPr="003D56F0" w:rsidRDefault="002B133A" w:rsidP="003D56F0">
            <w:pPr>
              <w:rPr>
                <w:rFonts w:eastAsia="Times New Roman"/>
                <w:color w:val="000000"/>
                <w:sz w:val="20"/>
                <w:szCs w:val="20"/>
              </w:rPr>
            </w:pPr>
            <w:r w:rsidRPr="003D56F0">
              <w:rPr>
                <w:sz w:val="20"/>
                <w:szCs w:val="20"/>
              </w:rPr>
              <w:t>Cost of drug treatment per cocaine user per year</w:t>
            </w:r>
          </w:p>
        </w:tc>
        <w:tc>
          <w:tcPr>
            <w:tcW w:w="844" w:type="pct"/>
            <w:shd w:val="clear" w:color="auto" w:fill="auto"/>
            <w:noWrap/>
            <w:tcMar>
              <w:top w:w="28" w:type="dxa"/>
              <w:left w:w="28" w:type="dxa"/>
              <w:bottom w:w="28" w:type="dxa"/>
              <w:right w:w="28" w:type="dxa"/>
            </w:tcMar>
            <w:hideMark/>
          </w:tcPr>
          <w:p w14:paraId="0F788151" w14:textId="77777777" w:rsidR="002B133A" w:rsidRPr="003D56F0" w:rsidRDefault="002B133A" w:rsidP="003D56F0">
            <w:pPr>
              <w:rPr>
                <w:rFonts w:eastAsia="Times New Roman"/>
                <w:color w:val="000000"/>
                <w:sz w:val="20"/>
                <w:szCs w:val="20"/>
              </w:rPr>
            </w:pPr>
            <w:r w:rsidRPr="003D56F0">
              <w:rPr>
                <w:sz w:val="20"/>
                <w:szCs w:val="20"/>
              </w:rPr>
              <w:t>9.205189688</w:t>
            </w:r>
          </w:p>
        </w:tc>
        <w:tc>
          <w:tcPr>
            <w:tcW w:w="676" w:type="pct"/>
            <w:shd w:val="clear" w:color="auto" w:fill="auto"/>
            <w:noWrap/>
            <w:tcMar>
              <w:top w:w="28" w:type="dxa"/>
              <w:left w:w="28" w:type="dxa"/>
              <w:bottom w:w="28" w:type="dxa"/>
              <w:right w:w="28" w:type="dxa"/>
            </w:tcMar>
            <w:hideMark/>
          </w:tcPr>
          <w:p w14:paraId="1D05B088" w14:textId="77777777" w:rsidR="002B133A" w:rsidRPr="003D56F0" w:rsidRDefault="002B133A" w:rsidP="003D56F0">
            <w:pPr>
              <w:rPr>
                <w:rFonts w:eastAsia="Times New Roman"/>
                <w:color w:val="000000"/>
                <w:sz w:val="20"/>
                <w:szCs w:val="20"/>
              </w:rPr>
            </w:pPr>
            <w:r w:rsidRPr="003D56F0">
              <w:rPr>
                <w:sz w:val="20"/>
                <w:szCs w:val="20"/>
              </w:rPr>
              <w:t>6.904</w:t>
            </w:r>
          </w:p>
        </w:tc>
        <w:tc>
          <w:tcPr>
            <w:tcW w:w="760" w:type="pct"/>
            <w:shd w:val="clear" w:color="auto" w:fill="auto"/>
            <w:noWrap/>
            <w:tcMar>
              <w:top w:w="28" w:type="dxa"/>
              <w:left w:w="28" w:type="dxa"/>
              <w:bottom w:w="28" w:type="dxa"/>
              <w:right w:w="28" w:type="dxa"/>
            </w:tcMar>
            <w:hideMark/>
          </w:tcPr>
          <w:p w14:paraId="7E521C68" w14:textId="77777777" w:rsidR="002B133A" w:rsidRPr="003D56F0" w:rsidRDefault="002B133A" w:rsidP="003D56F0">
            <w:pPr>
              <w:rPr>
                <w:rFonts w:eastAsia="Times New Roman"/>
                <w:color w:val="000000"/>
                <w:sz w:val="20"/>
                <w:szCs w:val="20"/>
              </w:rPr>
            </w:pPr>
            <w:r w:rsidRPr="003D56F0">
              <w:rPr>
                <w:sz w:val="20"/>
                <w:szCs w:val="20"/>
              </w:rPr>
              <w:t>11.506</w:t>
            </w:r>
          </w:p>
        </w:tc>
      </w:tr>
      <w:tr w:rsidR="002B133A" w:rsidRPr="003D56F0" w14:paraId="3EAAD2D1" w14:textId="77777777" w:rsidTr="00AC1AF3">
        <w:trPr>
          <w:trHeight w:val="300"/>
        </w:trPr>
        <w:tc>
          <w:tcPr>
            <w:tcW w:w="2719" w:type="pct"/>
            <w:shd w:val="clear" w:color="auto" w:fill="auto"/>
            <w:noWrap/>
            <w:tcMar>
              <w:top w:w="28" w:type="dxa"/>
              <w:left w:w="28" w:type="dxa"/>
              <w:bottom w:w="28" w:type="dxa"/>
              <w:right w:w="28" w:type="dxa"/>
            </w:tcMar>
            <w:hideMark/>
          </w:tcPr>
          <w:p w14:paraId="62D11DFC" w14:textId="77777777" w:rsidR="002B133A" w:rsidRPr="003D56F0" w:rsidRDefault="002B133A" w:rsidP="003D56F0">
            <w:pPr>
              <w:rPr>
                <w:rFonts w:eastAsia="Times New Roman"/>
                <w:color w:val="000000"/>
                <w:sz w:val="20"/>
                <w:szCs w:val="20"/>
              </w:rPr>
            </w:pPr>
            <w:r w:rsidRPr="003D56F0">
              <w:rPr>
                <w:sz w:val="20"/>
                <w:szCs w:val="20"/>
              </w:rPr>
              <w:t>Average QALY loss per cocaine user from risk of dependence</w:t>
            </w:r>
          </w:p>
        </w:tc>
        <w:tc>
          <w:tcPr>
            <w:tcW w:w="844" w:type="pct"/>
            <w:shd w:val="clear" w:color="auto" w:fill="auto"/>
            <w:noWrap/>
            <w:tcMar>
              <w:top w:w="28" w:type="dxa"/>
              <w:left w:w="28" w:type="dxa"/>
              <w:bottom w:w="28" w:type="dxa"/>
              <w:right w:w="28" w:type="dxa"/>
            </w:tcMar>
            <w:hideMark/>
          </w:tcPr>
          <w:p w14:paraId="0B7843B0" w14:textId="77777777" w:rsidR="002B133A" w:rsidRPr="003D56F0" w:rsidRDefault="002B133A" w:rsidP="003D56F0">
            <w:pPr>
              <w:rPr>
                <w:rFonts w:eastAsia="Times New Roman"/>
                <w:color w:val="000000"/>
                <w:sz w:val="20"/>
                <w:szCs w:val="20"/>
              </w:rPr>
            </w:pPr>
            <w:r w:rsidRPr="003D56F0">
              <w:rPr>
                <w:sz w:val="20"/>
                <w:szCs w:val="20"/>
              </w:rPr>
              <w:t>0.007428527</w:t>
            </w:r>
          </w:p>
        </w:tc>
        <w:tc>
          <w:tcPr>
            <w:tcW w:w="676" w:type="pct"/>
            <w:shd w:val="clear" w:color="auto" w:fill="auto"/>
            <w:noWrap/>
            <w:tcMar>
              <w:top w:w="28" w:type="dxa"/>
              <w:left w:w="28" w:type="dxa"/>
              <w:bottom w:w="28" w:type="dxa"/>
              <w:right w:w="28" w:type="dxa"/>
            </w:tcMar>
            <w:hideMark/>
          </w:tcPr>
          <w:p w14:paraId="1FC96313" w14:textId="77777777" w:rsidR="002B133A" w:rsidRPr="003D56F0" w:rsidRDefault="002B133A" w:rsidP="003D56F0">
            <w:pPr>
              <w:rPr>
                <w:rFonts w:eastAsia="Times New Roman"/>
                <w:color w:val="000000"/>
                <w:sz w:val="20"/>
                <w:szCs w:val="20"/>
              </w:rPr>
            </w:pPr>
            <w:r w:rsidRPr="003D56F0">
              <w:rPr>
                <w:sz w:val="20"/>
                <w:szCs w:val="20"/>
              </w:rPr>
              <w:t>0.006</w:t>
            </w:r>
          </w:p>
        </w:tc>
        <w:tc>
          <w:tcPr>
            <w:tcW w:w="760" w:type="pct"/>
            <w:shd w:val="clear" w:color="auto" w:fill="auto"/>
            <w:noWrap/>
            <w:tcMar>
              <w:top w:w="28" w:type="dxa"/>
              <w:left w:w="28" w:type="dxa"/>
              <w:bottom w:w="28" w:type="dxa"/>
              <w:right w:w="28" w:type="dxa"/>
            </w:tcMar>
            <w:hideMark/>
          </w:tcPr>
          <w:p w14:paraId="0BEA82DB" w14:textId="77777777" w:rsidR="002B133A" w:rsidRPr="003D56F0" w:rsidRDefault="002B133A" w:rsidP="003D56F0">
            <w:pPr>
              <w:rPr>
                <w:rFonts w:eastAsia="Times New Roman"/>
                <w:color w:val="000000"/>
                <w:sz w:val="20"/>
                <w:szCs w:val="20"/>
              </w:rPr>
            </w:pPr>
            <w:r w:rsidRPr="003D56F0">
              <w:rPr>
                <w:sz w:val="20"/>
                <w:szCs w:val="20"/>
              </w:rPr>
              <w:t>0.009</w:t>
            </w:r>
          </w:p>
        </w:tc>
      </w:tr>
      <w:tr w:rsidR="002B133A" w:rsidRPr="003D56F0" w14:paraId="104C6BA4" w14:textId="77777777" w:rsidTr="00AC1AF3">
        <w:trPr>
          <w:trHeight w:val="300"/>
        </w:trPr>
        <w:tc>
          <w:tcPr>
            <w:tcW w:w="2719" w:type="pct"/>
            <w:shd w:val="clear" w:color="auto" w:fill="auto"/>
            <w:noWrap/>
            <w:tcMar>
              <w:top w:w="28" w:type="dxa"/>
              <w:left w:w="28" w:type="dxa"/>
              <w:bottom w:w="28" w:type="dxa"/>
              <w:right w:w="28" w:type="dxa"/>
            </w:tcMar>
            <w:hideMark/>
          </w:tcPr>
          <w:p w14:paraId="3A666BCD" w14:textId="77777777" w:rsidR="002B133A" w:rsidRPr="003D56F0" w:rsidRDefault="002B133A" w:rsidP="003D56F0">
            <w:pPr>
              <w:rPr>
                <w:rFonts w:eastAsia="Times New Roman"/>
                <w:color w:val="000000"/>
                <w:sz w:val="20"/>
                <w:szCs w:val="20"/>
              </w:rPr>
            </w:pPr>
            <w:r w:rsidRPr="003D56F0">
              <w:rPr>
                <w:sz w:val="20"/>
                <w:szCs w:val="20"/>
              </w:rPr>
              <w:t>QALYs lost from cocaine-specific and CVD deaths per user per year</w:t>
            </w:r>
          </w:p>
        </w:tc>
        <w:tc>
          <w:tcPr>
            <w:tcW w:w="844" w:type="pct"/>
            <w:shd w:val="clear" w:color="auto" w:fill="auto"/>
            <w:noWrap/>
            <w:tcMar>
              <w:top w:w="28" w:type="dxa"/>
              <w:left w:w="28" w:type="dxa"/>
              <w:bottom w:w="28" w:type="dxa"/>
              <w:right w:w="28" w:type="dxa"/>
            </w:tcMar>
            <w:hideMark/>
          </w:tcPr>
          <w:p w14:paraId="06426314" w14:textId="77777777" w:rsidR="002B133A" w:rsidRPr="003D56F0" w:rsidRDefault="002B133A" w:rsidP="003D56F0">
            <w:pPr>
              <w:rPr>
                <w:rFonts w:eastAsia="Times New Roman"/>
                <w:color w:val="000000"/>
                <w:sz w:val="20"/>
                <w:szCs w:val="20"/>
              </w:rPr>
            </w:pPr>
            <w:r w:rsidRPr="003D56F0">
              <w:rPr>
                <w:sz w:val="20"/>
                <w:szCs w:val="20"/>
              </w:rPr>
              <w:t>0.002658946</w:t>
            </w:r>
          </w:p>
        </w:tc>
        <w:tc>
          <w:tcPr>
            <w:tcW w:w="676" w:type="pct"/>
            <w:shd w:val="clear" w:color="auto" w:fill="auto"/>
            <w:noWrap/>
            <w:tcMar>
              <w:top w:w="28" w:type="dxa"/>
              <w:left w:w="28" w:type="dxa"/>
              <w:bottom w:w="28" w:type="dxa"/>
              <w:right w:w="28" w:type="dxa"/>
            </w:tcMar>
            <w:hideMark/>
          </w:tcPr>
          <w:p w14:paraId="3BDFB44F" w14:textId="77777777" w:rsidR="002B133A" w:rsidRPr="003D56F0" w:rsidRDefault="002B133A" w:rsidP="003D56F0">
            <w:pPr>
              <w:rPr>
                <w:rFonts w:eastAsia="Times New Roman"/>
                <w:color w:val="000000"/>
                <w:sz w:val="20"/>
                <w:szCs w:val="20"/>
              </w:rPr>
            </w:pPr>
            <w:r w:rsidRPr="003D56F0">
              <w:rPr>
                <w:sz w:val="20"/>
                <w:szCs w:val="20"/>
              </w:rPr>
              <w:t>0.002</w:t>
            </w:r>
          </w:p>
        </w:tc>
        <w:tc>
          <w:tcPr>
            <w:tcW w:w="760" w:type="pct"/>
            <w:shd w:val="clear" w:color="auto" w:fill="auto"/>
            <w:noWrap/>
            <w:tcMar>
              <w:top w:w="28" w:type="dxa"/>
              <w:left w:w="28" w:type="dxa"/>
              <w:bottom w:w="28" w:type="dxa"/>
              <w:right w:w="28" w:type="dxa"/>
            </w:tcMar>
            <w:hideMark/>
          </w:tcPr>
          <w:p w14:paraId="1014FD77" w14:textId="77777777" w:rsidR="002B133A" w:rsidRPr="003D56F0" w:rsidRDefault="002B133A" w:rsidP="003D56F0">
            <w:pPr>
              <w:rPr>
                <w:rFonts w:eastAsia="Times New Roman"/>
                <w:color w:val="000000"/>
                <w:sz w:val="20"/>
                <w:szCs w:val="20"/>
              </w:rPr>
            </w:pPr>
            <w:r w:rsidRPr="003D56F0">
              <w:rPr>
                <w:sz w:val="20"/>
                <w:szCs w:val="20"/>
              </w:rPr>
              <w:t>0.003</w:t>
            </w:r>
          </w:p>
        </w:tc>
      </w:tr>
      <w:tr w:rsidR="002B133A" w:rsidRPr="003D56F0" w14:paraId="6D4CFA26" w14:textId="77777777" w:rsidTr="00AC1AF3">
        <w:trPr>
          <w:trHeight w:val="300"/>
        </w:trPr>
        <w:tc>
          <w:tcPr>
            <w:tcW w:w="2719" w:type="pct"/>
            <w:shd w:val="clear" w:color="auto" w:fill="auto"/>
            <w:noWrap/>
            <w:tcMar>
              <w:top w:w="28" w:type="dxa"/>
              <w:left w:w="28" w:type="dxa"/>
              <w:bottom w:w="28" w:type="dxa"/>
              <w:right w:w="28" w:type="dxa"/>
            </w:tcMar>
            <w:hideMark/>
          </w:tcPr>
          <w:p w14:paraId="5ECA28E6" w14:textId="77777777" w:rsidR="002B133A" w:rsidRPr="003D56F0" w:rsidRDefault="002B133A" w:rsidP="003D56F0">
            <w:pPr>
              <w:rPr>
                <w:rFonts w:eastAsia="Times New Roman"/>
                <w:color w:val="000000"/>
                <w:sz w:val="20"/>
                <w:szCs w:val="20"/>
              </w:rPr>
            </w:pPr>
            <w:r w:rsidRPr="003D56F0">
              <w:rPr>
                <w:sz w:val="20"/>
                <w:szCs w:val="20"/>
              </w:rPr>
              <w:t>Annual risk of becoming cocaine dependent for cocaine users aged 16-19</w:t>
            </w:r>
          </w:p>
        </w:tc>
        <w:tc>
          <w:tcPr>
            <w:tcW w:w="844" w:type="pct"/>
            <w:shd w:val="clear" w:color="auto" w:fill="auto"/>
            <w:noWrap/>
            <w:tcMar>
              <w:top w:w="28" w:type="dxa"/>
              <w:left w:w="28" w:type="dxa"/>
              <w:bottom w:w="28" w:type="dxa"/>
              <w:right w:w="28" w:type="dxa"/>
            </w:tcMar>
            <w:hideMark/>
          </w:tcPr>
          <w:p w14:paraId="0C8FF3D9" w14:textId="77777777" w:rsidR="002B133A" w:rsidRPr="003D56F0" w:rsidRDefault="002B133A" w:rsidP="003D56F0">
            <w:pPr>
              <w:rPr>
                <w:rFonts w:eastAsia="Times New Roman"/>
                <w:color w:val="000000"/>
                <w:sz w:val="20"/>
                <w:szCs w:val="20"/>
              </w:rPr>
            </w:pPr>
            <w:r w:rsidRPr="003D56F0">
              <w:rPr>
                <w:sz w:val="20"/>
                <w:szCs w:val="20"/>
              </w:rPr>
              <w:t>0.0129</w:t>
            </w:r>
          </w:p>
        </w:tc>
        <w:tc>
          <w:tcPr>
            <w:tcW w:w="676" w:type="pct"/>
            <w:shd w:val="clear" w:color="auto" w:fill="auto"/>
            <w:noWrap/>
            <w:tcMar>
              <w:top w:w="28" w:type="dxa"/>
              <w:left w:w="28" w:type="dxa"/>
              <w:bottom w:w="28" w:type="dxa"/>
              <w:right w:w="28" w:type="dxa"/>
            </w:tcMar>
            <w:hideMark/>
          </w:tcPr>
          <w:p w14:paraId="098A7BB7" w14:textId="77777777" w:rsidR="002B133A" w:rsidRPr="003D56F0" w:rsidRDefault="002B133A" w:rsidP="003D56F0">
            <w:pPr>
              <w:rPr>
                <w:rFonts w:eastAsia="Times New Roman"/>
                <w:color w:val="000000"/>
                <w:sz w:val="20"/>
                <w:szCs w:val="20"/>
              </w:rPr>
            </w:pPr>
            <w:r w:rsidRPr="003D56F0">
              <w:rPr>
                <w:sz w:val="20"/>
                <w:szCs w:val="20"/>
              </w:rPr>
              <w:t>0.010</w:t>
            </w:r>
          </w:p>
        </w:tc>
        <w:tc>
          <w:tcPr>
            <w:tcW w:w="760" w:type="pct"/>
            <w:shd w:val="clear" w:color="auto" w:fill="auto"/>
            <w:noWrap/>
            <w:tcMar>
              <w:top w:w="28" w:type="dxa"/>
              <w:left w:w="28" w:type="dxa"/>
              <w:bottom w:w="28" w:type="dxa"/>
              <w:right w:w="28" w:type="dxa"/>
            </w:tcMar>
            <w:hideMark/>
          </w:tcPr>
          <w:p w14:paraId="20B8D195" w14:textId="77777777" w:rsidR="002B133A" w:rsidRPr="003D56F0" w:rsidRDefault="002B133A" w:rsidP="003D56F0">
            <w:pPr>
              <w:rPr>
                <w:rFonts w:eastAsia="Times New Roman"/>
                <w:color w:val="000000"/>
                <w:sz w:val="20"/>
                <w:szCs w:val="20"/>
              </w:rPr>
            </w:pPr>
            <w:r w:rsidRPr="003D56F0">
              <w:rPr>
                <w:sz w:val="20"/>
                <w:szCs w:val="20"/>
              </w:rPr>
              <w:t>0.016</w:t>
            </w:r>
          </w:p>
        </w:tc>
      </w:tr>
      <w:tr w:rsidR="002B133A" w:rsidRPr="003D56F0" w14:paraId="1B2593A8" w14:textId="77777777" w:rsidTr="00AC1AF3">
        <w:trPr>
          <w:trHeight w:val="300"/>
        </w:trPr>
        <w:tc>
          <w:tcPr>
            <w:tcW w:w="2719" w:type="pct"/>
            <w:shd w:val="clear" w:color="auto" w:fill="auto"/>
            <w:noWrap/>
            <w:tcMar>
              <w:top w:w="28" w:type="dxa"/>
              <w:left w:w="28" w:type="dxa"/>
              <w:bottom w:w="28" w:type="dxa"/>
              <w:right w:w="28" w:type="dxa"/>
            </w:tcMar>
            <w:hideMark/>
          </w:tcPr>
          <w:p w14:paraId="3D256669" w14:textId="77777777" w:rsidR="002B133A" w:rsidRPr="003D56F0" w:rsidRDefault="002B133A" w:rsidP="003D56F0">
            <w:pPr>
              <w:rPr>
                <w:rFonts w:eastAsia="Times New Roman"/>
                <w:color w:val="000000"/>
                <w:sz w:val="20"/>
                <w:szCs w:val="20"/>
              </w:rPr>
            </w:pPr>
            <w:r w:rsidRPr="003D56F0">
              <w:rPr>
                <w:sz w:val="20"/>
                <w:szCs w:val="20"/>
              </w:rPr>
              <w:t>Average drug use over 2 years (STRIVE)</w:t>
            </w:r>
          </w:p>
        </w:tc>
        <w:tc>
          <w:tcPr>
            <w:tcW w:w="844" w:type="pct"/>
            <w:shd w:val="clear" w:color="auto" w:fill="auto"/>
            <w:noWrap/>
            <w:tcMar>
              <w:top w:w="28" w:type="dxa"/>
              <w:left w:w="28" w:type="dxa"/>
              <w:bottom w:w="28" w:type="dxa"/>
              <w:right w:w="28" w:type="dxa"/>
            </w:tcMar>
            <w:hideMark/>
          </w:tcPr>
          <w:p w14:paraId="5ED6A57B" w14:textId="77777777" w:rsidR="002B133A" w:rsidRPr="003D56F0" w:rsidRDefault="002B133A" w:rsidP="003D56F0">
            <w:pPr>
              <w:rPr>
                <w:rFonts w:eastAsia="Times New Roman"/>
                <w:color w:val="000000"/>
                <w:sz w:val="20"/>
                <w:szCs w:val="20"/>
              </w:rPr>
            </w:pPr>
            <w:r w:rsidRPr="003D56F0">
              <w:rPr>
                <w:sz w:val="20"/>
                <w:szCs w:val="20"/>
              </w:rPr>
              <w:t>0.124285714</w:t>
            </w:r>
          </w:p>
        </w:tc>
        <w:tc>
          <w:tcPr>
            <w:tcW w:w="676" w:type="pct"/>
            <w:shd w:val="clear" w:color="auto" w:fill="auto"/>
            <w:noWrap/>
            <w:tcMar>
              <w:top w:w="28" w:type="dxa"/>
              <w:left w:w="28" w:type="dxa"/>
              <w:bottom w:w="28" w:type="dxa"/>
              <w:right w:w="28" w:type="dxa"/>
            </w:tcMar>
            <w:hideMark/>
          </w:tcPr>
          <w:p w14:paraId="6B9749A1" w14:textId="77777777" w:rsidR="002B133A" w:rsidRPr="003D56F0" w:rsidRDefault="002B133A" w:rsidP="003D56F0">
            <w:pPr>
              <w:rPr>
                <w:rFonts w:eastAsia="Times New Roman"/>
                <w:color w:val="000000"/>
                <w:sz w:val="20"/>
                <w:szCs w:val="20"/>
              </w:rPr>
            </w:pPr>
            <w:r w:rsidRPr="003D56F0">
              <w:rPr>
                <w:sz w:val="20"/>
                <w:szCs w:val="20"/>
              </w:rPr>
              <w:t>0.093</w:t>
            </w:r>
          </w:p>
        </w:tc>
        <w:tc>
          <w:tcPr>
            <w:tcW w:w="760" w:type="pct"/>
            <w:shd w:val="clear" w:color="auto" w:fill="auto"/>
            <w:noWrap/>
            <w:tcMar>
              <w:top w:w="28" w:type="dxa"/>
              <w:left w:w="28" w:type="dxa"/>
              <w:bottom w:w="28" w:type="dxa"/>
              <w:right w:w="28" w:type="dxa"/>
            </w:tcMar>
            <w:hideMark/>
          </w:tcPr>
          <w:p w14:paraId="25F09F8C" w14:textId="77777777" w:rsidR="002B133A" w:rsidRPr="003D56F0" w:rsidRDefault="002B133A" w:rsidP="003D56F0">
            <w:pPr>
              <w:rPr>
                <w:rFonts w:eastAsia="Times New Roman"/>
                <w:color w:val="000000"/>
                <w:sz w:val="20"/>
                <w:szCs w:val="20"/>
              </w:rPr>
            </w:pPr>
            <w:r w:rsidRPr="003D56F0">
              <w:rPr>
                <w:sz w:val="20"/>
                <w:szCs w:val="20"/>
              </w:rPr>
              <w:t>0.155</w:t>
            </w:r>
          </w:p>
        </w:tc>
      </w:tr>
      <w:tr w:rsidR="002B133A" w:rsidRPr="003D56F0" w14:paraId="63A8BCD8" w14:textId="77777777" w:rsidTr="00AC1AF3">
        <w:trPr>
          <w:trHeight w:val="300"/>
        </w:trPr>
        <w:tc>
          <w:tcPr>
            <w:tcW w:w="2719" w:type="pct"/>
            <w:shd w:val="clear" w:color="auto" w:fill="auto"/>
            <w:noWrap/>
            <w:tcMar>
              <w:top w:w="28" w:type="dxa"/>
              <w:left w:w="28" w:type="dxa"/>
              <w:bottom w:w="28" w:type="dxa"/>
              <w:right w:w="28" w:type="dxa"/>
            </w:tcMar>
            <w:hideMark/>
          </w:tcPr>
          <w:p w14:paraId="0B9E46B0" w14:textId="77777777" w:rsidR="002B133A" w:rsidRPr="003D56F0" w:rsidRDefault="002B133A" w:rsidP="003D56F0">
            <w:pPr>
              <w:rPr>
                <w:rFonts w:eastAsia="Times New Roman"/>
                <w:color w:val="000000"/>
                <w:sz w:val="20"/>
                <w:szCs w:val="20"/>
              </w:rPr>
            </w:pPr>
            <w:r w:rsidRPr="003D56F0">
              <w:rPr>
                <w:sz w:val="20"/>
                <w:szCs w:val="20"/>
              </w:rPr>
              <w:t>Average drug use over 2 years (usual care)</w:t>
            </w:r>
          </w:p>
        </w:tc>
        <w:tc>
          <w:tcPr>
            <w:tcW w:w="844" w:type="pct"/>
            <w:shd w:val="clear" w:color="auto" w:fill="auto"/>
            <w:noWrap/>
            <w:tcMar>
              <w:top w:w="28" w:type="dxa"/>
              <w:left w:w="28" w:type="dxa"/>
              <w:bottom w:w="28" w:type="dxa"/>
              <w:right w:w="28" w:type="dxa"/>
            </w:tcMar>
            <w:hideMark/>
          </w:tcPr>
          <w:p w14:paraId="520A7952" w14:textId="77777777" w:rsidR="002B133A" w:rsidRPr="003D56F0" w:rsidRDefault="002B133A" w:rsidP="003D56F0">
            <w:pPr>
              <w:rPr>
                <w:rFonts w:eastAsia="Times New Roman"/>
                <w:color w:val="000000"/>
                <w:sz w:val="20"/>
                <w:szCs w:val="20"/>
              </w:rPr>
            </w:pPr>
            <w:r w:rsidRPr="003D56F0">
              <w:rPr>
                <w:sz w:val="20"/>
                <w:szCs w:val="20"/>
              </w:rPr>
              <w:t>0.167142857</w:t>
            </w:r>
          </w:p>
        </w:tc>
        <w:tc>
          <w:tcPr>
            <w:tcW w:w="676" w:type="pct"/>
            <w:shd w:val="clear" w:color="auto" w:fill="auto"/>
            <w:noWrap/>
            <w:tcMar>
              <w:top w:w="28" w:type="dxa"/>
              <w:left w:w="28" w:type="dxa"/>
              <w:bottom w:w="28" w:type="dxa"/>
              <w:right w:w="28" w:type="dxa"/>
            </w:tcMar>
            <w:hideMark/>
          </w:tcPr>
          <w:p w14:paraId="76DD1F25" w14:textId="77777777" w:rsidR="002B133A" w:rsidRPr="003D56F0" w:rsidRDefault="002B133A" w:rsidP="003D56F0">
            <w:pPr>
              <w:rPr>
                <w:rFonts w:eastAsia="Times New Roman"/>
                <w:color w:val="000000"/>
                <w:sz w:val="20"/>
                <w:szCs w:val="20"/>
              </w:rPr>
            </w:pPr>
            <w:r w:rsidRPr="003D56F0">
              <w:rPr>
                <w:sz w:val="20"/>
                <w:szCs w:val="20"/>
              </w:rPr>
              <w:t>0.125</w:t>
            </w:r>
          </w:p>
        </w:tc>
        <w:tc>
          <w:tcPr>
            <w:tcW w:w="760" w:type="pct"/>
            <w:shd w:val="clear" w:color="auto" w:fill="auto"/>
            <w:noWrap/>
            <w:tcMar>
              <w:top w:w="28" w:type="dxa"/>
              <w:left w:w="28" w:type="dxa"/>
              <w:bottom w:w="28" w:type="dxa"/>
              <w:right w:w="28" w:type="dxa"/>
            </w:tcMar>
            <w:hideMark/>
          </w:tcPr>
          <w:p w14:paraId="1C00BEE9" w14:textId="77777777" w:rsidR="002B133A" w:rsidRPr="003D56F0" w:rsidRDefault="002B133A" w:rsidP="003D56F0">
            <w:pPr>
              <w:rPr>
                <w:rFonts w:eastAsia="Times New Roman"/>
                <w:color w:val="000000"/>
                <w:sz w:val="20"/>
                <w:szCs w:val="20"/>
              </w:rPr>
            </w:pPr>
            <w:r w:rsidRPr="003D56F0">
              <w:rPr>
                <w:sz w:val="20"/>
                <w:szCs w:val="20"/>
              </w:rPr>
              <w:t>0.209</w:t>
            </w:r>
          </w:p>
        </w:tc>
      </w:tr>
      <w:tr w:rsidR="002B133A" w:rsidRPr="003D56F0" w14:paraId="38E6E8D5" w14:textId="77777777" w:rsidTr="00AC1AF3">
        <w:trPr>
          <w:trHeight w:val="300"/>
        </w:trPr>
        <w:tc>
          <w:tcPr>
            <w:tcW w:w="2719" w:type="pct"/>
            <w:shd w:val="clear" w:color="auto" w:fill="auto"/>
            <w:noWrap/>
            <w:tcMar>
              <w:top w:w="28" w:type="dxa"/>
              <w:left w:w="28" w:type="dxa"/>
              <w:bottom w:w="28" w:type="dxa"/>
              <w:right w:w="28" w:type="dxa"/>
            </w:tcMar>
            <w:hideMark/>
          </w:tcPr>
          <w:p w14:paraId="5B61A041" w14:textId="77777777" w:rsidR="002B133A" w:rsidRPr="003D56F0" w:rsidRDefault="002B133A" w:rsidP="003D56F0">
            <w:pPr>
              <w:rPr>
                <w:rFonts w:eastAsia="Times New Roman"/>
                <w:color w:val="000000"/>
                <w:sz w:val="20"/>
                <w:szCs w:val="20"/>
              </w:rPr>
            </w:pPr>
            <w:r w:rsidRPr="003D56F0">
              <w:rPr>
                <w:sz w:val="20"/>
                <w:szCs w:val="20"/>
              </w:rPr>
              <w:t>Six month quality of life loss with cocaine dependence</w:t>
            </w:r>
          </w:p>
        </w:tc>
        <w:tc>
          <w:tcPr>
            <w:tcW w:w="844" w:type="pct"/>
            <w:shd w:val="clear" w:color="auto" w:fill="auto"/>
            <w:noWrap/>
            <w:tcMar>
              <w:top w:w="28" w:type="dxa"/>
              <w:left w:w="28" w:type="dxa"/>
              <w:bottom w:w="28" w:type="dxa"/>
              <w:right w:w="28" w:type="dxa"/>
            </w:tcMar>
            <w:hideMark/>
          </w:tcPr>
          <w:p w14:paraId="4B4DCC22" w14:textId="77777777" w:rsidR="002B133A" w:rsidRPr="003D56F0" w:rsidRDefault="002B133A" w:rsidP="003D56F0">
            <w:pPr>
              <w:rPr>
                <w:rFonts w:eastAsia="Times New Roman"/>
                <w:color w:val="000000"/>
                <w:sz w:val="20"/>
                <w:szCs w:val="20"/>
              </w:rPr>
            </w:pPr>
            <w:r w:rsidRPr="003D56F0">
              <w:rPr>
                <w:sz w:val="20"/>
                <w:szCs w:val="20"/>
              </w:rPr>
              <w:t>0.064</w:t>
            </w:r>
          </w:p>
        </w:tc>
        <w:tc>
          <w:tcPr>
            <w:tcW w:w="676" w:type="pct"/>
            <w:shd w:val="clear" w:color="auto" w:fill="auto"/>
            <w:noWrap/>
            <w:tcMar>
              <w:top w:w="28" w:type="dxa"/>
              <w:left w:w="28" w:type="dxa"/>
              <w:bottom w:w="28" w:type="dxa"/>
              <w:right w:w="28" w:type="dxa"/>
            </w:tcMar>
            <w:hideMark/>
          </w:tcPr>
          <w:p w14:paraId="029D0B1F" w14:textId="77777777" w:rsidR="002B133A" w:rsidRPr="003D56F0" w:rsidRDefault="002B133A" w:rsidP="003D56F0">
            <w:pPr>
              <w:rPr>
                <w:rFonts w:eastAsia="Times New Roman"/>
                <w:color w:val="000000"/>
                <w:sz w:val="20"/>
                <w:szCs w:val="20"/>
              </w:rPr>
            </w:pPr>
            <w:r w:rsidRPr="003D56F0">
              <w:rPr>
                <w:sz w:val="20"/>
                <w:szCs w:val="20"/>
              </w:rPr>
              <w:t>0.05</w:t>
            </w:r>
          </w:p>
        </w:tc>
        <w:tc>
          <w:tcPr>
            <w:tcW w:w="760" w:type="pct"/>
            <w:shd w:val="clear" w:color="auto" w:fill="auto"/>
            <w:noWrap/>
            <w:tcMar>
              <w:top w:w="28" w:type="dxa"/>
              <w:left w:w="28" w:type="dxa"/>
              <w:bottom w:w="28" w:type="dxa"/>
              <w:right w:w="28" w:type="dxa"/>
            </w:tcMar>
            <w:hideMark/>
          </w:tcPr>
          <w:p w14:paraId="5DC064C6" w14:textId="77777777" w:rsidR="002B133A" w:rsidRPr="003D56F0" w:rsidRDefault="002B133A" w:rsidP="003D56F0">
            <w:pPr>
              <w:rPr>
                <w:rFonts w:eastAsia="Times New Roman"/>
                <w:color w:val="000000"/>
                <w:sz w:val="20"/>
                <w:szCs w:val="20"/>
              </w:rPr>
            </w:pPr>
            <w:r w:rsidRPr="003D56F0">
              <w:rPr>
                <w:sz w:val="20"/>
                <w:szCs w:val="20"/>
              </w:rPr>
              <w:t>0.08</w:t>
            </w:r>
          </w:p>
        </w:tc>
      </w:tr>
      <w:tr w:rsidR="002B133A" w:rsidRPr="003D56F0" w14:paraId="67130ADC" w14:textId="77777777" w:rsidTr="00AC1AF3">
        <w:trPr>
          <w:trHeight w:val="300"/>
        </w:trPr>
        <w:tc>
          <w:tcPr>
            <w:tcW w:w="2719" w:type="pct"/>
            <w:shd w:val="clear" w:color="auto" w:fill="auto"/>
            <w:noWrap/>
            <w:tcMar>
              <w:top w:w="28" w:type="dxa"/>
              <w:left w:w="28" w:type="dxa"/>
              <w:bottom w:w="28" w:type="dxa"/>
              <w:right w:w="28" w:type="dxa"/>
            </w:tcMar>
            <w:hideMark/>
          </w:tcPr>
          <w:p w14:paraId="0D7F0940" w14:textId="77777777" w:rsidR="002B133A" w:rsidRPr="003D56F0" w:rsidRDefault="002B133A" w:rsidP="003D56F0">
            <w:pPr>
              <w:rPr>
                <w:rFonts w:eastAsia="Times New Roman"/>
                <w:color w:val="000000"/>
                <w:sz w:val="20"/>
                <w:szCs w:val="20"/>
              </w:rPr>
            </w:pPr>
            <w:r w:rsidRPr="003D56F0">
              <w:rPr>
                <w:sz w:val="20"/>
                <w:szCs w:val="20"/>
              </w:rPr>
              <w:t>Assumed QALY loss based on 5 years dependence (six month QALY loss *10 discounted)</w:t>
            </w:r>
          </w:p>
        </w:tc>
        <w:tc>
          <w:tcPr>
            <w:tcW w:w="844" w:type="pct"/>
            <w:shd w:val="clear" w:color="auto" w:fill="auto"/>
            <w:noWrap/>
            <w:tcMar>
              <w:top w:w="28" w:type="dxa"/>
              <w:left w:w="28" w:type="dxa"/>
              <w:bottom w:w="28" w:type="dxa"/>
              <w:right w:w="28" w:type="dxa"/>
            </w:tcMar>
            <w:hideMark/>
          </w:tcPr>
          <w:p w14:paraId="5D9295DE" w14:textId="77777777" w:rsidR="002B133A" w:rsidRPr="003D56F0" w:rsidRDefault="002B133A" w:rsidP="003D56F0">
            <w:pPr>
              <w:rPr>
                <w:rFonts w:eastAsia="Times New Roman"/>
                <w:color w:val="000000"/>
                <w:sz w:val="20"/>
                <w:szCs w:val="20"/>
              </w:rPr>
            </w:pPr>
            <w:r w:rsidRPr="003D56F0">
              <w:rPr>
                <w:sz w:val="20"/>
                <w:szCs w:val="20"/>
              </w:rPr>
              <w:t>0.58</w:t>
            </w:r>
          </w:p>
        </w:tc>
        <w:tc>
          <w:tcPr>
            <w:tcW w:w="676" w:type="pct"/>
            <w:shd w:val="clear" w:color="auto" w:fill="auto"/>
            <w:noWrap/>
            <w:tcMar>
              <w:top w:w="28" w:type="dxa"/>
              <w:left w:w="28" w:type="dxa"/>
              <w:bottom w:w="28" w:type="dxa"/>
              <w:right w:w="28" w:type="dxa"/>
            </w:tcMar>
            <w:hideMark/>
          </w:tcPr>
          <w:p w14:paraId="5B8C59A3" w14:textId="77777777" w:rsidR="002B133A" w:rsidRPr="003D56F0" w:rsidRDefault="002B133A" w:rsidP="003D56F0">
            <w:pPr>
              <w:rPr>
                <w:rFonts w:eastAsia="Times New Roman"/>
                <w:color w:val="000000"/>
                <w:sz w:val="20"/>
                <w:szCs w:val="20"/>
              </w:rPr>
            </w:pPr>
            <w:r w:rsidRPr="003D56F0">
              <w:rPr>
                <w:sz w:val="20"/>
                <w:szCs w:val="20"/>
              </w:rPr>
              <w:t>0.43</w:t>
            </w:r>
          </w:p>
        </w:tc>
        <w:tc>
          <w:tcPr>
            <w:tcW w:w="760" w:type="pct"/>
            <w:shd w:val="clear" w:color="auto" w:fill="auto"/>
            <w:noWrap/>
            <w:tcMar>
              <w:top w:w="28" w:type="dxa"/>
              <w:left w:w="28" w:type="dxa"/>
              <w:bottom w:w="28" w:type="dxa"/>
              <w:right w:w="28" w:type="dxa"/>
            </w:tcMar>
            <w:hideMark/>
          </w:tcPr>
          <w:p w14:paraId="3257A2F3" w14:textId="77777777" w:rsidR="002B133A" w:rsidRPr="003D56F0" w:rsidRDefault="002B133A" w:rsidP="003D56F0">
            <w:pPr>
              <w:rPr>
                <w:rFonts w:eastAsia="Times New Roman"/>
                <w:color w:val="000000"/>
                <w:sz w:val="20"/>
                <w:szCs w:val="20"/>
              </w:rPr>
            </w:pPr>
            <w:r w:rsidRPr="003D56F0">
              <w:rPr>
                <w:sz w:val="20"/>
                <w:szCs w:val="20"/>
              </w:rPr>
              <w:t>0.72</w:t>
            </w:r>
          </w:p>
        </w:tc>
      </w:tr>
    </w:tbl>
    <w:p w14:paraId="357881C1" w14:textId="77777777" w:rsidR="002B133A" w:rsidRPr="003D56F0" w:rsidRDefault="002B133A" w:rsidP="00CC7EC2">
      <w:pPr>
        <w:rPr>
          <w:sz w:val="20"/>
          <w:szCs w:val="20"/>
        </w:rPr>
      </w:pPr>
    </w:p>
    <w:p w14:paraId="70B3B085" w14:textId="3A272FE8" w:rsidR="00884E8C" w:rsidRPr="0092650A" w:rsidRDefault="00884E8C" w:rsidP="00AD2788"/>
    <w:p w14:paraId="18950412" w14:textId="77777777" w:rsidR="00986D5B" w:rsidRPr="00AC2C72" w:rsidRDefault="00986D5B"/>
    <w:p w14:paraId="3D7C08D5" w14:textId="2C585DFB" w:rsidR="00C643B2" w:rsidRDefault="00C643B2">
      <w:pPr>
        <w:pStyle w:val="Heading2"/>
      </w:pPr>
      <w:bookmarkStart w:id="83" w:name="_Toc452035662"/>
      <w:r w:rsidRPr="00AC2C72">
        <w:t>References</w:t>
      </w:r>
      <w:bookmarkEnd w:id="83"/>
    </w:p>
    <w:p w14:paraId="2E9AC71D" w14:textId="77777777" w:rsidR="00BE4275" w:rsidRPr="008372D5" w:rsidRDefault="00BE4275"/>
    <w:p w14:paraId="63D6996B" w14:textId="481F4011" w:rsidR="00055095" w:rsidRPr="00055095" w:rsidRDefault="00EA5DA5" w:rsidP="00055095">
      <w:pPr>
        <w:widowControl w:val="0"/>
        <w:autoSpaceDE w:val="0"/>
        <w:autoSpaceDN w:val="0"/>
        <w:adjustRightInd w:val="0"/>
        <w:spacing w:line="240" w:lineRule="auto"/>
        <w:ind w:left="480" w:hanging="480"/>
        <w:rPr>
          <w:noProof/>
        </w:rPr>
      </w:pPr>
      <w:r>
        <w:fldChar w:fldCharType="begin" w:fldLock="1"/>
      </w:r>
      <w:r>
        <w:instrText xml:space="preserve">ADDIN Mendeley Bibliography CSL_BIBLIOGRAPHY </w:instrText>
      </w:r>
      <w:r>
        <w:fldChar w:fldCharType="separate"/>
      </w:r>
      <w:r w:rsidR="00055095" w:rsidRPr="00055095">
        <w:rPr>
          <w:noProof/>
        </w:rPr>
        <w:t xml:space="preserve">ACMD, 2008. </w:t>
      </w:r>
      <w:r w:rsidR="00055095" w:rsidRPr="00055095">
        <w:rPr>
          <w:i/>
          <w:iCs/>
          <w:noProof/>
        </w:rPr>
        <w:t>MDMA (’ecstasy'): A review of its harms and classification under the Misuse of Drugs Act 1971</w:t>
      </w:r>
      <w:r w:rsidR="00055095" w:rsidRPr="00055095">
        <w:rPr>
          <w:noProof/>
        </w:rPr>
        <w:t>, Available at: https://www.gov.uk/government/uploads/system/uploads/attachment_data/file/119088/mdma-report.pdf.</w:t>
      </w:r>
    </w:p>
    <w:p w14:paraId="3AC8941C"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ACMD, 2016. </w:t>
      </w:r>
      <w:r w:rsidRPr="00055095">
        <w:rPr>
          <w:i/>
          <w:iCs/>
          <w:noProof/>
        </w:rPr>
        <w:t>Prevention of drug and alcohol dependence</w:t>
      </w:r>
      <w:r w:rsidRPr="00055095">
        <w:rPr>
          <w:noProof/>
        </w:rPr>
        <w:t>, Available at: https://www.gov.uk/government/organisations/advisory-council-on-the-misuse-of-drugs/about/membership.</w:t>
      </w:r>
    </w:p>
    <w:p w14:paraId="3BE6C1C6"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ACMD (Advisory Council on the Misuse of Drugs)., 2007. </w:t>
      </w:r>
      <w:r w:rsidRPr="00055095">
        <w:rPr>
          <w:i/>
          <w:iCs/>
          <w:noProof/>
        </w:rPr>
        <w:t>Hidden Harm Three Years On: Realities, Challenges and Opportunities.</w:t>
      </w:r>
      <w:r w:rsidRPr="00055095">
        <w:rPr>
          <w:noProof/>
        </w:rPr>
        <w:t>, Available at: https://www.gov.uk/government/uploads/system/uploads/attachment_data/file/119104/HiddenHarm1.pdf.</w:t>
      </w:r>
    </w:p>
    <w:p w14:paraId="1EA4AD56"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ACMD (Advisory Council on the Misuse of Drugs)., 2003. </w:t>
      </w:r>
      <w:r w:rsidRPr="00055095">
        <w:rPr>
          <w:i/>
          <w:iCs/>
          <w:noProof/>
        </w:rPr>
        <w:t>Hidden harm: Responding to the needs of children of problem drug users.</w:t>
      </w:r>
      <w:r w:rsidRPr="00055095">
        <w:rPr>
          <w:noProof/>
        </w:rPr>
        <w:t>, Available at: https://www.gov.uk/government/uploads/system/uploads/attachment_data/file/120620/hidden-harm-full.pdf.</w:t>
      </w:r>
    </w:p>
    <w:p w14:paraId="2E9A7F01"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ACPO, 2013. Written evidence submitted to the ACMD. </w:t>
      </w:r>
      <w:r w:rsidRPr="00055095">
        <w:rPr>
          <w:i/>
          <w:iCs/>
          <w:noProof/>
        </w:rPr>
        <w:t>Association of Chief Police Officers</w:t>
      </w:r>
      <w:r w:rsidRPr="00055095">
        <w:rPr>
          <w:noProof/>
        </w:rPr>
        <w:t>. Available at: http://www.publications.parliament.uk/pa/cm201314/cmselect/cmhaff/819/819we</w:t>
      </w:r>
      <w:r w:rsidRPr="00055095">
        <w:rPr>
          <w:noProof/>
        </w:rPr>
        <w:lastRenderedPageBreak/>
        <w:t>04.htm.</w:t>
      </w:r>
    </w:p>
    <w:p w14:paraId="78071D21"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Balfour, R. &amp; Allen, J., 2014. </w:t>
      </w:r>
      <w:r w:rsidRPr="00055095">
        <w:rPr>
          <w:i/>
          <w:iCs/>
          <w:noProof/>
        </w:rPr>
        <w:t>A Review of the Literature on Sex Workers and Social Exclusion.</w:t>
      </w:r>
      <w:r w:rsidRPr="00055095">
        <w:rPr>
          <w:noProof/>
        </w:rPr>
        <w:t>, Available at: https://www.gov.uk/government/uploads/system/uploads/attachment_data/file/303927/A_Review_of_the_Literature_on_sex_workers_and_social_exclusion.pdf.</w:t>
      </w:r>
    </w:p>
    <w:p w14:paraId="43F57E0A"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Blueprints, 2016. Familias Unidas. Available at: http://www.blueprintsprograms.com/program-costs/familias-unidas.</w:t>
      </w:r>
    </w:p>
    <w:p w14:paraId="3BF113A2"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Bourne, A. et al., 2015. Illicit drug use in sexual settings (’chemsex') and HIV/STI transmission risk behaviour among gay men in South London: findings from a qualitative study. </w:t>
      </w:r>
      <w:r w:rsidRPr="00055095">
        <w:rPr>
          <w:i/>
          <w:iCs/>
          <w:noProof/>
        </w:rPr>
        <w:t>Sexually transmitted infections</w:t>
      </w:r>
      <w:r w:rsidRPr="00055095">
        <w:rPr>
          <w:noProof/>
        </w:rPr>
        <w:t>, 91(8), pp.564–568. Available at: http://apps.webofknowledge.com/full_record.do?product=WOS&amp;search_mode=CitingArticles&amp;qid=1&amp;SID=W1HnFq71TOmNoSHorBF&amp;page=1&amp;doc=1&amp;cacheurlFromRightClick=no.</w:t>
      </w:r>
    </w:p>
    <w:p w14:paraId="2A8B0B10"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Bramley, G. et al., 2015. </w:t>
      </w:r>
      <w:r w:rsidRPr="00055095">
        <w:rPr>
          <w:i/>
          <w:iCs/>
          <w:noProof/>
        </w:rPr>
        <w:t>Hard Edges: Mapping severe and multiple disadvantage</w:t>
      </w:r>
      <w:r w:rsidRPr="00055095">
        <w:rPr>
          <w:noProof/>
        </w:rPr>
        <w:t>, Available at: http://lankellychase.org.uk/wp-content/uploads/2015/07/Hard-Edges-Mapping-SMD-2015.pdf.</w:t>
      </w:r>
    </w:p>
    <w:p w14:paraId="33343D27"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Buffin, J. et al., 2012. </w:t>
      </w:r>
      <w:r w:rsidRPr="00055095">
        <w:rPr>
          <w:i/>
          <w:iCs/>
          <w:noProof/>
        </w:rPr>
        <w:t>Part of the Picture: Lesbian, gay, and bisexual people’s alcohol and drug use in England (2009–2011).</w:t>
      </w:r>
      <w:r w:rsidRPr="00055095">
        <w:rPr>
          <w:noProof/>
        </w:rPr>
        <w:t>, Available at: http://lgbt.foundation/policy-research/part-of-the-picture/.</w:t>
      </w:r>
    </w:p>
    <w:p w14:paraId="761AE0EC"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Catalano, R.F. et al., 1999. An experimental intervention with families of substance abusers: one-year follow-up of the focus on families project. </w:t>
      </w:r>
      <w:r w:rsidRPr="00055095">
        <w:rPr>
          <w:i/>
          <w:iCs/>
          <w:noProof/>
        </w:rPr>
        <w:t>International Journal of Conflict Management</w:t>
      </w:r>
      <w:r w:rsidRPr="00055095">
        <w:rPr>
          <w:noProof/>
        </w:rPr>
        <w:t>, 10(2), pp.130–153.</w:t>
      </w:r>
    </w:p>
    <w:p w14:paraId="0033C330"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CCEMG, 2015. CCEMG - EPPI-Centre Cost Converter v.1.4. Available at: http://eppi.ioe.ac.uk/costconversion/Default.aspx [Accessed January 6, 2016].</w:t>
      </w:r>
    </w:p>
    <w:p w14:paraId="5CD3A8E1"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CCEMG, 2016. EPPI-Centre Cost Converter. Available at: http://eppi.ioe.ac.uk/costconversion/Default.aspx.</w:t>
      </w:r>
    </w:p>
    <w:p w14:paraId="3F02B288"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Coles, B. et al., 2010. </w:t>
      </w:r>
      <w:r w:rsidRPr="00055095">
        <w:rPr>
          <w:i/>
          <w:iCs/>
          <w:noProof/>
        </w:rPr>
        <w:t>Estimating the life-time cost of NEET: 16-18 year olds not in Education, Employment or Training</w:t>
      </w:r>
      <w:r w:rsidRPr="00055095">
        <w:rPr>
          <w:noProof/>
        </w:rPr>
        <w:t>,</w:t>
      </w:r>
    </w:p>
    <w:p w14:paraId="6587D7C2"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Cooper, K. et al., 2015. Psychological and psychosocial interventions for cannabis cessation in adults: a systematic review short report. </w:t>
      </w:r>
      <w:r w:rsidRPr="00055095">
        <w:rPr>
          <w:i/>
          <w:iCs/>
          <w:noProof/>
        </w:rPr>
        <w:t>Health Technology Assessment</w:t>
      </w:r>
      <w:r w:rsidRPr="00055095">
        <w:rPr>
          <w:noProof/>
        </w:rPr>
        <w:t>, 19(56), pp.1–130. Available at: http://www.journalslibrary.nihr.ac.uk/hta/volume-19/issue-56.</w:t>
      </w:r>
    </w:p>
    <w:p w14:paraId="276D0AD7"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Crisis, 2015. Definition and numbers: homeless across the UK. Available at: http://www.crisis.org.uk/pages/homeless-def-numbers.html [Accessed January 1, 2015].</w:t>
      </w:r>
    </w:p>
    <w:p w14:paraId="1D459A06"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Croft, R.J. et al., 2001. The relative contributions of ecstasy and cannabis to cognitive impairment. </w:t>
      </w:r>
      <w:r w:rsidRPr="00055095">
        <w:rPr>
          <w:i/>
          <w:iCs/>
          <w:noProof/>
        </w:rPr>
        <w:t>Psychopharmacology</w:t>
      </w:r>
      <w:r w:rsidRPr="00055095">
        <w:rPr>
          <w:noProof/>
        </w:rPr>
        <w:t>, 153(3), pp.373–379.</w:t>
      </w:r>
    </w:p>
    <w:p w14:paraId="12328956"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CSEW, 2015. </w:t>
      </w:r>
      <w:r w:rsidRPr="00055095">
        <w:rPr>
          <w:i/>
          <w:iCs/>
          <w:noProof/>
        </w:rPr>
        <w:t>Drug misuse: Findings from the 2014/15 Crime Survey for England and Wales</w:t>
      </w:r>
      <w:r w:rsidRPr="00055095">
        <w:rPr>
          <w:noProof/>
        </w:rPr>
        <w:t>, Available at: https://www.gov.uk/government/uploads/system/uploads/attachment_data/file/462885/drug-misuse-1415.pdf.</w:t>
      </w:r>
    </w:p>
    <w:p w14:paraId="37CB61B7"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Curtis, L. &amp; Burns, A., 2014. PSSRU | Unit Costs of Health and Social Care 2015. Available at: http://www.pssru.ac.uk/project-pages/unit-costs/2015/.</w:t>
      </w:r>
    </w:p>
    <w:p w14:paraId="1070692C"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Davies, C. et al., 2012. </w:t>
      </w:r>
      <w:r w:rsidRPr="00055095">
        <w:rPr>
          <w:i/>
          <w:iCs/>
          <w:noProof/>
        </w:rPr>
        <w:t>United Kingdom drug situation: annual report on the European Monitoring Centre for Drugs and Drug Addiction (EMCDDA)</w:t>
      </w:r>
      <w:r w:rsidRPr="00055095">
        <w:rPr>
          <w:noProof/>
        </w:rPr>
        <w:t>, Available at: http://www.nta.nhs.uk/uploads/2012.pdf.</w:t>
      </w:r>
    </w:p>
    <w:p w14:paraId="437F7F99"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Davies, L. et al., 2009. The Drug Treatment Outcomes Research Study (DTORS): Cost effectiveness analysis. , (December), p.18.</w:t>
      </w:r>
    </w:p>
    <w:p w14:paraId="0D4ED66B"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DCLG, 2015. </w:t>
      </w:r>
      <w:r w:rsidRPr="00055095">
        <w:rPr>
          <w:i/>
          <w:iCs/>
          <w:noProof/>
        </w:rPr>
        <w:t>Rough Sleeping Statistics England - Autumn 2014 Official Statistics</w:t>
      </w:r>
      <w:r w:rsidRPr="00055095">
        <w:rPr>
          <w:noProof/>
        </w:rPr>
        <w:t xml:space="preserve">, </w:t>
      </w:r>
      <w:r w:rsidRPr="00055095">
        <w:rPr>
          <w:noProof/>
        </w:rPr>
        <w:lastRenderedPageBreak/>
        <w:t>Available at: https://www.gov.uk/government/uploads/system/uploads/attachment_data/file/407030/Rough_Sleeping_Statistics_England_-_Autumn_2014.pdf.</w:t>
      </w:r>
    </w:p>
    <w:p w14:paraId="24848570"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Degenhardt, L. et al., 2013. The Global Epidemiology and Contribution of Cannabis Use and Dependence to the Global Burden of Disease: Results from the GBD 2010 Study. </w:t>
      </w:r>
      <w:r w:rsidRPr="00055095">
        <w:rPr>
          <w:i/>
          <w:iCs/>
          <w:noProof/>
        </w:rPr>
        <w:t>PLoS ONE</w:t>
      </w:r>
      <w:r w:rsidRPr="00055095">
        <w:rPr>
          <w:noProof/>
        </w:rPr>
        <w:t>, 8(10), p.e76635. Available at: http://dx.plos.org/10.1371/journal.pone.0076635.</w:t>
      </w:r>
    </w:p>
    <w:p w14:paraId="0AFFE6DE"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Delebarre, J., 2015. </w:t>
      </w:r>
      <w:r w:rsidRPr="00055095">
        <w:rPr>
          <w:i/>
          <w:iCs/>
          <w:noProof/>
        </w:rPr>
        <w:t>NEET: Young people not in Education, Employment or Training</w:t>
      </w:r>
      <w:r w:rsidRPr="00055095">
        <w:rPr>
          <w:noProof/>
        </w:rPr>
        <w:t>, Available at: http://80.75.66.219/sqa/files_ccc/David Raffe - Young People Not in Education, Employment or Training.pdf.</w:t>
      </w:r>
    </w:p>
    <w:p w14:paraId="16488993"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Devitt, K., 2011. </w:t>
      </w:r>
      <w:r w:rsidRPr="00055095">
        <w:rPr>
          <w:i/>
          <w:iCs/>
          <w:noProof/>
        </w:rPr>
        <w:t>Young adults today: substance misuse and young adults in the criminal justice system</w:t>
      </w:r>
      <w:r w:rsidRPr="00055095">
        <w:rPr>
          <w:noProof/>
        </w:rPr>
        <w:t>, Available at: http://www.t2a.org.uk/wp-content/uploads/2011/09/Young-Adults-in-Focus-Substance-Misuse-Factfile-2011.pdf.</w:t>
      </w:r>
    </w:p>
    <w:p w14:paraId="77D28558"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DfE, 2015. Children looked after in England, including adoption. </w:t>
      </w:r>
      <w:r w:rsidRPr="00055095">
        <w:rPr>
          <w:i/>
          <w:iCs/>
          <w:noProof/>
        </w:rPr>
        <w:t>Department for Education, National Statistics</w:t>
      </w:r>
      <w:r w:rsidRPr="00055095">
        <w:rPr>
          <w:noProof/>
        </w:rPr>
        <w:t>. Available at: https://www.gov.uk/government/statistics/children-looked-after-in-england-including-adoption--2.</w:t>
      </w:r>
    </w:p>
    <w:p w14:paraId="625282F8"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Di Forti, M. et al., 2015. Proportion of patients in south London with first-episode psychosis attributable to use of high potency cannabis: a case-control study. </w:t>
      </w:r>
      <w:r w:rsidRPr="00055095">
        <w:rPr>
          <w:i/>
          <w:iCs/>
          <w:noProof/>
        </w:rPr>
        <w:t>The Lancet Psychiatry</w:t>
      </w:r>
      <w:r w:rsidRPr="00055095">
        <w:rPr>
          <w:noProof/>
        </w:rPr>
        <w:t>, 2(3), pp.233–238. Available at: http://linkinghub.elsevier.com/retrieve/pii/S2215036614001175.</w:t>
      </w:r>
    </w:p>
    <w:p w14:paraId="127743A1"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Fountain, J. &amp; Howes, S., 2002. </w:t>
      </w:r>
      <w:r w:rsidRPr="00055095">
        <w:rPr>
          <w:i/>
          <w:iCs/>
          <w:noProof/>
        </w:rPr>
        <w:t>Home and dry? Homelessness and substance use</w:t>
      </w:r>
      <w:r w:rsidRPr="00055095">
        <w:rPr>
          <w:noProof/>
        </w:rPr>
        <w:t>, Available at: http://www.drugsandhousing.co.uk/homeanddrycrisis.pdf.</w:t>
      </w:r>
    </w:p>
    <w:p w14:paraId="046A41AC"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Fuller, E. et al., 2013. </w:t>
      </w:r>
      <w:r w:rsidRPr="00055095">
        <w:rPr>
          <w:i/>
          <w:iCs/>
          <w:noProof/>
        </w:rPr>
        <w:t>Smoking, Drinking and Drug use among young people in England in 2012</w:t>
      </w:r>
      <w:r w:rsidRPr="00055095">
        <w:rPr>
          <w:noProof/>
        </w:rPr>
        <w:t>, Available at: http://www.hscic.gov.uk/catalogue/PUB11334/smok-drin-drug-youn-peop-eng-2012-repo.pdf.</w:t>
      </w:r>
    </w:p>
    <w:p w14:paraId="7B661037"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Gadegbeku, B., Amoros, E. &amp; Laumon, B., 2011. Responsibility study: main illicit psychoactive substances among car drivers involved in fatal road crashes. </w:t>
      </w:r>
      <w:r w:rsidRPr="00055095">
        <w:rPr>
          <w:i/>
          <w:iCs/>
          <w:noProof/>
        </w:rPr>
        <w:t>Annals of advances in automotive medicine / Annual Scientific Conference ... Association for the Advancement of Automotive Medicine. Association for the Advancement of Automotive Medicine. Scientific Conference</w:t>
      </w:r>
      <w:r w:rsidRPr="00055095">
        <w:rPr>
          <w:noProof/>
        </w:rPr>
        <w:t>, 55(October), pp.293–300. Available at: http://www.pubmedcentral.nih.gov/articlerender.fcgi?artid=3256820&amp;tool=pmcentrez&amp;rendertype=abstract.</w:t>
      </w:r>
    </w:p>
    <w:p w14:paraId="1588F8AE"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Godfrey, C. et al., 2002. </w:t>
      </w:r>
      <w:r w:rsidRPr="00055095">
        <w:rPr>
          <w:i/>
          <w:iCs/>
          <w:noProof/>
        </w:rPr>
        <w:t>The economic and social costs of Class A drug use in England and Wales</w:t>
      </w:r>
      <w:r w:rsidRPr="00055095">
        <w:rPr>
          <w:noProof/>
        </w:rPr>
        <w:t>, Available at: http://webarchive.nationalarchives.gov.uk/20110218135832/rds.homeoffice.gov.uk/rds/pdfs2/hors249.pdf.</w:t>
      </w:r>
    </w:p>
    <w:p w14:paraId="42B8F7DD"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Godfrey, C., Stewart, D. &amp; Gossop, M., 2004. Economic analysis of costs and consequences of the treatment of drug misuse: 2-Year outcome data from the National Treatment Outcome Research Study (NTORS). </w:t>
      </w:r>
      <w:r w:rsidRPr="00055095">
        <w:rPr>
          <w:i/>
          <w:iCs/>
          <w:noProof/>
        </w:rPr>
        <w:t>Addiction</w:t>
      </w:r>
      <w:r w:rsidRPr="00055095">
        <w:rPr>
          <w:noProof/>
        </w:rPr>
        <w:t>, 99(6), pp.697–707.</w:t>
      </w:r>
    </w:p>
    <w:p w14:paraId="4D09AC28"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Goodwin, A., 2005. </w:t>
      </w:r>
      <w:r w:rsidRPr="00055095">
        <w:rPr>
          <w:i/>
          <w:iCs/>
          <w:noProof/>
        </w:rPr>
        <w:t>Measuring the harm from illegal drugs : the Drug Harm Index 2005 Drug Harm Index 2005</w:t>
      </w:r>
      <w:r w:rsidRPr="00055095">
        <w:rPr>
          <w:noProof/>
        </w:rPr>
        <w:t>,</w:t>
      </w:r>
    </w:p>
    <w:p w14:paraId="071E5054"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Haggerty, K.P. et al., 2008. Long-term effects of the Focus on Families project on substance use disorders among children of parents in methadone treatment. </w:t>
      </w:r>
      <w:r w:rsidRPr="00055095">
        <w:rPr>
          <w:i/>
          <w:iCs/>
          <w:noProof/>
        </w:rPr>
        <w:t>Addiction (Abingdon, England)</w:t>
      </w:r>
      <w:r w:rsidRPr="00055095">
        <w:rPr>
          <w:noProof/>
        </w:rPr>
        <w:t>, 103(12), pp.2008–16. Available at: http://www.pubmedcentral.nih.gov/articlerender.fcgi?artid=2728465&amp;tool=pmcen</w:t>
      </w:r>
      <w:r w:rsidRPr="00055095">
        <w:rPr>
          <w:noProof/>
        </w:rPr>
        <w:lastRenderedPageBreak/>
        <w:t>trez&amp;rendertype=abstract [Accessed December 26, 2015].</w:t>
      </w:r>
    </w:p>
    <w:p w14:paraId="30FC592B"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Hall, W., 2015. What has research over the past two decades revealed about the adverse health effects of recreational cannabis use? </w:t>
      </w:r>
      <w:r w:rsidRPr="00055095">
        <w:rPr>
          <w:i/>
          <w:iCs/>
          <w:noProof/>
        </w:rPr>
        <w:t>Addiction</w:t>
      </w:r>
      <w:r w:rsidRPr="00055095">
        <w:rPr>
          <w:noProof/>
        </w:rPr>
        <w:t>, 110(1), pp.19–35. Available at: http://doi.wiley.com/10.1111/add.12703.</w:t>
      </w:r>
    </w:p>
    <w:p w14:paraId="5BF5985E"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Hammersley, R., Marsland, L. &amp; Reid, M., 2003. </w:t>
      </w:r>
      <w:r w:rsidRPr="00055095">
        <w:rPr>
          <w:i/>
          <w:iCs/>
          <w:noProof/>
        </w:rPr>
        <w:t>Substance use by young offenders: the impact of the normalisation of drug use in the early years of the 21st century.</w:t>
      </w:r>
      <w:r w:rsidRPr="00055095">
        <w:rPr>
          <w:noProof/>
        </w:rPr>
        <w:t>, Available at: http://citeseerx.ist.psu.edu/viewdoc/download?doi=10.1.1.470.2614&amp;rep=rep1&amp;type=pdf.</w:t>
      </w:r>
    </w:p>
    <w:p w14:paraId="77E32E81"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Hartman, R.L. &amp; Huestis, M. a., 2013. Cannabis effects on driving skills. </w:t>
      </w:r>
      <w:r w:rsidRPr="00055095">
        <w:rPr>
          <w:i/>
          <w:iCs/>
          <w:noProof/>
        </w:rPr>
        <w:t>Clinical Chemistry</w:t>
      </w:r>
      <w:r w:rsidRPr="00055095">
        <w:rPr>
          <w:noProof/>
        </w:rPr>
        <w:t>, 59(3), pp.478–492.</w:t>
      </w:r>
    </w:p>
    <w:p w14:paraId="617BFB54"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Homeless link, 2015. Young and Homeless. Available at: http://www.homeless.org.uk/facts/our-research/young-and-homeless-research.</w:t>
      </w:r>
    </w:p>
    <w:p w14:paraId="6C65B814"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Horyniak, D. et al., 2014. Pattern and characteristics of ecstasy and related drug (ERD) presentations at two hospital emergency departments, Melbourne, Australia, 2008-2010. </w:t>
      </w:r>
      <w:r w:rsidRPr="00055095">
        <w:rPr>
          <w:i/>
          <w:iCs/>
          <w:noProof/>
        </w:rPr>
        <w:t>Emergency medicine journal : EMJ</w:t>
      </w:r>
      <w:r w:rsidRPr="00055095">
        <w:rPr>
          <w:noProof/>
        </w:rPr>
        <w:t>, 31(4), pp.317–22. Available at: http://www.ncbi.nlm.nih.gov/pubmed/23404807.</w:t>
      </w:r>
    </w:p>
    <w:p w14:paraId="1553CD0E"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HSCIC, 2016. Hospital episode statistics 2014/15. </w:t>
      </w:r>
      <w:r w:rsidRPr="00055095">
        <w:rPr>
          <w:i/>
          <w:iCs/>
          <w:noProof/>
        </w:rPr>
        <w:t>Health &amp; Social Care Information Centre</w:t>
      </w:r>
      <w:r w:rsidRPr="00055095">
        <w:rPr>
          <w:noProof/>
        </w:rPr>
        <w:t>. Available at: http://www.hscic.gov.uk/.</w:t>
      </w:r>
    </w:p>
    <w:p w14:paraId="4AEE5A3E"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IAPT, 2015. </w:t>
      </w:r>
      <w:r w:rsidRPr="00055095">
        <w:rPr>
          <w:i/>
          <w:iCs/>
          <w:noProof/>
        </w:rPr>
        <w:t>Estimate of prevalence of Common Mental Disorders at CCG level</w:t>
      </w:r>
      <w:r w:rsidRPr="00055095">
        <w:rPr>
          <w:noProof/>
        </w:rPr>
        <w:t>, Available at: https://www.england.nhs.uk/wp-content/uploads/2014/03/prevalence-cmd.pdf.</w:t>
      </w:r>
    </w:p>
    <w:p w14:paraId="3508D34B"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Investing in Children, 2016. Multidimensional Treatment Foster Care. Available at: http://investinginchildren.eu/interventions/multidimensional-treatment-foster-care.</w:t>
      </w:r>
    </w:p>
    <w:p w14:paraId="2E9EA4C3"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ISRCTN, 2016. An evaluation of the Chance UK mentoring programme. Available at: http://www.isrctn.com/ISRCTN47154925?q=ECHO chance uk&amp;filters=&amp;sort=&amp;offset=1&amp;totalResults=2&amp;page=1&amp;pageSize=10&amp;searchType=basic-search.</w:t>
      </w:r>
    </w:p>
    <w:p w14:paraId="17238F61"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Jeal, N., Salisbury, C. &amp; Turner, K., 2008. The multiplicity and interdependency of factors influencing the health of street-based sex workers: a qualitative study. </w:t>
      </w:r>
      <w:r w:rsidRPr="00055095">
        <w:rPr>
          <w:i/>
          <w:iCs/>
          <w:noProof/>
        </w:rPr>
        <w:t>Sexually transmitted infections</w:t>
      </w:r>
      <w:r w:rsidRPr="00055095">
        <w:rPr>
          <w:noProof/>
        </w:rPr>
        <w:t>, 84(5), pp.381–5. Available at: http://sti.bmj.com/content/84/5/381.long.</w:t>
      </w:r>
    </w:p>
    <w:p w14:paraId="4A403B1A"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Kind, P., Hardman, G. &amp; Macran, S., 1999. </w:t>
      </w:r>
      <w:r w:rsidRPr="00055095">
        <w:rPr>
          <w:i/>
          <w:iCs/>
          <w:noProof/>
        </w:rPr>
        <w:t>UK population norms for EQ-5D</w:t>
      </w:r>
      <w:r w:rsidRPr="00055095">
        <w:rPr>
          <w:noProof/>
        </w:rPr>
        <w:t>, Available at: http://www.york.ac.uk/che/pdf/DP172.pdf.</w:t>
      </w:r>
    </w:p>
    <w:p w14:paraId="1D283D7F"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Kirkbride, J. et al., 2012. </w:t>
      </w:r>
      <w:r w:rsidRPr="00055095">
        <w:rPr>
          <w:i/>
          <w:iCs/>
          <w:noProof/>
        </w:rPr>
        <w:t>Systematic Review of the Incidence and Prevalence of Schizophrenia and Other Psychoses in England</w:t>
      </w:r>
      <w:r w:rsidRPr="00055095">
        <w:rPr>
          <w:noProof/>
        </w:rPr>
        <w:t>, Available at: http://www.psychiatry.cam.ac.uk/files/2014/05/Final-report-v1.05-Jan-12.pdf.</w:t>
      </w:r>
    </w:p>
    <w:p w14:paraId="2BCBFDF1"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Lee, C.M. et al., 2010. A brief, web-based personalized feedback selective intervention for college student marijuana use: a randomized clinical trial. </w:t>
      </w:r>
      <w:r w:rsidRPr="00055095">
        <w:rPr>
          <w:i/>
          <w:iCs/>
          <w:noProof/>
        </w:rPr>
        <w:t>Psychology of addictive behaviors : journal of the Society of Psychologists in Addictive Behaviors</w:t>
      </w:r>
      <w:r w:rsidRPr="00055095">
        <w:rPr>
          <w:noProof/>
        </w:rPr>
        <w:t>, 24(2), pp.265–73. Available at: http://www.scopus.com/inward/record.url?eid=2-s2.0-77954166069&amp;partnerID=tZOtx3y1.</w:t>
      </w:r>
    </w:p>
    <w:p w14:paraId="4BD9C0FF"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Leigh, B.C. &amp; Stall, R., 1993. Substance use and risky sexual behavior for exposure to HIV. Issues in methodology, interpretation, and prevention. </w:t>
      </w:r>
      <w:r w:rsidRPr="00055095">
        <w:rPr>
          <w:i/>
          <w:iCs/>
          <w:noProof/>
        </w:rPr>
        <w:t>The American psychologist</w:t>
      </w:r>
      <w:r w:rsidRPr="00055095">
        <w:rPr>
          <w:noProof/>
        </w:rPr>
        <w:t>, 48(10), pp.1035–45.</w:t>
      </w:r>
    </w:p>
    <w:p w14:paraId="7BCDC42F"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Lucena, J. et al., 2010. Cocaine-related sudden death: A prospective investigation in south-west Spain. </w:t>
      </w:r>
      <w:r w:rsidRPr="00055095">
        <w:rPr>
          <w:i/>
          <w:iCs/>
          <w:noProof/>
        </w:rPr>
        <w:t>European Heart Journal</w:t>
      </w:r>
      <w:r w:rsidRPr="00055095">
        <w:rPr>
          <w:noProof/>
        </w:rPr>
        <w:t>, 31(3), pp.318–329.</w:t>
      </w:r>
    </w:p>
    <w:p w14:paraId="1FEC3F34"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Maric, T. et al., 2010. Prevalence of cocaine use among patients attending the </w:t>
      </w:r>
      <w:r w:rsidRPr="00055095">
        <w:rPr>
          <w:noProof/>
        </w:rPr>
        <w:lastRenderedPageBreak/>
        <w:t xml:space="preserve">emergency department with chest pain. </w:t>
      </w:r>
      <w:r w:rsidRPr="00055095">
        <w:rPr>
          <w:i/>
          <w:iCs/>
          <w:noProof/>
        </w:rPr>
        <w:t>Emergency medicine journal : EMJ</w:t>
      </w:r>
      <w:r w:rsidRPr="00055095">
        <w:rPr>
          <w:noProof/>
        </w:rPr>
        <w:t>, 27(7), pp.548–50.</w:t>
      </w:r>
    </w:p>
    <w:p w14:paraId="454178BE"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Martin, G. &amp; Copeland, J., 2010. Brief intervention for regular ecstasy (MDMA) users: Pilot randomized trial of a check-up model. </w:t>
      </w:r>
      <w:r w:rsidRPr="00055095">
        <w:rPr>
          <w:i/>
          <w:iCs/>
          <w:noProof/>
        </w:rPr>
        <w:t>Journal of Substance Use</w:t>
      </w:r>
      <w:r w:rsidRPr="00055095">
        <w:rPr>
          <w:noProof/>
        </w:rPr>
        <w:t>, 15(2), pp.131–142. Available at: http://www.scopus.com/inward/record.url?eid=2-s2.0-77952485836&amp;partnerID=40&amp;md5=a0c5c0610a0d0c8947aad937a7bf8b69.</w:t>
      </w:r>
    </w:p>
    <w:p w14:paraId="7BC1FC78"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May, T. et al., 2002. </w:t>
      </w:r>
      <w:r w:rsidRPr="00055095">
        <w:rPr>
          <w:i/>
          <w:iCs/>
          <w:noProof/>
        </w:rPr>
        <w:t>Times they are a-changing Policing of cannabis</w:t>
      </w:r>
      <w:r w:rsidRPr="00055095">
        <w:rPr>
          <w:noProof/>
        </w:rPr>
        <w:t>,</w:t>
      </w:r>
    </w:p>
    <w:p w14:paraId="5BFF7390"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McCollister, K.E. et al., 2014. Opportunity costs and financial incentives for Hispanic youth participating in a family-based HIV and substance use preventive intervention. </w:t>
      </w:r>
      <w:r w:rsidRPr="00055095">
        <w:rPr>
          <w:i/>
          <w:iCs/>
          <w:noProof/>
        </w:rPr>
        <w:t>Journal of Primary Prevention</w:t>
      </w:r>
      <w:r w:rsidRPr="00055095">
        <w:rPr>
          <w:noProof/>
        </w:rPr>
        <w:t>, 35(1), pp.13–20.</w:t>
      </w:r>
    </w:p>
    <w:p w14:paraId="720151C5"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McManus, S. et al., 2009. </w:t>
      </w:r>
      <w:r w:rsidRPr="00055095">
        <w:rPr>
          <w:i/>
          <w:iCs/>
          <w:noProof/>
        </w:rPr>
        <w:t>Adult psychiatric morbidity in England, 2007: Results of a household survey</w:t>
      </w:r>
      <w:r w:rsidRPr="00055095">
        <w:rPr>
          <w:noProof/>
        </w:rPr>
        <w:t>, Available at: http://discovery.ucl.ac.uk/164862/.</w:t>
      </w:r>
    </w:p>
    <w:p w14:paraId="37AAF970"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Measham F and Moore K., 2009. Weekend poly drug repertoires across the night time economy: Exploring the relationship between patterns of illicit drug use, entertainment type and venue type by customers in licensed leisure venues in an English city. </w:t>
      </w:r>
      <w:r w:rsidRPr="00055095">
        <w:rPr>
          <w:i/>
          <w:iCs/>
          <w:noProof/>
        </w:rPr>
        <w:t>submitted</w:t>
      </w:r>
      <w:r w:rsidRPr="00055095">
        <w:rPr>
          <w:noProof/>
        </w:rPr>
        <w:t>.</w:t>
      </w:r>
    </w:p>
    <w:p w14:paraId="353015BB"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Meltzer, H. et al., 2003. </w:t>
      </w:r>
      <w:r w:rsidRPr="00055095">
        <w:rPr>
          <w:i/>
          <w:iCs/>
          <w:noProof/>
        </w:rPr>
        <w:t>The mental health of young people looked after by local authorities in England</w:t>
      </w:r>
      <w:r w:rsidRPr="00055095">
        <w:rPr>
          <w:noProof/>
        </w:rPr>
        <w:t>,</w:t>
      </w:r>
    </w:p>
    <w:p w14:paraId="10BE6AD2"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Milani, R. et al., 2006. MDMA in humans: factors which affect the neuropsychobiological profiles of recreational ecstasy users, the integrative role of bioenergetic stress. </w:t>
      </w:r>
      <w:r w:rsidRPr="00055095">
        <w:rPr>
          <w:i/>
          <w:iCs/>
          <w:noProof/>
        </w:rPr>
        <w:t>Journal of psychopharmacology (Oxford, England)</w:t>
      </w:r>
      <w:r w:rsidRPr="00055095">
        <w:rPr>
          <w:noProof/>
        </w:rPr>
        <w:t>, 20(2), pp.147–163.</w:t>
      </w:r>
    </w:p>
    <w:p w14:paraId="7414C37E"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Milburn, N.G. et al., 2012. A family intervention to reduce sexual risk behavior, substance use, and delinquency among newly homeless youth. </w:t>
      </w:r>
      <w:r w:rsidRPr="00055095">
        <w:rPr>
          <w:i/>
          <w:iCs/>
          <w:noProof/>
        </w:rPr>
        <w:t>Journal of Adolescent Health</w:t>
      </w:r>
      <w:r w:rsidRPr="00055095">
        <w:rPr>
          <w:noProof/>
        </w:rPr>
        <w:t>, 50(4), pp.358–364. Available at: http://dx.doi.org/10.1016/j.jadohealth.2011.08.009.</w:t>
      </w:r>
    </w:p>
    <w:p w14:paraId="5B9CA45E"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Ministry of Justice, 2015. </w:t>
      </w:r>
      <w:r w:rsidRPr="00055095">
        <w:rPr>
          <w:i/>
          <w:iCs/>
          <w:noProof/>
        </w:rPr>
        <w:t>Youth Justice Statistics 2013/14: England and Wales</w:t>
      </w:r>
      <w:r w:rsidRPr="00055095">
        <w:rPr>
          <w:noProof/>
        </w:rPr>
        <w:t>, Available at: https://www.gov.uk/government/uploads/system/uploads/attachment_data/file/278549/youth-justice-stats-2013.pdf.</w:t>
      </w:r>
    </w:p>
    <w:p w14:paraId="235AA40F"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Minstry of Justice, 2014. </w:t>
      </w:r>
      <w:r w:rsidRPr="00055095">
        <w:rPr>
          <w:i/>
          <w:iCs/>
          <w:noProof/>
        </w:rPr>
        <w:t>Costs per place and costs per prisoner National Offender Management Service Annual Report and Accounts 2013-14 Management Information Addendum Ministry of Justice Information Release</w:t>
      </w:r>
      <w:r w:rsidRPr="00055095">
        <w:rPr>
          <w:noProof/>
        </w:rPr>
        <w:t>, Available at: https://www.gov.uk/government/uploads/system/uploads/attachment_data/file/367551/cost-per-place-and-prisoner-2013-14-summary.pdf.</w:t>
      </w:r>
    </w:p>
    <w:p w14:paraId="67549B3A"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Moore, T.H.M. et al., 2006. Cannabis use and risk of psychotic or affective mental health outcomes : a systematic review. </w:t>
      </w:r>
      <w:r w:rsidRPr="00055095">
        <w:rPr>
          <w:i/>
          <w:iCs/>
          <w:noProof/>
        </w:rPr>
        <w:t>The Lancet</w:t>
      </w:r>
      <w:r w:rsidRPr="00055095">
        <w:rPr>
          <w:noProof/>
        </w:rPr>
        <w:t>, pp.319–328.</w:t>
      </w:r>
    </w:p>
    <w:p w14:paraId="33D400B9"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Morgenstern, J. et al., 2009. Randomized trial to reduce club drug use and HIV risk behaviors among men who have sex with men. </w:t>
      </w:r>
      <w:r w:rsidRPr="00055095">
        <w:rPr>
          <w:i/>
          <w:iCs/>
          <w:noProof/>
        </w:rPr>
        <w:t>Journal of consulting and clinical psychology</w:t>
      </w:r>
      <w:r w:rsidRPr="00055095">
        <w:rPr>
          <w:noProof/>
        </w:rPr>
        <w:t>, 77(4), pp.645–56. Available at: http://www.pubmedcentral.nih.gov/articlerender.fcgi?artid=2758623&amp;tool=pmcentrez&amp;rendertype=abstract.</w:t>
      </w:r>
    </w:p>
    <w:p w14:paraId="672C8E53"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National Audit Office, 2011. </w:t>
      </w:r>
      <w:r w:rsidRPr="00055095">
        <w:rPr>
          <w:i/>
          <w:iCs/>
          <w:noProof/>
        </w:rPr>
        <w:t>The cost of a cohort of young offenders to the criminal justice system</w:t>
      </w:r>
      <w:r w:rsidRPr="00055095">
        <w:rPr>
          <w:noProof/>
        </w:rPr>
        <w:t>, Available at: https://www.nao.org.uk/wp-content/uploads/2010/12/1011663_technical_paper.pdf.</w:t>
      </w:r>
    </w:p>
    <w:p w14:paraId="335CED2E"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NDTMS, 2016. Value for Money tool. Available at: https://www.ndtms.net/ValueForMoney.aspx.</w:t>
      </w:r>
    </w:p>
    <w:p w14:paraId="0F03CE30"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NICE, 2007. </w:t>
      </w:r>
      <w:r w:rsidRPr="00055095">
        <w:rPr>
          <w:i/>
          <w:iCs/>
          <w:noProof/>
        </w:rPr>
        <w:t>Substance misuse interventions for vulnerable under 25s</w:t>
      </w:r>
      <w:r w:rsidRPr="00055095">
        <w:rPr>
          <w:noProof/>
        </w:rPr>
        <w:t>, Available at: https://www.nice.org.uk/guidance/ph4.</w:t>
      </w:r>
    </w:p>
    <w:p w14:paraId="2009BE10"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ONS, 2015. UK Statistics - Population and migration. Available at: </w:t>
      </w:r>
      <w:r w:rsidRPr="00055095">
        <w:rPr>
          <w:noProof/>
        </w:rPr>
        <w:lastRenderedPageBreak/>
        <w:t>http://www.ons.gov.uk/ons/guide-method/compendiums/compendium-of-uk-statistics/population-and-migration/index.html [Accessed January 6, 2016].</w:t>
      </w:r>
    </w:p>
    <w:p w14:paraId="30CD2F40"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Parrott, A.C. et al., 2006. Dancing hot on Ecstasy: Physical activity and thermal comfort ratings are associated with the memory and other psychobiological problems reported by recreational MDMA users. </w:t>
      </w:r>
      <w:r w:rsidRPr="00055095">
        <w:rPr>
          <w:i/>
          <w:iCs/>
          <w:noProof/>
        </w:rPr>
        <w:t>Human Psychopharmacology</w:t>
      </w:r>
      <w:r w:rsidRPr="00055095">
        <w:rPr>
          <w:noProof/>
        </w:rPr>
        <w:t>, 21(5), pp.285–298.</w:t>
      </w:r>
    </w:p>
    <w:p w14:paraId="4A9A7002"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Parrott, A.C. et al., 2002. Ecstacy/MDMA attributed problems reported by novice, moderate and heavy recretional users. </w:t>
      </w:r>
      <w:r w:rsidRPr="00055095">
        <w:rPr>
          <w:i/>
          <w:iCs/>
          <w:noProof/>
        </w:rPr>
        <w:t>Human Psychopharmacology</w:t>
      </w:r>
      <w:r w:rsidRPr="00055095">
        <w:rPr>
          <w:noProof/>
        </w:rPr>
        <w:t>, 17(6), pp.309–312.</w:t>
      </w:r>
    </w:p>
    <w:p w14:paraId="21C7DAB0"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Parsons, J.T. et al., 2014. A randomized controlled trial utilizing motivational interviewing to reduce HIV risk and drug use in young gay and bisexual men. </w:t>
      </w:r>
      <w:r w:rsidRPr="00055095">
        <w:rPr>
          <w:i/>
          <w:iCs/>
          <w:noProof/>
        </w:rPr>
        <w:t>Journal of consulting and clinical psychology</w:t>
      </w:r>
      <w:r w:rsidRPr="00055095">
        <w:rPr>
          <w:noProof/>
        </w:rPr>
        <w:t>, 82(1), pp.9–18. Available at: http://www.pubmedcentral.nih.gov/articlerender.fcgi?artid=3935799&amp;tool=pmcentrez&amp;rendertype=abstract.</w:t>
      </w:r>
    </w:p>
    <w:p w14:paraId="0B1D633D"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Parsons, J.T.. et al., 2014. A randomized controlled trial utilizing motivational interviewing to reduce HIV risk and drug use in young gay and bisexual men. </w:t>
      </w:r>
      <w:r w:rsidRPr="00055095">
        <w:rPr>
          <w:i/>
          <w:iCs/>
          <w:noProof/>
        </w:rPr>
        <w:t>Journal of consulting and clinical psychology</w:t>
      </w:r>
      <w:r w:rsidRPr="00055095">
        <w:rPr>
          <w:noProof/>
        </w:rPr>
        <w:t>, 82(1), pp.9–18. Available at: http://www.pubmedcentral.nih.gov/articlerender.fcgi?artid=3935799&amp;tool=pmcentrez&amp;rendertype=abstract.</w:t>
      </w:r>
    </w:p>
    <w:p w14:paraId="0174D1B6"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Petrosino, A. &amp; Soydan, H., 2005. The impact of program developers as evaluators on criminal recidivism: Results from meta-analyses of experimental and quasi-experimental research. </w:t>
      </w:r>
      <w:r w:rsidRPr="00055095">
        <w:rPr>
          <w:i/>
          <w:iCs/>
          <w:noProof/>
        </w:rPr>
        <w:t>Journal of Experimental Criminology</w:t>
      </w:r>
      <w:r w:rsidRPr="00055095">
        <w:rPr>
          <w:noProof/>
        </w:rPr>
        <w:t>, 1(4), pp.435–450.</w:t>
      </w:r>
    </w:p>
    <w:p w14:paraId="799DEF95"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Plotnick, R.D. et al., 1996. </w:t>
      </w:r>
      <w:r w:rsidRPr="00055095">
        <w:rPr>
          <w:i/>
          <w:iCs/>
          <w:noProof/>
        </w:rPr>
        <w:t>Benefits and Costs of a Family- Focused Methadone Treatment and Drug Abuse Prevention Program : Preliminary Findings</w:t>
      </w:r>
      <w:r w:rsidRPr="00055095">
        <w:rPr>
          <w:noProof/>
        </w:rPr>
        <w:t>, Available at: https://archives.drugabuse.gov/pdf/monographs/monograph176/161-183_Plotnick.pdf.</w:t>
      </w:r>
    </w:p>
    <w:p w14:paraId="3AFD1760"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Prado, G. et al., 2012. The efficacy of Familias Unidas on drug and alcohol outcomes for Hispanic delinquent youth: Main effects and interaction effects by parental stress and social support. </w:t>
      </w:r>
      <w:r w:rsidRPr="00055095">
        <w:rPr>
          <w:i/>
          <w:iCs/>
          <w:noProof/>
        </w:rPr>
        <w:t>Drug and Alcohol Dependence</w:t>
      </w:r>
      <w:r w:rsidRPr="00055095">
        <w:rPr>
          <w:noProof/>
        </w:rPr>
        <w:t>, 125(SUPPL.1), pp.S18–S25. Available at: http://dx.doi.org/10.1016/j.drugalcdep.2012.06.011.</w:t>
      </w:r>
    </w:p>
    <w:p w14:paraId="1A7680A4"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Pudney, S., Bryan, M. &amp; DelBono, E., 2013. </w:t>
      </w:r>
      <w:r w:rsidRPr="00055095">
        <w:rPr>
          <w:i/>
          <w:iCs/>
          <w:noProof/>
        </w:rPr>
        <w:t>Licensing and regulation of the cannabis market in England and Wales: Towards a cost-benefit analysis</w:t>
      </w:r>
      <w:r w:rsidRPr="00055095">
        <w:rPr>
          <w:noProof/>
        </w:rPr>
        <w:t>, Available at: https://www.iser.essex.ac.uk/d/153.</w:t>
      </w:r>
    </w:p>
    <w:p w14:paraId="4F31C0FC"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Pyne, J.M. et al., 2011. Longitudinal association of preference-weighted health-related quality of life measures and substance use disorder outcomes. </w:t>
      </w:r>
      <w:r w:rsidRPr="00055095">
        <w:rPr>
          <w:i/>
          <w:iCs/>
          <w:noProof/>
        </w:rPr>
        <w:t>Addiction</w:t>
      </w:r>
      <w:r w:rsidRPr="00055095">
        <w:rPr>
          <w:noProof/>
        </w:rPr>
        <w:t>, 106(3), pp.507–515.</w:t>
      </w:r>
    </w:p>
    <w:p w14:paraId="42C5603C"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Qureshi, A.I. et al., 2001. Cocaine Use and the Likelihood of Nonfatal Myocardial. </w:t>
      </w:r>
      <w:r w:rsidRPr="00055095">
        <w:rPr>
          <w:i/>
          <w:iCs/>
          <w:noProof/>
        </w:rPr>
        <w:t>World Wide Web Internet And Web Information Systems</w:t>
      </w:r>
      <w:r w:rsidRPr="00055095">
        <w:rPr>
          <w:noProof/>
        </w:rPr>
        <w:t>, (Mi), pp.502–506.</w:t>
      </w:r>
    </w:p>
    <w:p w14:paraId="2909ABB9"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Rees, S., 2009. </w:t>
      </w:r>
      <w:r w:rsidRPr="00055095">
        <w:rPr>
          <w:i/>
          <w:iCs/>
          <w:noProof/>
        </w:rPr>
        <w:t>Mental ill health in the adult single homeless population: a review of the literature.</w:t>
      </w:r>
      <w:r w:rsidRPr="00055095">
        <w:rPr>
          <w:noProof/>
        </w:rPr>
        <w:t>, Available at: http://www.crisis.org.uk/data/files/publications/Mental health literature review.pdf.</w:t>
      </w:r>
    </w:p>
    <w:p w14:paraId="730DAE72"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Riley, S.C.E. &amp; Hayward, E., 2004. Patterns, trends, and meanings of drug use by dance-drug users in Edinburgh, Scotland. </w:t>
      </w:r>
      <w:r w:rsidRPr="00055095">
        <w:rPr>
          <w:i/>
          <w:iCs/>
          <w:noProof/>
        </w:rPr>
        <w:t>Drugs: Education, Prevention {&amp;} Policy</w:t>
      </w:r>
      <w:r w:rsidRPr="00055095">
        <w:rPr>
          <w:noProof/>
        </w:rPr>
        <w:t>, 11(3), pp.243–262. Available at: http://ovidsp.ovid.com/ovidweb.cgi?T=JS{&amp;}CSC=Y{&amp;}NEWS=N{&amp;}PAGE=fulltext{&amp;}D=psyc4{&amp;}AN=2004-15730-008\nhttp://res.cisti-icist.nrc-cnrc.gc.ca/sfxhclcl3/?sid=OVID:psycdb{&amp;}id=pmid:{&amp;}id=doi:10.1080/09687630310001643111{&amp;}issn=0968-7637{&amp;}isbn={&amp;}volume=11{.</w:t>
      </w:r>
    </w:p>
    <w:p w14:paraId="6EEA4E3D"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lastRenderedPageBreak/>
        <w:t xml:space="preserve">Rogers, G. et al., 2009. </w:t>
      </w:r>
      <w:r w:rsidRPr="00055095">
        <w:rPr>
          <w:i/>
          <w:iCs/>
          <w:noProof/>
        </w:rPr>
        <w:t>The harmful health effects of recreational ecstasy The harmful health effects of recreational ecstasy : a systematic review of observational evidence</w:t>
      </w:r>
      <w:r w:rsidRPr="00055095">
        <w:rPr>
          <w:noProof/>
        </w:rPr>
        <w:t>, Available at: http://www.drugsandalcohol.ie/11867/.</w:t>
      </w:r>
    </w:p>
    <w:p w14:paraId="2DC859B2"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Schifano, F. et al., 1998. MDMA (’ecstasy') consumption in the context of polydrug abuse: A report on 150 patients. </w:t>
      </w:r>
      <w:r w:rsidRPr="00055095">
        <w:rPr>
          <w:i/>
          <w:iCs/>
          <w:noProof/>
        </w:rPr>
        <w:t>Drug and Alcohol Dependence</w:t>
      </w:r>
      <w:r w:rsidRPr="00055095">
        <w:rPr>
          <w:noProof/>
        </w:rPr>
        <w:t>, 52(1), pp.85–90.</w:t>
      </w:r>
    </w:p>
    <w:p w14:paraId="7A25CBEA"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de Sola Llopis, S. et al., 2008. Cognitive performance in recreational ecstasy polydrug users: a two-year follow-up study. </w:t>
      </w:r>
      <w:r w:rsidRPr="00055095">
        <w:rPr>
          <w:i/>
          <w:iCs/>
          <w:noProof/>
        </w:rPr>
        <w:t>Journal of psychopharmacology (Oxford, England)</w:t>
      </w:r>
      <w:r w:rsidRPr="00055095">
        <w:rPr>
          <w:noProof/>
        </w:rPr>
        <w:t>, 22(5), pp.498–510.</w:t>
      </w:r>
    </w:p>
    <w:p w14:paraId="170CD070"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STRIVE, 2016a. Interviews with Developers of Evidence-Based Programs for Teen Pregnancy Prevention. Available at: http://www.hhs.gov/ash/oah/oah-initiatives/tpp_program/db/programs/webinars/strive-webinarslides.pdf.</w:t>
      </w:r>
    </w:p>
    <w:p w14:paraId="61A5190D"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STRIVE, 2016b. Teen Pregnancy Prevention Evidence Review. Available at: http://tppevidencereview.aspe.hhs.gov/ProgramDetails.aspx?rid=3&amp;sid=221.</w:t>
      </w:r>
    </w:p>
    <w:p w14:paraId="15BEE2B0"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Transform, 2015. </w:t>
      </w:r>
      <w:r w:rsidRPr="00055095">
        <w:rPr>
          <w:i/>
          <w:iCs/>
          <w:noProof/>
        </w:rPr>
        <w:t>Potential fiscal impacts of introducing a regulated cannabis market in the UK</w:t>
      </w:r>
      <w:r w:rsidRPr="00055095">
        <w:rPr>
          <w:noProof/>
        </w:rPr>
        <w:t>, Available at: http://www.tdpf.org.uk/sites/default/files/Treasury-cannabis-regulation-CBA.pdf.</w:t>
      </w:r>
    </w:p>
    <w:p w14:paraId="570B410B"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Visit Britain, 2013. </w:t>
      </w:r>
      <w:r w:rsidRPr="00055095">
        <w:rPr>
          <w:i/>
          <w:iCs/>
          <w:noProof/>
        </w:rPr>
        <w:t>Wish you were here: Music tourism’s contribution to the UK economy.</w:t>
      </w:r>
      <w:r w:rsidRPr="00055095">
        <w:rPr>
          <w:noProof/>
        </w:rPr>
        <w:t>, Available at: http://www.ukmusic.org/assets/general/LOWRESFORHOMEPRINTING.pdf.</w:t>
      </w:r>
    </w:p>
    <w:p w14:paraId="65CB2B4B"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Wagner, F.A. &amp; Anthony, J.C., 2002. From first drug use to drug dependence: Developmental periods of risk for dependence upon marijuana, cocaine, and alcohol. </w:t>
      </w:r>
      <w:r w:rsidRPr="00055095">
        <w:rPr>
          <w:i/>
          <w:iCs/>
          <w:noProof/>
        </w:rPr>
        <w:t>Neuropsychopharmacology</w:t>
      </w:r>
      <w:r w:rsidRPr="00055095">
        <w:rPr>
          <w:noProof/>
        </w:rPr>
        <w:t>, 26(4), pp.479–488.</w:t>
      </w:r>
    </w:p>
    <w:p w14:paraId="3E48D674"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Ward, J., Henderson, Z., &amp; Pearson, G., 2003. </w:t>
      </w:r>
      <w:r w:rsidRPr="00055095">
        <w:rPr>
          <w:i/>
          <w:iCs/>
          <w:noProof/>
        </w:rPr>
        <w:t>One problem among many: drug use among care leavers in transition to independent living.</w:t>
      </w:r>
      <w:r w:rsidRPr="00055095">
        <w:rPr>
          <w:noProof/>
        </w:rPr>
        <w:t>, Available at: https://lemosandcrane.co.uk/resources/Home Office - One problem among many.pdf.</w:t>
      </w:r>
    </w:p>
    <w:p w14:paraId="0B5803CC"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Willner, P., 2000. Further validation and development of a screening instrument for the assessment of substance misuse in adolescents. </w:t>
      </w:r>
      <w:r w:rsidRPr="00055095">
        <w:rPr>
          <w:i/>
          <w:iCs/>
          <w:noProof/>
        </w:rPr>
        <w:t>Addiction (Abingdon, England)</w:t>
      </w:r>
      <w:r w:rsidRPr="00055095">
        <w:rPr>
          <w:noProof/>
        </w:rPr>
        <w:t>, 95, pp.1691–1698.</w:t>
      </w:r>
    </w:p>
    <w:p w14:paraId="4A9672EA" w14:textId="77777777" w:rsidR="00055095" w:rsidRPr="00055095" w:rsidRDefault="00055095" w:rsidP="00055095">
      <w:pPr>
        <w:widowControl w:val="0"/>
        <w:autoSpaceDE w:val="0"/>
        <w:autoSpaceDN w:val="0"/>
        <w:adjustRightInd w:val="0"/>
        <w:spacing w:line="240" w:lineRule="auto"/>
        <w:ind w:left="480" w:hanging="480"/>
        <w:rPr>
          <w:noProof/>
        </w:rPr>
      </w:pPr>
      <w:r w:rsidRPr="00055095">
        <w:rPr>
          <w:noProof/>
        </w:rPr>
        <w:t xml:space="preserve">WSIPP, 2004. </w:t>
      </w:r>
      <w:r w:rsidRPr="00055095">
        <w:rPr>
          <w:i/>
          <w:iCs/>
          <w:noProof/>
        </w:rPr>
        <w:t>Benefits and costs of prevention and early intervention programs for youth</w:t>
      </w:r>
      <w:r w:rsidRPr="00055095">
        <w:rPr>
          <w:noProof/>
        </w:rPr>
        <w:t>, Available at: http://www.wsipp.wa.gov/ReportFile/881.</w:t>
      </w:r>
    </w:p>
    <w:p w14:paraId="0FD1F5E0" w14:textId="4CFDEAE3" w:rsidR="0064196C" w:rsidRPr="0064196C" w:rsidRDefault="00EA5DA5" w:rsidP="00055095">
      <w:pPr>
        <w:widowControl w:val="0"/>
        <w:autoSpaceDE w:val="0"/>
        <w:autoSpaceDN w:val="0"/>
        <w:adjustRightInd w:val="0"/>
        <w:spacing w:line="240" w:lineRule="auto"/>
        <w:ind w:left="480" w:hanging="480"/>
      </w:pPr>
      <w:r>
        <w:fldChar w:fldCharType="end"/>
      </w:r>
    </w:p>
    <w:sectPr w:rsidR="0064196C" w:rsidRPr="0064196C" w:rsidSect="00D00623">
      <w:footerReference w:type="default" r:id="rId32"/>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AFE632" w14:textId="77777777" w:rsidR="004D608A" w:rsidRDefault="004D608A" w:rsidP="00CC7EC2">
      <w:r>
        <w:separator/>
      </w:r>
    </w:p>
  </w:endnote>
  <w:endnote w:type="continuationSeparator" w:id="0">
    <w:p w14:paraId="7EFA9696" w14:textId="77777777" w:rsidR="004D608A" w:rsidRDefault="004D608A" w:rsidP="00CC7EC2">
      <w:r>
        <w:continuationSeparator/>
      </w:r>
    </w:p>
  </w:endnote>
  <w:endnote w:id="1">
    <w:p w14:paraId="4655BA8C" w14:textId="77777777" w:rsidR="005055D8" w:rsidRDefault="005055D8"/>
    <w:p w14:paraId="17334C1C" w14:textId="77777777" w:rsidR="005055D8" w:rsidRPr="00A47B09" w:rsidRDefault="005055D8" w:rsidP="00CC7EC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6764C" w14:textId="49CAD62F" w:rsidR="005055D8" w:rsidRDefault="005055D8" w:rsidP="00CC7EC2">
    <w:pPr>
      <w:pStyle w:val="Footer"/>
    </w:pPr>
    <w:r w:rsidRPr="002006E5">
      <w:t>Liverpool Health Economics, Ma</w:t>
    </w:r>
    <w:r>
      <w:t>y</w:t>
    </w:r>
    <w:r w:rsidRPr="002006E5">
      <w:t xml:space="preserve"> 2016</w:t>
    </w:r>
    <w:r>
      <w:tab/>
    </w:r>
    <w:r>
      <w:tab/>
    </w:r>
    <w:r>
      <w:fldChar w:fldCharType="begin"/>
    </w:r>
    <w:r>
      <w:instrText xml:space="preserve"> PAGE   \* MERGEFORMAT </w:instrText>
    </w:r>
    <w:r>
      <w:fldChar w:fldCharType="separate"/>
    </w:r>
    <w:r w:rsidR="00984E4E">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910CD9" w14:textId="77777777" w:rsidR="004D608A" w:rsidRDefault="004D608A" w:rsidP="00CC7EC2">
      <w:r>
        <w:separator/>
      </w:r>
    </w:p>
  </w:footnote>
  <w:footnote w:type="continuationSeparator" w:id="0">
    <w:p w14:paraId="13D8BB3B" w14:textId="77777777" w:rsidR="004D608A" w:rsidRDefault="004D608A" w:rsidP="00CC7EC2">
      <w:r>
        <w:continuationSeparator/>
      </w:r>
    </w:p>
  </w:footnote>
  <w:footnote w:id="1">
    <w:p w14:paraId="632EACD0" w14:textId="77777777" w:rsidR="005055D8" w:rsidRDefault="005055D8" w:rsidP="00CC7EC2">
      <w:pPr>
        <w:pStyle w:val="matrixheaderfooter"/>
      </w:pPr>
      <w:r w:rsidRPr="0018299D">
        <w:rPr>
          <w:rStyle w:val="FootnoteReference"/>
        </w:rPr>
        <w:footnoteRef/>
      </w:r>
      <w:r>
        <w:t xml:space="preserve"> In addition to the conventional NHS and personal social services (PSS) perspective adopted by NICE, this analysis adopts a public sector perspective, defining relevant costs as any costs incurred by the public sector. </w:t>
      </w:r>
    </w:p>
  </w:footnote>
  <w:footnote w:id="2">
    <w:p w14:paraId="280BE345" w14:textId="77777777" w:rsidR="005055D8" w:rsidRPr="00C3276E" w:rsidRDefault="005055D8" w:rsidP="00CC7EC2">
      <w:pPr>
        <w:pStyle w:val="FootnoteText"/>
      </w:pPr>
      <w:r w:rsidRPr="0018299D">
        <w:rPr>
          <w:rStyle w:val="FootnoteReference"/>
        </w:rPr>
        <w:footnoteRef/>
      </w:r>
      <w:r w:rsidRPr="00C3276E">
        <w:t xml:space="preserve"> Strategies for Scaling Effective Family-Focused Preventive Interventions to Promote Children's Cognitive, Affective, and Behavioral Health:: Workshop Summary. Forum on Promoting Children’s Cognitive, Affective, and Behavioral Health, Board on Children, Youth, and Families, Institute of Medicine, Division on Behavioral and Social Sciences and Education, National Research Council. </w:t>
      </w:r>
    </w:p>
  </w:footnote>
  <w:footnote w:id="3">
    <w:p w14:paraId="497B387F" w14:textId="77777777" w:rsidR="005055D8" w:rsidRDefault="005055D8" w:rsidP="00CC7EC2">
      <w:pPr>
        <w:pStyle w:val="FootnoteText"/>
      </w:pPr>
      <w:r w:rsidRPr="0018299D">
        <w:rPr>
          <w:rStyle w:val="FootnoteReference"/>
        </w:rPr>
        <w:footnoteRef/>
      </w:r>
      <w:r>
        <w:t xml:space="preserve"> </w:t>
      </w:r>
      <w:r w:rsidRPr="00194764">
        <w:t>N.B. an updated cost is not available from 2013 onward</w:t>
      </w:r>
      <w:r>
        <w:t>s reference costs publications.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EC4594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923A6E"/>
    <w:multiLevelType w:val="hybridMultilevel"/>
    <w:tmpl w:val="95CE76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A358FB"/>
    <w:multiLevelType w:val="hybridMultilevel"/>
    <w:tmpl w:val="BF943F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414432"/>
    <w:multiLevelType w:val="multilevel"/>
    <w:tmpl w:val="7D861954"/>
    <w:lvl w:ilvl="0">
      <w:start w:val="1"/>
      <w:numFmt w:val="decimal"/>
      <w:lvlText w:val="%1."/>
      <w:lvlJc w:val="left"/>
      <w:pPr>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80A5AFA"/>
    <w:multiLevelType w:val="multilevel"/>
    <w:tmpl w:val="009CBF1C"/>
    <w:lvl w:ilvl="0">
      <w:start w:val="1"/>
      <w:numFmt w:val="decimal"/>
      <w:lvlText w:val="%1"/>
      <w:lvlJc w:val="left"/>
      <w:pPr>
        <w:tabs>
          <w:tab w:val="num" w:pos="432"/>
        </w:tabs>
        <w:ind w:left="432" w:hanging="432"/>
      </w:pPr>
    </w:lvl>
    <w:lvl w:ilvl="1">
      <w:start w:val="1"/>
      <w:numFmt w:val="decimal"/>
      <w:lvlText w:val="%1.%2"/>
      <w:lvlJc w:val="left"/>
      <w:pPr>
        <w:tabs>
          <w:tab w:val="num" w:pos="2376"/>
        </w:tabs>
        <w:ind w:left="2376" w:hanging="576"/>
      </w:pPr>
    </w:lvl>
    <w:lvl w:ilvl="2">
      <w:start w:val="1"/>
      <w:numFmt w:val="decimal"/>
      <w:lvlText w:val="%1.%2.%3"/>
      <w:lvlJc w:val="left"/>
      <w:pPr>
        <w:tabs>
          <w:tab w:val="num" w:pos="720"/>
        </w:tabs>
        <w:ind w:left="510" w:hanging="510"/>
      </w:pPr>
    </w:lvl>
    <w:lvl w:ilvl="3">
      <w:start w:val="1"/>
      <w:numFmt w:val="decimal"/>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1A805622"/>
    <w:multiLevelType w:val="hybridMultilevel"/>
    <w:tmpl w:val="CD2A5B38"/>
    <w:lvl w:ilvl="0" w:tplc="EB6C53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A904E3C"/>
    <w:multiLevelType w:val="multilevel"/>
    <w:tmpl w:val="4B1CFE8A"/>
    <w:lvl w:ilvl="0">
      <w:start w:val="1"/>
      <w:numFmt w:val="decimal"/>
      <w:pStyle w:val="matrixheading1"/>
      <w:lvlText w:val="%1.0"/>
      <w:lvlJc w:val="left"/>
      <w:pPr>
        <w:tabs>
          <w:tab w:val="num" w:pos="0"/>
        </w:tabs>
        <w:ind w:left="0" w:hanging="851"/>
      </w:pPr>
      <w:rPr>
        <w:rFonts w:ascii="Arial" w:hAnsi="Arial" w:cs="Times New Roman" w:hint="default"/>
        <w:b w:val="0"/>
        <w:i w:val="0"/>
        <w:sz w:val="28"/>
      </w:rPr>
    </w:lvl>
    <w:lvl w:ilvl="1">
      <w:start w:val="1"/>
      <w:numFmt w:val="decimal"/>
      <w:pStyle w:val="matrixheading2"/>
      <w:lvlText w:val="%1.%2"/>
      <w:lvlJc w:val="left"/>
      <w:pPr>
        <w:tabs>
          <w:tab w:val="num" w:pos="0"/>
        </w:tabs>
        <w:ind w:left="0" w:hanging="851"/>
      </w:pPr>
      <w:rPr>
        <w:rFonts w:ascii="Arial" w:hAnsi="Arial" w:cs="Times New Roman" w:hint="default"/>
        <w:sz w:val="28"/>
      </w:rPr>
    </w:lvl>
    <w:lvl w:ilvl="2">
      <w:start w:val="1"/>
      <w:numFmt w:val="decimal"/>
      <w:pStyle w:val="matrixheading3"/>
      <w:lvlText w:val="%1.%2.%3"/>
      <w:lvlJc w:val="left"/>
      <w:pPr>
        <w:tabs>
          <w:tab w:val="num" w:pos="0"/>
        </w:tabs>
        <w:ind w:left="0" w:hanging="851"/>
      </w:pPr>
      <w:rPr>
        <w:rFonts w:ascii="Arial" w:hAnsi="Arial" w:cs="Times New Roman" w:hint="default"/>
        <w:sz w:val="28"/>
      </w:rPr>
    </w:lvl>
    <w:lvl w:ilvl="3">
      <w:start w:val="1"/>
      <w:numFmt w:val="decimal"/>
      <w:lvlText w:val="%1.%2.%3.%4"/>
      <w:lvlJc w:val="left"/>
      <w:pPr>
        <w:tabs>
          <w:tab w:val="num" w:pos="229"/>
        </w:tabs>
        <w:ind w:left="0" w:hanging="851"/>
      </w:pPr>
      <w:rPr>
        <w:rFonts w:ascii="Arial" w:hAnsi="Arial" w:cs="Times New Roman" w:hint="default"/>
        <w:sz w:val="28"/>
      </w:rPr>
    </w:lvl>
    <w:lvl w:ilvl="4">
      <w:start w:val="1"/>
      <w:numFmt w:val="decimal"/>
      <w:lvlText w:val="%1.%2.%3.%4.%5"/>
      <w:lvlJc w:val="left"/>
      <w:pPr>
        <w:tabs>
          <w:tab w:val="num" w:pos="589"/>
        </w:tabs>
        <w:ind w:left="0" w:hanging="851"/>
      </w:pPr>
      <w:rPr>
        <w:rFonts w:ascii="Arial" w:hAnsi="Arial" w:cs="Times New Roman" w:hint="default"/>
        <w:sz w:val="28"/>
      </w:rPr>
    </w:lvl>
    <w:lvl w:ilvl="5">
      <w:start w:val="1"/>
      <w:numFmt w:val="decimal"/>
      <w:lvlText w:val="%1.%2.%3.%4.%5.%6"/>
      <w:lvlJc w:val="left"/>
      <w:pPr>
        <w:tabs>
          <w:tab w:val="num" w:pos="2736"/>
        </w:tabs>
        <w:ind w:left="2736" w:hanging="3587"/>
      </w:pPr>
      <w:rPr>
        <w:rFonts w:ascii="Arial" w:hAnsi="Arial" w:cs="Times New Roman" w:hint="default"/>
        <w:sz w:val="28"/>
      </w:rPr>
    </w:lvl>
    <w:lvl w:ilvl="6">
      <w:start w:val="1"/>
      <w:numFmt w:val="decimal"/>
      <w:lvlText w:val="%1.%2.%3.%4.%5.%6.%7"/>
      <w:lvlJc w:val="left"/>
      <w:pPr>
        <w:tabs>
          <w:tab w:val="num" w:pos="949"/>
        </w:tabs>
        <w:ind w:left="0" w:hanging="851"/>
      </w:pPr>
      <w:rPr>
        <w:rFonts w:ascii="Arial" w:hAnsi="Arial" w:cs="Times New Roman" w:hint="default"/>
        <w:sz w:val="28"/>
      </w:rPr>
    </w:lvl>
    <w:lvl w:ilvl="7">
      <w:start w:val="1"/>
      <w:numFmt w:val="decimal"/>
      <w:lvlText w:val="%1.%2.%3.%4.%5.%6.%7.%8"/>
      <w:lvlJc w:val="left"/>
      <w:pPr>
        <w:tabs>
          <w:tab w:val="num" w:pos="949"/>
        </w:tabs>
        <w:ind w:left="0" w:hanging="851"/>
      </w:pPr>
      <w:rPr>
        <w:rFonts w:ascii="Arial" w:hAnsi="Arial" w:cs="Times New Roman" w:hint="default"/>
        <w:sz w:val="28"/>
      </w:rPr>
    </w:lvl>
    <w:lvl w:ilvl="8">
      <w:start w:val="1"/>
      <w:numFmt w:val="decimal"/>
      <w:lvlText w:val="%1.%2.%3.%4.%5.%6.%7.%8.%9"/>
      <w:lvlJc w:val="left"/>
      <w:pPr>
        <w:tabs>
          <w:tab w:val="num" w:pos="1309"/>
        </w:tabs>
        <w:ind w:left="0" w:hanging="851"/>
      </w:pPr>
      <w:rPr>
        <w:rFonts w:ascii="Arial" w:hAnsi="Arial" w:cs="Times New Roman" w:hint="default"/>
        <w:sz w:val="28"/>
      </w:rPr>
    </w:lvl>
  </w:abstractNum>
  <w:abstractNum w:abstractNumId="7">
    <w:nsid w:val="1EEE52BF"/>
    <w:multiLevelType w:val="hybridMultilevel"/>
    <w:tmpl w:val="486CC6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F5E164C"/>
    <w:multiLevelType w:val="hybridMultilevel"/>
    <w:tmpl w:val="2C922614"/>
    <w:lvl w:ilvl="0" w:tplc="190A1C42">
      <w:start w:val="1"/>
      <w:numFmt w:val="decimal"/>
      <w:lvlText w:val="%1."/>
      <w:lvlJc w:val="left"/>
      <w:pPr>
        <w:tabs>
          <w:tab w:val="num" w:pos="720"/>
        </w:tabs>
        <w:ind w:left="720" w:hanging="360"/>
      </w:pPr>
    </w:lvl>
    <w:lvl w:ilvl="1" w:tplc="58B6BBC0" w:tentative="1">
      <w:start w:val="1"/>
      <w:numFmt w:val="decimal"/>
      <w:lvlText w:val="%2."/>
      <w:lvlJc w:val="left"/>
      <w:pPr>
        <w:tabs>
          <w:tab w:val="num" w:pos="1440"/>
        </w:tabs>
        <w:ind w:left="1440" w:hanging="360"/>
      </w:pPr>
    </w:lvl>
    <w:lvl w:ilvl="2" w:tplc="67E2BF6A" w:tentative="1">
      <w:start w:val="1"/>
      <w:numFmt w:val="decimal"/>
      <w:lvlText w:val="%3."/>
      <w:lvlJc w:val="left"/>
      <w:pPr>
        <w:tabs>
          <w:tab w:val="num" w:pos="2160"/>
        </w:tabs>
        <w:ind w:left="2160" w:hanging="360"/>
      </w:pPr>
    </w:lvl>
    <w:lvl w:ilvl="3" w:tplc="D8C23866" w:tentative="1">
      <w:start w:val="1"/>
      <w:numFmt w:val="decimal"/>
      <w:lvlText w:val="%4."/>
      <w:lvlJc w:val="left"/>
      <w:pPr>
        <w:tabs>
          <w:tab w:val="num" w:pos="2880"/>
        </w:tabs>
        <w:ind w:left="2880" w:hanging="360"/>
      </w:pPr>
    </w:lvl>
    <w:lvl w:ilvl="4" w:tplc="FD86C64A" w:tentative="1">
      <w:start w:val="1"/>
      <w:numFmt w:val="decimal"/>
      <w:lvlText w:val="%5."/>
      <w:lvlJc w:val="left"/>
      <w:pPr>
        <w:tabs>
          <w:tab w:val="num" w:pos="3600"/>
        </w:tabs>
        <w:ind w:left="3600" w:hanging="360"/>
      </w:pPr>
    </w:lvl>
    <w:lvl w:ilvl="5" w:tplc="975ACCAE" w:tentative="1">
      <w:start w:val="1"/>
      <w:numFmt w:val="decimal"/>
      <w:lvlText w:val="%6."/>
      <w:lvlJc w:val="left"/>
      <w:pPr>
        <w:tabs>
          <w:tab w:val="num" w:pos="4320"/>
        </w:tabs>
        <w:ind w:left="4320" w:hanging="360"/>
      </w:pPr>
    </w:lvl>
    <w:lvl w:ilvl="6" w:tplc="EBFCD8E8" w:tentative="1">
      <w:start w:val="1"/>
      <w:numFmt w:val="decimal"/>
      <w:lvlText w:val="%7."/>
      <w:lvlJc w:val="left"/>
      <w:pPr>
        <w:tabs>
          <w:tab w:val="num" w:pos="5040"/>
        </w:tabs>
        <w:ind w:left="5040" w:hanging="360"/>
      </w:pPr>
    </w:lvl>
    <w:lvl w:ilvl="7" w:tplc="FA309ACA" w:tentative="1">
      <w:start w:val="1"/>
      <w:numFmt w:val="decimal"/>
      <w:lvlText w:val="%8."/>
      <w:lvlJc w:val="left"/>
      <w:pPr>
        <w:tabs>
          <w:tab w:val="num" w:pos="5760"/>
        </w:tabs>
        <w:ind w:left="5760" w:hanging="360"/>
      </w:pPr>
    </w:lvl>
    <w:lvl w:ilvl="8" w:tplc="B6460DD4" w:tentative="1">
      <w:start w:val="1"/>
      <w:numFmt w:val="decimal"/>
      <w:lvlText w:val="%9."/>
      <w:lvlJc w:val="left"/>
      <w:pPr>
        <w:tabs>
          <w:tab w:val="num" w:pos="6480"/>
        </w:tabs>
        <w:ind w:left="6480" w:hanging="360"/>
      </w:pPr>
    </w:lvl>
  </w:abstractNum>
  <w:abstractNum w:abstractNumId="9">
    <w:nsid w:val="255B4F50"/>
    <w:multiLevelType w:val="hybridMultilevel"/>
    <w:tmpl w:val="DD6AC3E0"/>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Times New Roman"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Times New Roman"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Times New Roman"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10">
    <w:nsid w:val="2F0C1D09"/>
    <w:multiLevelType w:val="hybridMultilevel"/>
    <w:tmpl w:val="1FD226E0"/>
    <w:lvl w:ilvl="0" w:tplc="0809000F">
      <w:start w:val="1"/>
      <w:numFmt w:val="decimal"/>
      <w:lvlText w:val="%1."/>
      <w:lvlJc w:val="left"/>
      <w:pPr>
        <w:ind w:left="720" w:hanging="360"/>
      </w:pPr>
      <w:rPr>
        <w:rFonts w:hint="default"/>
      </w:rPr>
    </w:lvl>
    <w:lvl w:ilvl="1" w:tplc="9176CAB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2A34395"/>
    <w:multiLevelType w:val="hybridMultilevel"/>
    <w:tmpl w:val="95CE76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55A0EAC"/>
    <w:multiLevelType w:val="hybridMultilevel"/>
    <w:tmpl w:val="945403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59C595C"/>
    <w:multiLevelType w:val="hybridMultilevel"/>
    <w:tmpl w:val="B268D6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38251AC8"/>
    <w:multiLevelType w:val="hybridMultilevel"/>
    <w:tmpl w:val="49EAE4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8956BF5"/>
    <w:multiLevelType w:val="hybridMultilevel"/>
    <w:tmpl w:val="F63027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38A07F16"/>
    <w:multiLevelType w:val="hybridMultilevel"/>
    <w:tmpl w:val="634243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9F23057"/>
    <w:multiLevelType w:val="hybridMultilevel"/>
    <w:tmpl w:val="8446E5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3FE91835"/>
    <w:multiLevelType w:val="singleLevel"/>
    <w:tmpl w:val="9972334C"/>
    <w:lvl w:ilvl="0">
      <w:start w:val="1"/>
      <w:numFmt w:val="bullet"/>
      <w:pStyle w:val="matrixbullettext"/>
      <w:lvlText w:val=""/>
      <w:lvlJc w:val="left"/>
      <w:pPr>
        <w:tabs>
          <w:tab w:val="num" w:pos="360"/>
        </w:tabs>
        <w:ind w:left="360" w:hanging="360"/>
      </w:pPr>
      <w:rPr>
        <w:rFonts w:ascii="Symbol" w:hAnsi="Symbol" w:hint="default"/>
      </w:rPr>
    </w:lvl>
  </w:abstractNum>
  <w:abstractNum w:abstractNumId="19">
    <w:nsid w:val="41A47B12"/>
    <w:multiLevelType w:val="hybridMultilevel"/>
    <w:tmpl w:val="7D62BC12"/>
    <w:lvl w:ilvl="0" w:tplc="08090001">
      <w:start w:val="1"/>
      <w:numFmt w:val="bullet"/>
      <w:lvlText w:val=""/>
      <w:lvlJc w:val="left"/>
      <w:pPr>
        <w:tabs>
          <w:tab w:val="num" w:pos="720"/>
        </w:tabs>
        <w:ind w:left="720" w:hanging="360"/>
      </w:pPr>
      <w:rPr>
        <w:rFonts w:ascii="Symbol" w:hAnsi="Symbol" w:hint="default"/>
      </w:rPr>
    </w:lvl>
    <w:lvl w:ilvl="1" w:tplc="58B6BBC0" w:tentative="1">
      <w:start w:val="1"/>
      <w:numFmt w:val="decimal"/>
      <w:lvlText w:val="%2."/>
      <w:lvlJc w:val="left"/>
      <w:pPr>
        <w:tabs>
          <w:tab w:val="num" w:pos="1440"/>
        </w:tabs>
        <w:ind w:left="1440" w:hanging="360"/>
      </w:pPr>
    </w:lvl>
    <w:lvl w:ilvl="2" w:tplc="67E2BF6A" w:tentative="1">
      <w:start w:val="1"/>
      <w:numFmt w:val="decimal"/>
      <w:lvlText w:val="%3."/>
      <w:lvlJc w:val="left"/>
      <w:pPr>
        <w:tabs>
          <w:tab w:val="num" w:pos="2160"/>
        </w:tabs>
        <w:ind w:left="2160" w:hanging="360"/>
      </w:pPr>
    </w:lvl>
    <w:lvl w:ilvl="3" w:tplc="D8C23866" w:tentative="1">
      <w:start w:val="1"/>
      <w:numFmt w:val="decimal"/>
      <w:lvlText w:val="%4."/>
      <w:lvlJc w:val="left"/>
      <w:pPr>
        <w:tabs>
          <w:tab w:val="num" w:pos="2880"/>
        </w:tabs>
        <w:ind w:left="2880" w:hanging="360"/>
      </w:pPr>
    </w:lvl>
    <w:lvl w:ilvl="4" w:tplc="FD86C64A" w:tentative="1">
      <w:start w:val="1"/>
      <w:numFmt w:val="decimal"/>
      <w:lvlText w:val="%5."/>
      <w:lvlJc w:val="left"/>
      <w:pPr>
        <w:tabs>
          <w:tab w:val="num" w:pos="3600"/>
        </w:tabs>
        <w:ind w:left="3600" w:hanging="360"/>
      </w:pPr>
    </w:lvl>
    <w:lvl w:ilvl="5" w:tplc="975ACCAE" w:tentative="1">
      <w:start w:val="1"/>
      <w:numFmt w:val="decimal"/>
      <w:lvlText w:val="%6."/>
      <w:lvlJc w:val="left"/>
      <w:pPr>
        <w:tabs>
          <w:tab w:val="num" w:pos="4320"/>
        </w:tabs>
        <w:ind w:left="4320" w:hanging="360"/>
      </w:pPr>
    </w:lvl>
    <w:lvl w:ilvl="6" w:tplc="EBFCD8E8" w:tentative="1">
      <w:start w:val="1"/>
      <w:numFmt w:val="decimal"/>
      <w:lvlText w:val="%7."/>
      <w:lvlJc w:val="left"/>
      <w:pPr>
        <w:tabs>
          <w:tab w:val="num" w:pos="5040"/>
        </w:tabs>
        <w:ind w:left="5040" w:hanging="360"/>
      </w:pPr>
    </w:lvl>
    <w:lvl w:ilvl="7" w:tplc="FA309ACA" w:tentative="1">
      <w:start w:val="1"/>
      <w:numFmt w:val="decimal"/>
      <w:lvlText w:val="%8."/>
      <w:lvlJc w:val="left"/>
      <w:pPr>
        <w:tabs>
          <w:tab w:val="num" w:pos="5760"/>
        </w:tabs>
        <w:ind w:left="5760" w:hanging="360"/>
      </w:pPr>
    </w:lvl>
    <w:lvl w:ilvl="8" w:tplc="B6460DD4" w:tentative="1">
      <w:start w:val="1"/>
      <w:numFmt w:val="decimal"/>
      <w:lvlText w:val="%9."/>
      <w:lvlJc w:val="left"/>
      <w:pPr>
        <w:tabs>
          <w:tab w:val="num" w:pos="6480"/>
        </w:tabs>
        <w:ind w:left="6480" w:hanging="360"/>
      </w:pPr>
    </w:lvl>
  </w:abstractNum>
  <w:abstractNum w:abstractNumId="20">
    <w:nsid w:val="4212654B"/>
    <w:multiLevelType w:val="multilevel"/>
    <w:tmpl w:val="04D01E24"/>
    <w:lvl w:ilvl="0">
      <w:start w:val="5"/>
      <w:numFmt w:val="decimal"/>
      <w:pStyle w:val="Heading2"/>
      <w:lvlText w:val="%1."/>
      <w:lvlJc w:val="left"/>
      <w:pPr>
        <w:ind w:left="36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nsid w:val="450C2457"/>
    <w:multiLevelType w:val="multilevel"/>
    <w:tmpl w:val="7D861954"/>
    <w:lvl w:ilvl="0">
      <w:start w:val="1"/>
      <w:numFmt w:val="decimal"/>
      <w:lvlText w:val="%1."/>
      <w:lvlJc w:val="left"/>
      <w:pPr>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472E7B00"/>
    <w:multiLevelType w:val="hybridMultilevel"/>
    <w:tmpl w:val="519AE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8620AEF"/>
    <w:multiLevelType w:val="hybridMultilevel"/>
    <w:tmpl w:val="2C4A6824"/>
    <w:lvl w:ilvl="0" w:tplc="060AFDDA">
      <w:start w:val="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490F0F24"/>
    <w:multiLevelType w:val="hybridMultilevel"/>
    <w:tmpl w:val="BF943F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0150DF4"/>
    <w:multiLevelType w:val="hybridMultilevel"/>
    <w:tmpl w:val="CE5C5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9C7CC3"/>
    <w:multiLevelType w:val="hybridMultilevel"/>
    <w:tmpl w:val="104A3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78132E9"/>
    <w:multiLevelType w:val="hybridMultilevel"/>
    <w:tmpl w:val="BF943F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9931C82"/>
    <w:multiLevelType w:val="hybridMultilevel"/>
    <w:tmpl w:val="FD62610C"/>
    <w:lvl w:ilvl="0" w:tplc="95320C1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nsid w:val="5AA70F62"/>
    <w:multiLevelType w:val="multilevel"/>
    <w:tmpl w:val="765C07A0"/>
    <w:lvl w:ilvl="0">
      <w:start w:val="1"/>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nsid w:val="5C4E5A53"/>
    <w:multiLevelType w:val="hybridMultilevel"/>
    <w:tmpl w:val="2558FE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CA56537"/>
    <w:multiLevelType w:val="multilevel"/>
    <w:tmpl w:val="B9383B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D857563"/>
    <w:multiLevelType w:val="hybridMultilevel"/>
    <w:tmpl w:val="2DF8D7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nsid w:val="627D24B9"/>
    <w:multiLevelType w:val="hybridMultilevel"/>
    <w:tmpl w:val="1CE04450"/>
    <w:lvl w:ilvl="0" w:tplc="23DC01B6">
      <w:start w:val="1"/>
      <w:numFmt w:val="decimal"/>
      <w:lvlText w:val="%1."/>
      <w:lvlJc w:val="left"/>
      <w:pPr>
        <w:tabs>
          <w:tab w:val="num" w:pos="720"/>
        </w:tabs>
        <w:ind w:left="720" w:hanging="360"/>
      </w:pPr>
    </w:lvl>
    <w:lvl w:ilvl="1" w:tplc="F2E62BBE" w:tentative="1">
      <w:start w:val="1"/>
      <w:numFmt w:val="decimal"/>
      <w:lvlText w:val="%2."/>
      <w:lvlJc w:val="left"/>
      <w:pPr>
        <w:tabs>
          <w:tab w:val="num" w:pos="1440"/>
        </w:tabs>
        <w:ind w:left="1440" w:hanging="360"/>
      </w:pPr>
    </w:lvl>
    <w:lvl w:ilvl="2" w:tplc="65E6C8AE" w:tentative="1">
      <w:start w:val="1"/>
      <w:numFmt w:val="decimal"/>
      <w:lvlText w:val="%3."/>
      <w:lvlJc w:val="left"/>
      <w:pPr>
        <w:tabs>
          <w:tab w:val="num" w:pos="2160"/>
        </w:tabs>
        <w:ind w:left="2160" w:hanging="360"/>
      </w:pPr>
    </w:lvl>
    <w:lvl w:ilvl="3" w:tplc="7966E2EE" w:tentative="1">
      <w:start w:val="1"/>
      <w:numFmt w:val="decimal"/>
      <w:lvlText w:val="%4."/>
      <w:lvlJc w:val="left"/>
      <w:pPr>
        <w:tabs>
          <w:tab w:val="num" w:pos="2880"/>
        </w:tabs>
        <w:ind w:left="2880" w:hanging="360"/>
      </w:pPr>
    </w:lvl>
    <w:lvl w:ilvl="4" w:tplc="6E4855EC" w:tentative="1">
      <w:start w:val="1"/>
      <w:numFmt w:val="decimal"/>
      <w:lvlText w:val="%5."/>
      <w:lvlJc w:val="left"/>
      <w:pPr>
        <w:tabs>
          <w:tab w:val="num" w:pos="3600"/>
        </w:tabs>
        <w:ind w:left="3600" w:hanging="360"/>
      </w:pPr>
    </w:lvl>
    <w:lvl w:ilvl="5" w:tplc="D624C19A" w:tentative="1">
      <w:start w:val="1"/>
      <w:numFmt w:val="decimal"/>
      <w:lvlText w:val="%6."/>
      <w:lvlJc w:val="left"/>
      <w:pPr>
        <w:tabs>
          <w:tab w:val="num" w:pos="4320"/>
        </w:tabs>
        <w:ind w:left="4320" w:hanging="360"/>
      </w:pPr>
    </w:lvl>
    <w:lvl w:ilvl="6" w:tplc="CFEC1B42" w:tentative="1">
      <w:start w:val="1"/>
      <w:numFmt w:val="decimal"/>
      <w:lvlText w:val="%7."/>
      <w:lvlJc w:val="left"/>
      <w:pPr>
        <w:tabs>
          <w:tab w:val="num" w:pos="5040"/>
        </w:tabs>
        <w:ind w:left="5040" w:hanging="360"/>
      </w:pPr>
    </w:lvl>
    <w:lvl w:ilvl="7" w:tplc="3228841C" w:tentative="1">
      <w:start w:val="1"/>
      <w:numFmt w:val="decimal"/>
      <w:lvlText w:val="%8."/>
      <w:lvlJc w:val="left"/>
      <w:pPr>
        <w:tabs>
          <w:tab w:val="num" w:pos="5760"/>
        </w:tabs>
        <w:ind w:left="5760" w:hanging="360"/>
      </w:pPr>
    </w:lvl>
    <w:lvl w:ilvl="8" w:tplc="87322C68" w:tentative="1">
      <w:start w:val="1"/>
      <w:numFmt w:val="decimal"/>
      <w:lvlText w:val="%9."/>
      <w:lvlJc w:val="left"/>
      <w:pPr>
        <w:tabs>
          <w:tab w:val="num" w:pos="6480"/>
        </w:tabs>
        <w:ind w:left="6480" w:hanging="360"/>
      </w:pPr>
    </w:lvl>
  </w:abstractNum>
  <w:abstractNum w:abstractNumId="34">
    <w:nsid w:val="63824AFF"/>
    <w:multiLevelType w:val="hybridMultilevel"/>
    <w:tmpl w:val="D1D43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5EF3F60"/>
    <w:multiLevelType w:val="hybridMultilevel"/>
    <w:tmpl w:val="EFB0B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8D8769E"/>
    <w:multiLevelType w:val="multilevel"/>
    <w:tmpl w:val="2564F258"/>
    <w:lvl w:ilvl="0">
      <w:start w:val="1"/>
      <w:numFmt w:val="decimal"/>
      <w:lvlText w:val="%1."/>
      <w:lvlJc w:val="left"/>
      <w:pPr>
        <w:ind w:left="720" w:hanging="360"/>
      </w:pPr>
      <w:rPr>
        <w:rFonts w:hint="default"/>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nsid w:val="6CE971DC"/>
    <w:multiLevelType w:val="hybridMultilevel"/>
    <w:tmpl w:val="C5969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nsid w:val="6DEE16B4"/>
    <w:multiLevelType w:val="hybridMultilevel"/>
    <w:tmpl w:val="1FD226E0"/>
    <w:lvl w:ilvl="0" w:tplc="0809000F">
      <w:start w:val="1"/>
      <w:numFmt w:val="decimal"/>
      <w:lvlText w:val="%1."/>
      <w:lvlJc w:val="left"/>
      <w:pPr>
        <w:ind w:left="720" w:hanging="360"/>
      </w:pPr>
      <w:rPr>
        <w:rFonts w:hint="default"/>
      </w:rPr>
    </w:lvl>
    <w:lvl w:ilvl="1" w:tplc="9176CAB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EE33E04"/>
    <w:multiLevelType w:val="hybridMultilevel"/>
    <w:tmpl w:val="BEFA1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3682AB3"/>
    <w:multiLevelType w:val="multilevel"/>
    <w:tmpl w:val="960CAF9A"/>
    <w:lvl w:ilvl="0">
      <w:start w:val="1"/>
      <w:numFmt w:val="decimal"/>
      <w:lvlText w:val="%1"/>
      <w:lvlJc w:val="left"/>
      <w:pPr>
        <w:ind w:left="405" w:hanging="405"/>
      </w:pPr>
      <w:rPr>
        <w:rFonts w:hint="default"/>
      </w:rPr>
    </w:lvl>
    <w:lvl w:ilvl="1">
      <w:start w:val="1"/>
      <w:numFmt w:val="decimal"/>
      <w:lvlText w:val="%1.%2"/>
      <w:lvlJc w:val="left"/>
      <w:pPr>
        <w:ind w:left="1845" w:hanging="40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41">
    <w:nsid w:val="73F66C6D"/>
    <w:multiLevelType w:val="hybridMultilevel"/>
    <w:tmpl w:val="4F4217A6"/>
    <w:lvl w:ilvl="0" w:tplc="08090001">
      <w:start w:val="1"/>
      <w:numFmt w:val="bullet"/>
      <w:lvlText w:val=""/>
      <w:lvlJc w:val="left"/>
      <w:pPr>
        <w:ind w:left="1440" w:hanging="360"/>
      </w:pPr>
      <w:rPr>
        <w:rFonts w:ascii="Symbol" w:hAnsi="Symbol" w:hint="default"/>
      </w:rPr>
    </w:lvl>
    <w:lvl w:ilvl="1" w:tplc="BA1EC1E2">
      <w:numFmt w:val="bullet"/>
      <w:lvlText w:val="•"/>
      <w:lvlJc w:val="left"/>
      <w:pPr>
        <w:ind w:left="2520" w:hanging="72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nsid w:val="742D2945"/>
    <w:multiLevelType w:val="hybridMultilevel"/>
    <w:tmpl w:val="0A38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5411E04"/>
    <w:multiLevelType w:val="hybridMultilevel"/>
    <w:tmpl w:val="745A45AC"/>
    <w:lvl w:ilvl="0" w:tplc="3A704F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7A7C4726"/>
    <w:multiLevelType w:val="hybridMultilevel"/>
    <w:tmpl w:val="DAA0B5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CE94635"/>
    <w:multiLevelType w:val="hybridMultilevel"/>
    <w:tmpl w:val="4A30AA10"/>
    <w:lvl w:ilvl="0" w:tplc="08090001">
      <w:start w:val="1"/>
      <w:numFmt w:val="bullet"/>
      <w:pStyle w:val="Numberedheading1"/>
      <w:lvlText w:val=""/>
      <w:lvlJc w:val="left"/>
      <w:pPr>
        <w:ind w:left="720" w:hanging="360"/>
      </w:pPr>
      <w:rPr>
        <w:rFonts w:ascii="Symbol" w:hAnsi="Symbol" w:hint="default"/>
      </w:rPr>
    </w:lvl>
    <w:lvl w:ilvl="1" w:tplc="08090003" w:tentative="1">
      <w:start w:val="1"/>
      <w:numFmt w:val="bullet"/>
      <w:pStyle w:val="Numberedheading2"/>
      <w:lvlText w:val="o"/>
      <w:lvlJc w:val="left"/>
      <w:pPr>
        <w:ind w:left="1440" w:hanging="360"/>
      </w:pPr>
      <w:rPr>
        <w:rFonts w:ascii="Courier New" w:hAnsi="Courier New" w:cs="Courier New" w:hint="default"/>
      </w:rPr>
    </w:lvl>
    <w:lvl w:ilvl="2" w:tplc="08090005" w:tentative="1">
      <w:start w:val="1"/>
      <w:numFmt w:val="bullet"/>
      <w:pStyle w:val="Numberedheading3"/>
      <w:lvlText w:val=""/>
      <w:lvlJc w:val="left"/>
      <w:pPr>
        <w:ind w:left="2160" w:hanging="360"/>
      </w:pPr>
      <w:rPr>
        <w:rFonts w:ascii="Wingdings" w:hAnsi="Wingdings" w:hint="default"/>
      </w:rPr>
    </w:lvl>
    <w:lvl w:ilvl="3" w:tplc="08090001" w:tentative="1">
      <w:start w:val="1"/>
      <w:numFmt w:val="bullet"/>
      <w:pStyle w:val="Numberedheading4"/>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F77431F"/>
    <w:multiLevelType w:val="hybridMultilevel"/>
    <w:tmpl w:val="BF943F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7"/>
  </w:num>
  <w:num w:numId="2">
    <w:abstractNumId w:val="1"/>
  </w:num>
  <w:num w:numId="3">
    <w:abstractNumId w:val="38"/>
  </w:num>
  <w:num w:numId="4">
    <w:abstractNumId w:val="40"/>
  </w:num>
  <w:num w:numId="5">
    <w:abstractNumId w:val="2"/>
  </w:num>
  <w:num w:numId="6">
    <w:abstractNumId w:val="11"/>
  </w:num>
  <w:num w:numId="7">
    <w:abstractNumId w:val="21"/>
  </w:num>
  <w:num w:numId="8">
    <w:abstractNumId w:val="25"/>
  </w:num>
  <w:num w:numId="9">
    <w:abstractNumId w:val="45"/>
  </w:num>
  <w:num w:numId="10">
    <w:abstractNumId w:val="12"/>
  </w:num>
  <w:num w:numId="11">
    <w:abstractNumId w:val="26"/>
  </w:num>
  <w:num w:numId="12">
    <w:abstractNumId w:val="20"/>
  </w:num>
  <w:num w:numId="13">
    <w:abstractNumId w:val="29"/>
  </w:num>
  <w:num w:numId="14">
    <w:abstractNumId w:val="36"/>
  </w:num>
  <w:num w:numId="15">
    <w:abstractNumId w:val="15"/>
  </w:num>
  <w:num w:numId="16">
    <w:abstractNumId w:val="43"/>
  </w:num>
  <w:num w:numId="17">
    <w:abstractNumId w:val="23"/>
  </w:num>
  <w:num w:numId="18">
    <w:abstractNumId w:val="14"/>
  </w:num>
  <w:num w:numId="19">
    <w:abstractNumId w:val="17"/>
  </w:num>
  <w:num w:numId="20">
    <w:abstractNumId w:val="13"/>
  </w:num>
  <w:num w:numId="21">
    <w:abstractNumId w:val="7"/>
  </w:num>
  <w:num w:numId="22">
    <w:abstractNumId w:val="0"/>
  </w:num>
  <w:num w:numId="23">
    <w:abstractNumId w:val="0"/>
  </w:num>
  <w:num w:numId="24">
    <w:abstractNumId w:val="18"/>
  </w:num>
  <w:num w:numId="25">
    <w:abstractNumId w:val="18"/>
  </w:num>
  <w:num w:numId="26">
    <w:abstractNumId w:val="6"/>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9"/>
  </w:num>
  <w:num w:numId="32">
    <w:abstractNumId w:val="28"/>
  </w:num>
  <w:num w:numId="33">
    <w:abstractNumId w:val="32"/>
  </w:num>
  <w:num w:numId="34">
    <w:abstractNumId w:val="44"/>
  </w:num>
  <w:num w:numId="35">
    <w:abstractNumId w:val="41"/>
  </w:num>
  <w:num w:numId="36">
    <w:abstractNumId w:val="39"/>
  </w:num>
  <w:num w:numId="37">
    <w:abstractNumId w:val="46"/>
  </w:num>
  <w:num w:numId="38">
    <w:abstractNumId w:val="31"/>
  </w:num>
  <w:num w:numId="39">
    <w:abstractNumId w:val="24"/>
  </w:num>
  <w:num w:numId="40">
    <w:abstractNumId w:val="42"/>
  </w:num>
  <w:num w:numId="41">
    <w:abstractNumId w:val="8"/>
  </w:num>
  <w:num w:numId="42">
    <w:abstractNumId w:val="3"/>
  </w:num>
  <w:num w:numId="43">
    <w:abstractNumId w:val="33"/>
  </w:num>
  <w:num w:numId="44">
    <w:abstractNumId w:val="16"/>
  </w:num>
  <w:num w:numId="45">
    <w:abstractNumId w:val="5"/>
  </w:num>
  <w:num w:numId="46">
    <w:abstractNumId w:val="30"/>
  </w:num>
  <w:num w:numId="47">
    <w:abstractNumId w:val="22"/>
  </w:num>
  <w:num w:numId="48">
    <w:abstractNumId w:val="35"/>
  </w:num>
  <w:num w:numId="49">
    <w:abstractNumId w:val="34"/>
  </w:num>
  <w:num w:numId="50">
    <w:abstractNumId w:val="19"/>
  </w:num>
  <w:num w:numId="51">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3B2"/>
    <w:rsid w:val="0000120E"/>
    <w:rsid w:val="00004613"/>
    <w:rsid w:val="0001013B"/>
    <w:rsid w:val="000122AD"/>
    <w:rsid w:val="00014E75"/>
    <w:rsid w:val="0001791F"/>
    <w:rsid w:val="000216BA"/>
    <w:rsid w:val="00021BC1"/>
    <w:rsid w:val="00021BFF"/>
    <w:rsid w:val="00023D29"/>
    <w:rsid w:val="000275B9"/>
    <w:rsid w:val="00031E42"/>
    <w:rsid w:val="00032195"/>
    <w:rsid w:val="00032DBB"/>
    <w:rsid w:val="0003351C"/>
    <w:rsid w:val="00033E91"/>
    <w:rsid w:val="00036A3F"/>
    <w:rsid w:val="00040633"/>
    <w:rsid w:val="0004239A"/>
    <w:rsid w:val="00044E77"/>
    <w:rsid w:val="0004554C"/>
    <w:rsid w:val="000476E3"/>
    <w:rsid w:val="000505C6"/>
    <w:rsid w:val="00053045"/>
    <w:rsid w:val="00055095"/>
    <w:rsid w:val="00057AA4"/>
    <w:rsid w:val="00064491"/>
    <w:rsid w:val="0006595A"/>
    <w:rsid w:val="0007003E"/>
    <w:rsid w:val="00075E1D"/>
    <w:rsid w:val="00077803"/>
    <w:rsid w:val="00085181"/>
    <w:rsid w:val="0009074C"/>
    <w:rsid w:val="0009248E"/>
    <w:rsid w:val="00092B75"/>
    <w:rsid w:val="00093305"/>
    <w:rsid w:val="00094567"/>
    <w:rsid w:val="000957AD"/>
    <w:rsid w:val="000962D4"/>
    <w:rsid w:val="000975B3"/>
    <w:rsid w:val="00097A2A"/>
    <w:rsid w:val="000A1C97"/>
    <w:rsid w:val="000A3259"/>
    <w:rsid w:val="000A3D41"/>
    <w:rsid w:val="000A3FED"/>
    <w:rsid w:val="000A46DF"/>
    <w:rsid w:val="000A76D1"/>
    <w:rsid w:val="000B362B"/>
    <w:rsid w:val="000B42BF"/>
    <w:rsid w:val="000B4925"/>
    <w:rsid w:val="000B5CA9"/>
    <w:rsid w:val="000B6FDD"/>
    <w:rsid w:val="000B701B"/>
    <w:rsid w:val="000C3BA1"/>
    <w:rsid w:val="000C3E86"/>
    <w:rsid w:val="000C4800"/>
    <w:rsid w:val="000C6A25"/>
    <w:rsid w:val="000C6C0E"/>
    <w:rsid w:val="000D0D66"/>
    <w:rsid w:val="000D2733"/>
    <w:rsid w:val="000D33EB"/>
    <w:rsid w:val="000E1141"/>
    <w:rsid w:val="000E1D3B"/>
    <w:rsid w:val="000E3641"/>
    <w:rsid w:val="000E531C"/>
    <w:rsid w:val="000E7360"/>
    <w:rsid w:val="000F0AF6"/>
    <w:rsid w:val="000F1410"/>
    <w:rsid w:val="000F555E"/>
    <w:rsid w:val="000F60C8"/>
    <w:rsid w:val="000F7396"/>
    <w:rsid w:val="000F7DEC"/>
    <w:rsid w:val="00100C20"/>
    <w:rsid w:val="001060F5"/>
    <w:rsid w:val="00106DCD"/>
    <w:rsid w:val="0010783E"/>
    <w:rsid w:val="00107D89"/>
    <w:rsid w:val="00107EE9"/>
    <w:rsid w:val="00110AFC"/>
    <w:rsid w:val="00110B79"/>
    <w:rsid w:val="0011339F"/>
    <w:rsid w:val="001134B3"/>
    <w:rsid w:val="00114089"/>
    <w:rsid w:val="00120CDC"/>
    <w:rsid w:val="001210B5"/>
    <w:rsid w:val="00125E48"/>
    <w:rsid w:val="00136A40"/>
    <w:rsid w:val="00141EBF"/>
    <w:rsid w:val="00142763"/>
    <w:rsid w:val="00144515"/>
    <w:rsid w:val="0014490D"/>
    <w:rsid w:val="001478DB"/>
    <w:rsid w:val="001521A5"/>
    <w:rsid w:val="00155457"/>
    <w:rsid w:val="001611C4"/>
    <w:rsid w:val="00166456"/>
    <w:rsid w:val="0017442A"/>
    <w:rsid w:val="0017770B"/>
    <w:rsid w:val="00180D69"/>
    <w:rsid w:val="0018299D"/>
    <w:rsid w:val="001867D5"/>
    <w:rsid w:val="0018799F"/>
    <w:rsid w:val="00193C36"/>
    <w:rsid w:val="00197035"/>
    <w:rsid w:val="001A2659"/>
    <w:rsid w:val="001A5A3C"/>
    <w:rsid w:val="001A6812"/>
    <w:rsid w:val="001B0157"/>
    <w:rsid w:val="001B4B51"/>
    <w:rsid w:val="001B4E35"/>
    <w:rsid w:val="001B57E6"/>
    <w:rsid w:val="001B5CE2"/>
    <w:rsid w:val="001B646F"/>
    <w:rsid w:val="001B7968"/>
    <w:rsid w:val="001C0EAC"/>
    <w:rsid w:val="001C12B3"/>
    <w:rsid w:val="001C14C3"/>
    <w:rsid w:val="001C3761"/>
    <w:rsid w:val="001C78E3"/>
    <w:rsid w:val="001D03C8"/>
    <w:rsid w:val="001D04B7"/>
    <w:rsid w:val="001D1282"/>
    <w:rsid w:val="001D1BF0"/>
    <w:rsid w:val="001D41B2"/>
    <w:rsid w:val="001D4AD1"/>
    <w:rsid w:val="001D5793"/>
    <w:rsid w:val="001E29E2"/>
    <w:rsid w:val="001E6C63"/>
    <w:rsid w:val="002006E5"/>
    <w:rsid w:val="00212F6F"/>
    <w:rsid w:val="00213752"/>
    <w:rsid w:val="0021566A"/>
    <w:rsid w:val="002206DA"/>
    <w:rsid w:val="00221584"/>
    <w:rsid w:val="002224A2"/>
    <w:rsid w:val="00226F63"/>
    <w:rsid w:val="00231122"/>
    <w:rsid w:val="00236C34"/>
    <w:rsid w:val="0024255A"/>
    <w:rsid w:val="00243469"/>
    <w:rsid w:val="00245081"/>
    <w:rsid w:val="00246DCE"/>
    <w:rsid w:val="00254B7D"/>
    <w:rsid w:val="00260389"/>
    <w:rsid w:val="00260558"/>
    <w:rsid w:val="00261C6B"/>
    <w:rsid w:val="002642C2"/>
    <w:rsid w:val="00264C50"/>
    <w:rsid w:val="00266C1A"/>
    <w:rsid w:val="00267418"/>
    <w:rsid w:val="0027020C"/>
    <w:rsid w:val="00271439"/>
    <w:rsid w:val="00273AAE"/>
    <w:rsid w:val="00273C73"/>
    <w:rsid w:val="00273F49"/>
    <w:rsid w:val="00274372"/>
    <w:rsid w:val="0028086F"/>
    <w:rsid w:val="00281FD0"/>
    <w:rsid w:val="00283B2C"/>
    <w:rsid w:val="00286093"/>
    <w:rsid w:val="00292547"/>
    <w:rsid w:val="0029411D"/>
    <w:rsid w:val="00297A77"/>
    <w:rsid w:val="002A4387"/>
    <w:rsid w:val="002B133A"/>
    <w:rsid w:val="002B4255"/>
    <w:rsid w:val="002B6050"/>
    <w:rsid w:val="002B6ABC"/>
    <w:rsid w:val="002C19D8"/>
    <w:rsid w:val="002C67B8"/>
    <w:rsid w:val="002D129F"/>
    <w:rsid w:val="002D5BBE"/>
    <w:rsid w:val="002D6666"/>
    <w:rsid w:val="002D6A2B"/>
    <w:rsid w:val="002D75A1"/>
    <w:rsid w:val="002E45CE"/>
    <w:rsid w:val="002E6139"/>
    <w:rsid w:val="002E665E"/>
    <w:rsid w:val="002E6934"/>
    <w:rsid w:val="00301C45"/>
    <w:rsid w:val="00303C8E"/>
    <w:rsid w:val="00306F7B"/>
    <w:rsid w:val="00310532"/>
    <w:rsid w:val="0031121D"/>
    <w:rsid w:val="003124B2"/>
    <w:rsid w:val="0031435F"/>
    <w:rsid w:val="0031497D"/>
    <w:rsid w:val="00317073"/>
    <w:rsid w:val="00321F84"/>
    <w:rsid w:val="003230DD"/>
    <w:rsid w:val="00323292"/>
    <w:rsid w:val="00323E1B"/>
    <w:rsid w:val="0032430D"/>
    <w:rsid w:val="0032469B"/>
    <w:rsid w:val="0032581B"/>
    <w:rsid w:val="0032758D"/>
    <w:rsid w:val="0033227A"/>
    <w:rsid w:val="003369FC"/>
    <w:rsid w:val="003406BB"/>
    <w:rsid w:val="00340B71"/>
    <w:rsid w:val="003421CE"/>
    <w:rsid w:val="00343081"/>
    <w:rsid w:val="003462A1"/>
    <w:rsid w:val="003509C0"/>
    <w:rsid w:val="00350B8A"/>
    <w:rsid w:val="00352886"/>
    <w:rsid w:val="00353FDA"/>
    <w:rsid w:val="00354473"/>
    <w:rsid w:val="00367127"/>
    <w:rsid w:val="003720A2"/>
    <w:rsid w:val="00373BDB"/>
    <w:rsid w:val="00376472"/>
    <w:rsid w:val="00376BD8"/>
    <w:rsid w:val="0037734E"/>
    <w:rsid w:val="00382317"/>
    <w:rsid w:val="003826E3"/>
    <w:rsid w:val="00391C0A"/>
    <w:rsid w:val="003923AE"/>
    <w:rsid w:val="00392420"/>
    <w:rsid w:val="00396405"/>
    <w:rsid w:val="00396D38"/>
    <w:rsid w:val="003A2DF5"/>
    <w:rsid w:val="003A2FA1"/>
    <w:rsid w:val="003A4C15"/>
    <w:rsid w:val="003A700B"/>
    <w:rsid w:val="003B4488"/>
    <w:rsid w:val="003B451D"/>
    <w:rsid w:val="003B4FD8"/>
    <w:rsid w:val="003B5E04"/>
    <w:rsid w:val="003B79A7"/>
    <w:rsid w:val="003B7C92"/>
    <w:rsid w:val="003C25E4"/>
    <w:rsid w:val="003C5576"/>
    <w:rsid w:val="003C6E31"/>
    <w:rsid w:val="003C7FE4"/>
    <w:rsid w:val="003D07F5"/>
    <w:rsid w:val="003D24D0"/>
    <w:rsid w:val="003D36FE"/>
    <w:rsid w:val="003D4835"/>
    <w:rsid w:val="003D56F0"/>
    <w:rsid w:val="003D6648"/>
    <w:rsid w:val="003E0354"/>
    <w:rsid w:val="003E06A8"/>
    <w:rsid w:val="003E2A20"/>
    <w:rsid w:val="003E6E42"/>
    <w:rsid w:val="003E77A8"/>
    <w:rsid w:val="003F1C5C"/>
    <w:rsid w:val="003F45B4"/>
    <w:rsid w:val="003F7015"/>
    <w:rsid w:val="00400D18"/>
    <w:rsid w:val="00401EE4"/>
    <w:rsid w:val="00403029"/>
    <w:rsid w:val="00403F8D"/>
    <w:rsid w:val="00410410"/>
    <w:rsid w:val="004174B4"/>
    <w:rsid w:val="004236C5"/>
    <w:rsid w:val="00424862"/>
    <w:rsid w:val="00427832"/>
    <w:rsid w:val="0043407D"/>
    <w:rsid w:val="00434293"/>
    <w:rsid w:val="0043681A"/>
    <w:rsid w:val="00440A0B"/>
    <w:rsid w:val="00441707"/>
    <w:rsid w:val="004423F3"/>
    <w:rsid w:val="00443940"/>
    <w:rsid w:val="00454E19"/>
    <w:rsid w:val="00461255"/>
    <w:rsid w:val="00465800"/>
    <w:rsid w:val="00473A6B"/>
    <w:rsid w:val="004749DC"/>
    <w:rsid w:val="00475018"/>
    <w:rsid w:val="00475B91"/>
    <w:rsid w:val="00480506"/>
    <w:rsid w:val="00483FB5"/>
    <w:rsid w:val="00486572"/>
    <w:rsid w:val="00490D6D"/>
    <w:rsid w:val="00492505"/>
    <w:rsid w:val="00494C12"/>
    <w:rsid w:val="004A5253"/>
    <w:rsid w:val="004A533B"/>
    <w:rsid w:val="004A6E72"/>
    <w:rsid w:val="004B1941"/>
    <w:rsid w:val="004B4306"/>
    <w:rsid w:val="004B7E47"/>
    <w:rsid w:val="004C34CF"/>
    <w:rsid w:val="004C47E0"/>
    <w:rsid w:val="004C66F9"/>
    <w:rsid w:val="004C6859"/>
    <w:rsid w:val="004D24F1"/>
    <w:rsid w:val="004D608A"/>
    <w:rsid w:val="004E132B"/>
    <w:rsid w:val="004E50D4"/>
    <w:rsid w:val="004E6DA1"/>
    <w:rsid w:val="004F0165"/>
    <w:rsid w:val="004F72F0"/>
    <w:rsid w:val="004F7C9C"/>
    <w:rsid w:val="005006EE"/>
    <w:rsid w:val="00503CD0"/>
    <w:rsid w:val="00504D21"/>
    <w:rsid w:val="005055D8"/>
    <w:rsid w:val="00510883"/>
    <w:rsid w:val="00510C97"/>
    <w:rsid w:val="00510E63"/>
    <w:rsid w:val="005111EC"/>
    <w:rsid w:val="0051256B"/>
    <w:rsid w:val="005139CA"/>
    <w:rsid w:val="00531A8E"/>
    <w:rsid w:val="00535CF0"/>
    <w:rsid w:val="00536F4D"/>
    <w:rsid w:val="005372C4"/>
    <w:rsid w:val="00537C07"/>
    <w:rsid w:val="00546DCE"/>
    <w:rsid w:val="00551DDB"/>
    <w:rsid w:val="0056388F"/>
    <w:rsid w:val="00567D5E"/>
    <w:rsid w:val="00570FB7"/>
    <w:rsid w:val="00573453"/>
    <w:rsid w:val="00574932"/>
    <w:rsid w:val="00575664"/>
    <w:rsid w:val="005770F4"/>
    <w:rsid w:val="00580018"/>
    <w:rsid w:val="00584FF5"/>
    <w:rsid w:val="00586F50"/>
    <w:rsid w:val="0058725D"/>
    <w:rsid w:val="005915EC"/>
    <w:rsid w:val="0059202D"/>
    <w:rsid w:val="00596E2C"/>
    <w:rsid w:val="005B3045"/>
    <w:rsid w:val="005B6681"/>
    <w:rsid w:val="005C3224"/>
    <w:rsid w:val="005C45B2"/>
    <w:rsid w:val="005C46C1"/>
    <w:rsid w:val="005C475D"/>
    <w:rsid w:val="005D1757"/>
    <w:rsid w:val="005D184B"/>
    <w:rsid w:val="005E2261"/>
    <w:rsid w:val="005F12F1"/>
    <w:rsid w:val="005F1BD1"/>
    <w:rsid w:val="005F417D"/>
    <w:rsid w:val="006008CC"/>
    <w:rsid w:val="00604D4B"/>
    <w:rsid w:val="00604F28"/>
    <w:rsid w:val="00605347"/>
    <w:rsid w:val="0060664A"/>
    <w:rsid w:val="0061095F"/>
    <w:rsid w:val="00613845"/>
    <w:rsid w:val="00616632"/>
    <w:rsid w:val="006224AA"/>
    <w:rsid w:val="00624C2B"/>
    <w:rsid w:val="00627432"/>
    <w:rsid w:val="00630AD6"/>
    <w:rsid w:val="00640CCA"/>
    <w:rsid w:val="0064196C"/>
    <w:rsid w:val="00646E27"/>
    <w:rsid w:val="00651718"/>
    <w:rsid w:val="0065260E"/>
    <w:rsid w:val="006530E5"/>
    <w:rsid w:val="00653B0B"/>
    <w:rsid w:val="006604B4"/>
    <w:rsid w:val="00672289"/>
    <w:rsid w:val="00674EF7"/>
    <w:rsid w:val="006815C1"/>
    <w:rsid w:val="00682A19"/>
    <w:rsid w:val="00684B27"/>
    <w:rsid w:val="00685C48"/>
    <w:rsid w:val="0068600E"/>
    <w:rsid w:val="0068696A"/>
    <w:rsid w:val="006874E3"/>
    <w:rsid w:val="00695D80"/>
    <w:rsid w:val="006967AE"/>
    <w:rsid w:val="006A6163"/>
    <w:rsid w:val="006A655A"/>
    <w:rsid w:val="006B0DE6"/>
    <w:rsid w:val="006B169C"/>
    <w:rsid w:val="006B69F1"/>
    <w:rsid w:val="006B7318"/>
    <w:rsid w:val="006B790B"/>
    <w:rsid w:val="006C0CB1"/>
    <w:rsid w:val="006C512C"/>
    <w:rsid w:val="006D25CA"/>
    <w:rsid w:val="006D499D"/>
    <w:rsid w:val="006D622C"/>
    <w:rsid w:val="006E1ED2"/>
    <w:rsid w:val="006F79A6"/>
    <w:rsid w:val="00700592"/>
    <w:rsid w:val="007034E3"/>
    <w:rsid w:val="007077AB"/>
    <w:rsid w:val="00707BAB"/>
    <w:rsid w:val="00710242"/>
    <w:rsid w:val="00710865"/>
    <w:rsid w:val="00712F79"/>
    <w:rsid w:val="00717C41"/>
    <w:rsid w:val="00720CEB"/>
    <w:rsid w:val="007213C7"/>
    <w:rsid w:val="00721BF9"/>
    <w:rsid w:val="00721DB0"/>
    <w:rsid w:val="00723606"/>
    <w:rsid w:val="00725435"/>
    <w:rsid w:val="007352AE"/>
    <w:rsid w:val="00736E93"/>
    <w:rsid w:val="00737B88"/>
    <w:rsid w:val="007405D8"/>
    <w:rsid w:val="007405EE"/>
    <w:rsid w:val="00752308"/>
    <w:rsid w:val="00753F75"/>
    <w:rsid w:val="0075451E"/>
    <w:rsid w:val="00757852"/>
    <w:rsid w:val="007607B9"/>
    <w:rsid w:val="0076250C"/>
    <w:rsid w:val="007632C6"/>
    <w:rsid w:val="00763679"/>
    <w:rsid w:val="00766E0F"/>
    <w:rsid w:val="00767AD3"/>
    <w:rsid w:val="00771FC7"/>
    <w:rsid w:val="00773901"/>
    <w:rsid w:val="007753C4"/>
    <w:rsid w:val="007755A9"/>
    <w:rsid w:val="00783AD3"/>
    <w:rsid w:val="007846DB"/>
    <w:rsid w:val="00784D2A"/>
    <w:rsid w:val="0078729B"/>
    <w:rsid w:val="00787939"/>
    <w:rsid w:val="0079131F"/>
    <w:rsid w:val="0079318A"/>
    <w:rsid w:val="007938AB"/>
    <w:rsid w:val="007A033E"/>
    <w:rsid w:val="007A18BC"/>
    <w:rsid w:val="007A33D2"/>
    <w:rsid w:val="007A5418"/>
    <w:rsid w:val="007A5B29"/>
    <w:rsid w:val="007B1675"/>
    <w:rsid w:val="007B4508"/>
    <w:rsid w:val="007C04BC"/>
    <w:rsid w:val="007C0BDE"/>
    <w:rsid w:val="007C1D8F"/>
    <w:rsid w:val="007C61C8"/>
    <w:rsid w:val="007D3776"/>
    <w:rsid w:val="007D4116"/>
    <w:rsid w:val="007D5168"/>
    <w:rsid w:val="007E0298"/>
    <w:rsid w:val="007E11ED"/>
    <w:rsid w:val="007F230D"/>
    <w:rsid w:val="007F2A06"/>
    <w:rsid w:val="007F32FE"/>
    <w:rsid w:val="007F3E07"/>
    <w:rsid w:val="007F69EC"/>
    <w:rsid w:val="00801415"/>
    <w:rsid w:val="0080344A"/>
    <w:rsid w:val="008136FA"/>
    <w:rsid w:val="00814218"/>
    <w:rsid w:val="0081563C"/>
    <w:rsid w:val="0082061F"/>
    <w:rsid w:val="0082160C"/>
    <w:rsid w:val="0082390D"/>
    <w:rsid w:val="00825676"/>
    <w:rsid w:val="00827506"/>
    <w:rsid w:val="008276DF"/>
    <w:rsid w:val="00831EF1"/>
    <w:rsid w:val="008327CD"/>
    <w:rsid w:val="00832F9A"/>
    <w:rsid w:val="00834057"/>
    <w:rsid w:val="0083622E"/>
    <w:rsid w:val="008372D5"/>
    <w:rsid w:val="00843EF4"/>
    <w:rsid w:val="00844242"/>
    <w:rsid w:val="008477A0"/>
    <w:rsid w:val="00847920"/>
    <w:rsid w:val="0085115D"/>
    <w:rsid w:val="008527AA"/>
    <w:rsid w:val="0086168F"/>
    <w:rsid w:val="008624CB"/>
    <w:rsid w:val="00862D5E"/>
    <w:rsid w:val="00862F32"/>
    <w:rsid w:val="0086326C"/>
    <w:rsid w:val="00863FF2"/>
    <w:rsid w:val="00872EA0"/>
    <w:rsid w:val="0087365D"/>
    <w:rsid w:val="0087550E"/>
    <w:rsid w:val="00876142"/>
    <w:rsid w:val="00876F3B"/>
    <w:rsid w:val="00877DE8"/>
    <w:rsid w:val="008817E1"/>
    <w:rsid w:val="00884E8C"/>
    <w:rsid w:val="00891314"/>
    <w:rsid w:val="008A2926"/>
    <w:rsid w:val="008B04D6"/>
    <w:rsid w:val="008B6F2A"/>
    <w:rsid w:val="008C1F86"/>
    <w:rsid w:val="008C4DE9"/>
    <w:rsid w:val="008C626D"/>
    <w:rsid w:val="008C62DC"/>
    <w:rsid w:val="008C755E"/>
    <w:rsid w:val="008C7845"/>
    <w:rsid w:val="008D1C7D"/>
    <w:rsid w:val="008D463C"/>
    <w:rsid w:val="008E0485"/>
    <w:rsid w:val="008E0F00"/>
    <w:rsid w:val="008E119D"/>
    <w:rsid w:val="008E657B"/>
    <w:rsid w:val="008F63CA"/>
    <w:rsid w:val="00902779"/>
    <w:rsid w:val="0091197A"/>
    <w:rsid w:val="00915204"/>
    <w:rsid w:val="00917E8A"/>
    <w:rsid w:val="0092289F"/>
    <w:rsid w:val="00922929"/>
    <w:rsid w:val="009260F2"/>
    <w:rsid w:val="0092650A"/>
    <w:rsid w:val="00926755"/>
    <w:rsid w:val="0093006F"/>
    <w:rsid w:val="00932929"/>
    <w:rsid w:val="00934BE4"/>
    <w:rsid w:val="00940B3D"/>
    <w:rsid w:val="0094545B"/>
    <w:rsid w:val="00946703"/>
    <w:rsid w:val="00947F4F"/>
    <w:rsid w:val="00950BD2"/>
    <w:rsid w:val="00952BA4"/>
    <w:rsid w:val="00952BC0"/>
    <w:rsid w:val="00955004"/>
    <w:rsid w:val="00957F08"/>
    <w:rsid w:val="00962964"/>
    <w:rsid w:val="0096725B"/>
    <w:rsid w:val="009736BE"/>
    <w:rsid w:val="0097536C"/>
    <w:rsid w:val="009762FC"/>
    <w:rsid w:val="009773C7"/>
    <w:rsid w:val="00977488"/>
    <w:rsid w:val="009802B7"/>
    <w:rsid w:val="00983EF8"/>
    <w:rsid w:val="00984A3A"/>
    <w:rsid w:val="00984E4E"/>
    <w:rsid w:val="00986D5B"/>
    <w:rsid w:val="00992CFC"/>
    <w:rsid w:val="0099778C"/>
    <w:rsid w:val="00997F34"/>
    <w:rsid w:val="009A69B6"/>
    <w:rsid w:val="009A7806"/>
    <w:rsid w:val="009B6A20"/>
    <w:rsid w:val="009C20DA"/>
    <w:rsid w:val="009D0E40"/>
    <w:rsid w:val="009D222A"/>
    <w:rsid w:val="009D3873"/>
    <w:rsid w:val="009D5888"/>
    <w:rsid w:val="009D6103"/>
    <w:rsid w:val="009D79A5"/>
    <w:rsid w:val="009E1F39"/>
    <w:rsid w:val="009E57D8"/>
    <w:rsid w:val="009E5EEF"/>
    <w:rsid w:val="009E6EA4"/>
    <w:rsid w:val="009F529E"/>
    <w:rsid w:val="009F5DA1"/>
    <w:rsid w:val="00A00C66"/>
    <w:rsid w:val="00A0583B"/>
    <w:rsid w:val="00A06458"/>
    <w:rsid w:val="00A065ED"/>
    <w:rsid w:val="00A1383D"/>
    <w:rsid w:val="00A20DE8"/>
    <w:rsid w:val="00A25024"/>
    <w:rsid w:val="00A30F56"/>
    <w:rsid w:val="00A31404"/>
    <w:rsid w:val="00A35AE1"/>
    <w:rsid w:val="00A451F8"/>
    <w:rsid w:val="00A507A7"/>
    <w:rsid w:val="00A515DC"/>
    <w:rsid w:val="00A540A2"/>
    <w:rsid w:val="00A549FA"/>
    <w:rsid w:val="00A574C0"/>
    <w:rsid w:val="00A60696"/>
    <w:rsid w:val="00A62AF0"/>
    <w:rsid w:val="00A64C77"/>
    <w:rsid w:val="00A65AAA"/>
    <w:rsid w:val="00A65C43"/>
    <w:rsid w:val="00A758D3"/>
    <w:rsid w:val="00A901B2"/>
    <w:rsid w:val="00A92BA4"/>
    <w:rsid w:val="00A943CF"/>
    <w:rsid w:val="00A944B6"/>
    <w:rsid w:val="00A94617"/>
    <w:rsid w:val="00A960A6"/>
    <w:rsid w:val="00A97487"/>
    <w:rsid w:val="00A97C4C"/>
    <w:rsid w:val="00AA3701"/>
    <w:rsid w:val="00AA557B"/>
    <w:rsid w:val="00AA6AF9"/>
    <w:rsid w:val="00AB3D8A"/>
    <w:rsid w:val="00AB5216"/>
    <w:rsid w:val="00AB640C"/>
    <w:rsid w:val="00AB6FC1"/>
    <w:rsid w:val="00AC19CA"/>
    <w:rsid w:val="00AC1AF3"/>
    <w:rsid w:val="00AC1F16"/>
    <w:rsid w:val="00AC2C72"/>
    <w:rsid w:val="00AD0DE7"/>
    <w:rsid w:val="00AD2788"/>
    <w:rsid w:val="00AD2AD1"/>
    <w:rsid w:val="00AD6A7D"/>
    <w:rsid w:val="00AD74FA"/>
    <w:rsid w:val="00AE01B3"/>
    <w:rsid w:val="00AE0518"/>
    <w:rsid w:val="00AE5D7F"/>
    <w:rsid w:val="00AE5F74"/>
    <w:rsid w:val="00AF0C69"/>
    <w:rsid w:val="00AF2AAA"/>
    <w:rsid w:val="00AF62CB"/>
    <w:rsid w:val="00B10CDA"/>
    <w:rsid w:val="00B20832"/>
    <w:rsid w:val="00B228F9"/>
    <w:rsid w:val="00B31249"/>
    <w:rsid w:val="00B3302E"/>
    <w:rsid w:val="00B378FC"/>
    <w:rsid w:val="00B42E2F"/>
    <w:rsid w:val="00B45E73"/>
    <w:rsid w:val="00B50331"/>
    <w:rsid w:val="00B50FFB"/>
    <w:rsid w:val="00B52AEA"/>
    <w:rsid w:val="00B531CC"/>
    <w:rsid w:val="00B5500E"/>
    <w:rsid w:val="00B554D4"/>
    <w:rsid w:val="00B577AF"/>
    <w:rsid w:val="00B60A78"/>
    <w:rsid w:val="00B60AE7"/>
    <w:rsid w:val="00B62C15"/>
    <w:rsid w:val="00B65AB7"/>
    <w:rsid w:val="00B67E1A"/>
    <w:rsid w:val="00B76439"/>
    <w:rsid w:val="00B80432"/>
    <w:rsid w:val="00B81442"/>
    <w:rsid w:val="00B82C88"/>
    <w:rsid w:val="00B84364"/>
    <w:rsid w:val="00B85B69"/>
    <w:rsid w:val="00B873C3"/>
    <w:rsid w:val="00B876E1"/>
    <w:rsid w:val="00B90496"/>
    <w:rsid w:val="00BA10B1"/>
    <w:rsid w:val="00BA62D7"/>
    <w:rsid w:val="00BA67E4"/>
    <w:rsid w:val="00BA74E7"/>
    <w:rsid w:val="00BA7D68"/>
    <w:rsid w:val="00BB2706"/>
    <w:rsid w:val="00BC229B"/>
    <w:rsid w:val="00BC34F9"/>
    <w:rsid w:val="00BC40A3"/>
    <w:rsid w:val="00BD29B0"/>
    <w:rsid w:val="00BD2CD0"/>
    <w:rsid w:val="00BD51CC"/>
    <w:rsid w:val="00BD53D3"/>
    <w:rsid w:val="00BE2A66"/>
    <w:rsid w:val="00BE4275"/>
    <w:rsid w:val="00BE6B23"/>
    <w:rsid w:val="00BE6EE1"/>
    <w:rsid w:val="00BF222A"/>
    <w:rsid w:val="00BF7613"/>
    <w:rsid w:val="00C01A73"/>
    <w:rsid w:val="00C03D4C"/>
    <w:rsid w:val="00C05BD8"/>
    <w:rsid w:val="00C101B4"/>
    <w:rsid w:val="00C10A86"/>
    <w:rsid w:val="00C11209"/>
    <w:rsid w:val="00C115ED"/>
    <w:rsid w:val="00C20A7E"/>
    <w:rsid w:val="00C236BF"/>
    <w:rsid w:val="00C242F8"/>
    <w:rsid w:val="00C2436B"/>
    <w:rsid w:val="00C3139B"/>
    <w:rsid w:val="00C32030"/>
    <w:rsid w:val="00C321D1"/>
    <w:rsid w:val="00C32ADA"/>
    <w:rsid w:val="00C348CA"/>
    <w:rsid w:val="00C37492"/>
    <w:rsid w:val="00C40A39"/>
    <w:rsid w:val="00C4149A"/>
    <w:rsid w:val="00C50ECB"/>
    <w:rsid w:val="00C523E2"/>
    <w:rsid w:val="00C52737"/>
    <w:rsid w:val="00C63DB2"/>
    <w:rsid w:val="00C643B2"/>
    <w:rsid w:val="00C65B37"/>
    <w:rsid w:val="00C70906"/>
    <w:rsid w:val="00C73461"/>
    <w:rsid w:val="00C7498D"/>
    <w:rsid w:val="00C776FF"/>
    <w:rsid w:val="00C80602"/>
    <w:rsid w:val="00C817EB"/>
    <w:rsid w:val="00C82B34"/>
    <w:rsid w:val="00C913BB"/>
    <w:rsid w:val="00C91DE1"/>
    <w:rsid w:val="00C93A9D"/>
    <w:rsid w:val="00C95D77"/>
    <w:rsid w:val="00C97525"/>
    <w:rsid w:val="00CA1A1E"/>
    <w:rsid w:val="00CA6649"/>
    <w:rsid w:val="00CB411F"/>
    <w:rsid w:val="00CB7904"/>
    <w:rsid w:val="00CC2F6D"/>
    <w:rsid w:val="00CC32C7"/>
    <w:rsid w:val="00CC76A6"/>
    <w:rsid w:val="00CC7EC2"/>
    <w:rsid w:val="00CD0B76"/>
    <w:rsid w:val="00CD7687"/>
    <w:rsid w:val="00CE07F6"/>
    <w:rsid w:val="00CE6D8C"/>
    <w:rsid w:val="00CF15C4"/>
    <w:rsid w:val="00CF1E7D"/>
    <w:rsid w:val="00CF2B4E"/>
    <w:rsid w:val="00CF40BF"/>
    <w:rsid w:val="00CF5A06"/>
    <w:rsid w:val="00CF762B"/>
    <w:rsid w:val="00D00623"/>
    <w:rsid w:val="00D173C9"/>
    <w:rsid w:val="00D17778"/>
    <w:rsid w:val="00D20595"/>
    <w:rsid w:val="00D207F7"/>
    <w:rsid w:val="00D214FC"/>
    <w:rsid w:val="00D21C25"/>
    <w:rsid w:val="00D24F9C"/>
    <w:rsid w:val="00D303CD"/>
    <w:rsid w:val="00D31363"/>
    <w:rsid w:val="00D323BA"/>
    <w:rsid w:val="00D36E3E"/>
    <w:rsid w:val="00D42E0C"/>
    <w:rsid w:val="00D4647A"/>
    <w:rsid w:val="00D475DD"/>
    <w:rsid w:val="00D54BF8"/>
    <w:rsid w:val="00D65CD3"/>
    <w:rsid w:val="00D666CF"/>
    <w:rsid w:val="00D70B00"/>
    <w:rsid w:val="00D731BC"/>
    <w:rsid w:val="00D77B53"/>
    <w:rsid w:val="00D82D5E"/>
    <w:rsid w:val="00D830A9"/>
    <w:rsid w:val="00D90BC6"/>
    <w:rsid w:val="00DA06BA"/>
    <w:rsid w:val="00DA1FCD"/>
    <w:rsid w:val="00DA2A6A"/>
    <w:rsid w:val="00DA3194"/>
    <w:rsid w:val="00DA3868"/>
    <w:rsid w:val="00DA566B"/>
    <w:rsid w:val="00DB0676"/>
    <w:rsid w:val="00DB1F6F"/>
    <w:rsid w:val="00DB2010"/>
    <w:rsid w:val="00DB752A"/>
    <w:rsid w:val="00DC374F"/>
    <w:rsid w:val="00DC6A84"/>
    <w:rsid w:val="00DC7FEC"/>
    <w:rsid w:val="00DD44BC"/>
    <w:rsid w:val="00DD51BB"/>
    <w:rsid w:val="00DD6FCF"/>
    <w:rsid w:val="00DE3F15"/>
    <w:rsid w:val="00DF08BF"/>
    <w:rsid w:val="00DF0D33"/>
    <w:rsid w:val="00E00138"/>
    <w:rsid w:val="00E006A9"/>
    <w:rsid w:val="00E00E86"/>
    <w:rsid w:val="00E075AD"/>
    <w:rsid w:val="00E0797F"/>
    <w:rsid w:val="00E11381"/>
    <w:rsid w:val="00E278AF"/>
    <w:rsid w:val="00E30EA5"/>
    <w:rsid w:val="00E32C6B"/>
    <w:rsid w:val="00E418C1"/>
    <w:rsid w:val="00E45E95"/>
    <w:rsid w:val="00E52DB0"/>
    <w:rsid w:val="00E57A8E"/>
    <w:rsid w:val="00E57B6E"/>
    <w:rsid w:val="00E57E3C"/>
    <w:rsid w:val="00E61AA0"/>
    <w:rsid w:val="00E631DD"/>
    <w:rsid w:val="00E7246A"/>
    <w:rsid w:val="00E76DCB"/>
    <w:rsid w:val="00E806A4"/>
    <w:rsid w:val="00E8443B"/>
    <w:rsid w:val="00E92C82"/>
    <w:rsid w:val="00E97CB1"/>
    <w:rsid w:val="00EA15AD"/>
    <w:rsid w:val="00EA5DA5"/>
    <w:rsid w:val="00EA6DDE"/>
    <w:rsid w:val="00EB1785"/>
    <w:rsid w:val="00EB228F"/>
    <w:rsid w:val="00EB28AA"/>
    <w:rsid w:val="00EB43BF"/>
    <w:rsid w:val="00EB6B17"/>
    <w:rsid w:val="00EC15FE"/>
    <w:rsid w:val="00EC2D1F"/>
    <w:rsid w:val="00ED23A3"/>
    <w:rsid w:val="00ED3AE2"/>
    <w:rsid w:val="00EE2B3F"/>
    <w:rsid w:val="00EE4E11"/>
    <w:rsid w:val="00EE74F1"/>
    <w:rsid w:val="00EE78A1"/>
    <w:rsid w:val="00EE7919"/>
    <w:rsid w:val="00EF10B9"/>
    <w:rsid w:val="00EF691E"/>
    <w:rsid w:val="00F03364"/>
    <w:rsid w:val="00F07FD9"/>
    <w:rsid w:val="00F16CA5"/>
    <w:rsid w:val="00F20764"/>
    <w:rsid w:val="00F36764"/>
    <w:rsid w:val="00F4157F"/>
    <w:rsid w:val="00F4470A"/>
    <w:rsid w:val="00F465C1"/>
    <w:rsid w:val="00F47D38"/>
    <w:rsid w:val="00F512E0"/>
    <w:rsid w:val="00F52DA3"/>
    <w:rsid w:val="00F530D8"/>
    <w:rsid w:val="00F54D8B"/>
    <w:rsid w:val="00F553C4"/>
    <w:rsid w:val="00F56532"/>
    <w:rsid w:val="00F56C53"/>
    <w:rsid w:val="00F57106"/>
    <w:rsid w:val="00F634F5"/>
    <w:rsid w:val="00F649E4"/>
    <w:rsid w:val="00F662BA"/>
    <w:rsid w:val="00F6646F"/>
    <w:rsid w:val="00F67429"/>
    <w:rsid w:val="00F719E2"/>
    <w:rsid w:val="00F76BBC"/>
    <w:rsid w:val="00F77067"/>
    <w:rsid w:val="00F776A1"/>
    <w:rsid w:val="00F80585"/>
    <w:rsid w:val="00F80F46"/>
    <w:rsid w:val="00F822CF"/>
    <w:rsid w:val="00F82766"/>
    <w:rsid w:val="00F8536B"/>
    <w:rsid w:val="00F971A9"/>
    <w:rsid w:val="00F97FA6"/>
    <w:rsid w:val="00FA0805"/>
    <w:rsid w:val="00FA35E1"/>
    <w:rsid w:val="00FA62EB"/>
    <w:rsid w:val="00FB10D3"/>
    <w:rsid w:val="00FB307D"/>
    <w:rsid w:val="00FB410B"/>
    <w:rsid w:val="00FB5827"/>
    <w:rsid w:val="00FB7674"/>
    <w:rsid w:val="00FC3F40"/>
    <w:rsid w:val="00FC414F"/>
    <w:rsid w:val="00FC4A92"/>
    <w:rsid w:val="00FD2D3A"/>
    <w:rsid w:val="00FD66B3"/>
    <w:rsid w:val="00FE2D05"/>
    <w:rsid w:val="00FE3E72"/>
    <w:rsid w:val="00FE5F49"/>
    <w:rsid w:val="00FE6ECE"/>
    <w:rsid w:val="00FF4DBC"/>
    <w:rsid w:val="00FF62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B8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EC2"/>
    <w:pPr>
      <w:spacing w:after="0"/>
    </w:pPr>
    <w:rPr>
      <w:rFonts w:ascii="Arial" w:hAnsi="Arial" w:cs="Arial"/>
      <w:sz w:val="24"/>
      <w:szCs w:val="24"/>
      <w:lang w:eastAsia="en-GB"/>
    </w:rPr>
  </w:style>
  <w:style w:type="paragraph" w:styleId="Heading1">
    <w:name w:val="heading 1"/>
    <w:basedOn w:val="Normal"/>
    <w:next w:val="Normal"/>
    <w:link w:val="Heading1Char"/>
    <w:qFormat/>
    <w:rsid w:val="001133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D3873"/>
    <w:pPr>
      <w:keepNext/>
      <w:keepLines/>
      <w:numPr>
        <w:numId w:val="12"/>
      </w:numPr>
      <w:spacing w:before="20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Normal"/>
    <w:link w:val="Heading3Char"/>
    <w:unhideWhenUsed/>
    <w:qFormat/>
    <w:rsid w:val="0010783E"/>
    <w:pPr>
      <w:keepNext/>
      <w:keepLines/>
      <w:spacing w:before="200"/>
      <w:outlineLvl w:val="2"/>
    </w:pPr>
    <w:rPr>
      <w:rFonts w:asciiTheme="majorHAnsi" w:eastAsia="Times New Roman" w:hAnsiTheme="majorHAnsi" w:cstheme="majorBidi"/>
      <w:b/>
      <w:bCs/>
      <w:color w:val="4F81BD" w:themeColor="accent1"/>
      <w:sz w:val="28"/>
      <w:szCs w:val="28"/>
    </w:rPr>
  </w:style>
  <w:style w:type="paragraph" w:styleId="Heading4">
    <w:name w:val="heading 4"/>
    <w:basedOn w:val="Normal"/>
    <w:next w:val="Normal"/>
    <w:link w:val="Heading4Char"/>
    <w:unhideWhenUsed/>
    <w:qFormat/>
    <w:rsid w:val="00736E9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301C4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264C50"/>
    <w:pPr>
      <w:outlineLvl w:val="5"/>
    </w:pPr>
    <w:rPr>
      <w:b/>
    </w:rPr>
  </w:style>
  <w:style w:type="paragraph" w:styleId="Heading7">
    <w:name w:val="heading 7"/>
    <w:basedOn w:val="Normal"/>
    <w:next w:val="Normal"/>
    <w:link w:val="Heading7Char"/>
    <w:unhideWhenUsed/>
    <w:qFormat/>
    <w:rsid w:val="00475018"/>
    <w:pPr>
      <w:keepNext/>
      <w:spacing w:line="240" w:lineRule="auto"/>
      <w:outlineLvl w:val="6"/>
    </w:pPr>
    <w:rPr>
      <w:rFonts w:eastAsia="Times New Roman"/>
      <w:b/>
      <w:bCs/>
      <w:i/>
      <w:iCs/>
      <w:szCs w:val="18"/>
    </w:rPr>
  </w:style>
  <w:style w:type="paragraph" w:styleId="Heading8">
    <w:name w:val="heading 8"/>
    <w:basedOn w:val="Normal"/>
    <w:next w:val="Normal"/>
    <w:link w:val="Heading8Char"/>
    <w:unhideWhenUsed/>
    <w:qFormat/>
    <w:rsid w:val="00986D5B"/>
    <w:pPr>
      <w:spacing w:before="240" w:after="60" w:line="240" w:lineRule="auto"/>
      <w:outlineLvl w:val="7"/>
    </w:pPr>
    <w:rPr>
      <w:rFonts w:ascii="Times New Roman" w:eastAsia="Times New Roman" w:hAnsi="Times New Roman" w:cs="Times New Roman"/>
      <w:i/>
      <w:iCs/>
    </w:rPr>
  </w:style>
  <w:style w:type="paragraph" w:styleId="Heading9">
    <w:name w:val="heading 9"/>
    <w:basedOn w:val="Normal"/>
    <w:next w:val="Normal"/>
    <w:link w:val="Heading9Char"/>
    <w:unhideWhenUsed/>
    <w:qFormat/>
    <w:rsid w:val="00986D5B"/>
    <w:pPr>
      <w:spacing w:before="240" w:after="60" w:line="240" w:lineRule="auto"/>
      <w:outlineLvl w:val="8"/>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43B2"/>
    <w:rPr>
      <w:color w:val="0000FF" w:themeColor="hyperlink"/>
      <w:u w:val="single"/>
    </w:rPr>
  </w:style>
  <w:style w:type="character" w:styleId="Strong">
    <w:name w:val="Strong"/>
    <w:basedOn w:val="DefaultParagraphFont"/>
    <w:uiPriority w:val="22"/>
    <w:qFormat/>
    <w:rsid w:val="00C643B2"/>
    <w:rPr>
      <w:b/>
      <w:bCs/>
    </w:rPr>
  </w:style>
  <w:style w:type="paragraph" w:styleId="Caption">
    <w:name w:val="caption"/>
    <w:basedOn w:val="Normal"/>
    <w:next w:val="Normal"/>
    <w:uiPriority w:val="35"/>
    <w:unhideWhenUsed/>
    <w:qFormat/>
    <w:rsid w:val="00AC2C72"/>
    <w:pPr>
      <w:keepNext/>
      <w:spacing w:after="200" w:line="240" w:lineRule="auto"/>
    </w:pPr>
    <w:rPr>
      <w:b/>
      <w:bCs/>
      <w:color w:val="4F81BD" w:themeColor="accent1"/>
      <w:sz w:val="22"/>
    </w:rPr>
  </w:style>
  <w:style w:type="paragraph" w:styleId="BalloonText">
    <w:name w:val="Balloon Text"/>
    <w:basedOn w:val="Normal"/>
    <w:link w:val="BalloonTextChar"/>
    <w:semiHidden/>
    <w:unhideWhenUsed/>
    <w:rsid w:val="00C643B2"/>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643B2"/>
    <w:rPr>
      <w:rFonts w:ascii="Tahoma" w:hAnsi="Tahoma" w:cs="Tahoma"/>
      <w:sz w:val="16"/>
      <w:szCs w:val="16"/>
    </w:rPr>
  </w:style>
  <w:style w:type="paragraph" w:styleId="ListParagraph">
    <w:name w:val="List Paragraph"/>
    <w:basedOn w:val="Normal"/>
    <w:uiPriority w:val="34"/>
    <w:qFormat/>
    <w:rsid w:val="001D03C8"/>
    <w:pPr>
      <w:ind w:left="720"/>
      <w:contextualSpacing/>
    </w:pPr>
  </w:style>
  <w:style w:type="character" w:styleId="CommentReference">
    <w:name w:val="annotation reference"/>
    <w:basedOn w:val="DefaultParagraphFont"/>
    <w:uiPriority w:val="99"/>
    <w:semiHidden/>
    <w:unhideWhenUsed/>
    <w:rsid w:val="001C3761"/>
    <w:rPr>
      <w:sz w:val="16"/>
      <w:szCs w:val="16"/>
    </w:rPr>
  </w:style>
  <w:style w:type="paragraph" w:styleId="CommentText">
    <w:name w:val="annotation text"/>
    <w:basedOn w:val="Normal"/>
    <w:link w:val="CommentTextChar"/>
    <w:uiPriority w:val="99"/>
    <w:unhideWhenUsed/>
    <w:rsid w:val="001C3761"/>
    <w:pPr>
      <w:spacing w:line="240" w:lineRule="auto"/>
    </w:pPr>
    <w:rPr>
      <w:sz w:val="20"/>
      <w:szCs w:val="20"/>
    </w:rPr>
  </w:style>
  <w:style w:type="character" w:customStyle="1" w:styleId="CommentTextChar">
    <w:name w:val="Comment Text Char"/>
    <w:basedOn w:val="DefaultParagraphFont"/>
    <w:link w:val="CommentText"/>
    <w:uiPriority w:val="99"/>
    <w:rsid w:val="001C3761"/>
    <w:rPr>
      <w:rFonts w:ascii="Arial" w:hAnsi="Arial" w:cs="Arial"/>
      <w:sz w:val="20"/>
      <w:szCs w:val="20"/>
    </w:rPr>
  </w:style>
  <w:style w:type="paragraph" w:styleId="CommentSubject">
    <w:name w:val="annotation subject"/>
    <w:basedOn w:val="CommentText"/>
    <w:next w:val="CommentText"/>
    <w:link w:val="CommentSubjectChar"/>
    <w:semiHidden/>
    <w:unhideWhenUsed/>
    <w:rsid w:val="001C3761"/>
    <w:rPr>
      <w:b/>
      <w:bCs/>
    </w:rPr>
  </w:style>
  <w:style w:type="character" w:customStyle="1" w:styleId="CommentSubjectChar">
    <w:name w:val="Comment Subject Char"/>
    <w:basedOn w:val="CommentTextChar"/>
    <w:link w:val="CommentSubject"/>
    <w:semiHidden/>
    <w:rsid w:val="001C3761"/>
    <w:rPr>
      <w:rFonts w:ascii="Arial" w:hAnsi="Arial" w:cs="Arial"/>
      <w:b/>
      <w:bCs/>
      <w:sz w:val="20"/>
      <w:szCs w:val="20"/>
    </w:rPr>
  </w:style>
  <w:style w:type="paragraph" w:styleId="Revision">
    <w:name w:val="Revision"/>
    <w:hidden/>
    <w:uiPriority w:val="99"/>
    <w:semiHidden/>
    <w:rsid w:val="001C3761"/>
    <w:pPr>
      <w:spacing w:after="0" w:line="240" w:lineRule="auto"/>
    </w:pPr>
    <w:rPr>
      <w:rFonts w:ascii="Arial" w:hAnsi="Arial" w:cs="Arial"/>
      <w:sz w:val="24"/>
    </w:rPr>
  </w:style>
  <w:style w:type="paragraph" w:styleId="EndnoteText">
    <w:name w:val="endnote text"/>
    <w:basedOn w:val="Normal"/>
    <w:link w:val="EndnoteTextChar"/>
    <w:uiPriority w:val="99"/>
    <w:unhideWhenUsed/>
    <w:rsid w:val="00286093"/>
    <w:pPr>
      <w:spacing w:line="240" w:lineRule="auto"/>
    </w:pPr>
    <w:rPr>
      <w:sz w:val="20"/>
      <w:szCs w:val="20"/>
    </w:rPr>
  </w:style>
  <w:style w:type="character" w:customStyle="1" w:styleId="EndnoteTextChar">
    <w:name w:val="Endnote Text Char"/>
    <w:basedOn w:val="DefaultParagraphFont"/>
    <w:link w:val="EndnoteText"/>
    <w:uiPriority w:val="99"/>
    <w:rsid w:val="00286093"/>
    <w:rPr>
      <w:rFonts w:ascii="Arial" w:hAnsi="Arial" w:cs="Arial"/>
      <w:sz w:val="20"/>
      <w:szCs w:val="20"/>
    </w:rPr>
  </w:style>
  <w:style w:type="character" w:styleId="EndnoteReference">
    <w:name w:val="endnote reference"/>
    <w:basedOn w:val="DefaultParagraphFont"/>
    <w:uiPriority w:val="99"/>
    <w:semiHidden/>
    <w:unhideWhenUsed/>
    <w:rsid w:val="00286093"/>
    <w:rPr>
      <w:vertAlign w:val="superscript"/>
    </w:rPr>
  </w:style>
  <w:style w:type="paragraph" w:styleId="FootnoteText">
    <w:name w:val="footnote text"/>
    <w:basedOn w:val="Normal"/>
    <w:link w:val="FootnoteTextChar"/>
    <w:uiPriority w:val="99"/>
    <w:unhideWhenUsed/>
    <w:rsid w:val="00286093"/>
    <w:pPr>
      <w:spacing w:line="240" w:lineRule="auto"/>
    </w:pPr>
    <w:rPr>
      <w:sz w:val="20"/>
      <w:szCs w:val="20"/>
    </w:rPr>
  </w:style>
  <w:style w:type="character" w:customStyle="1" w:styleId="FootnoteTextChar">
    <w:name w:val="Footnote Text Char"/>
    <w:basedOn w:val="DefaultParagraphFont"/>
    <w:link w:val="FootnoteText"/>
    <w:uiPriority w:val="99"/>
    <w:rsid w:val="00286093"/>
    <w:rPr>
      <w:rFonts w:ascii="Arial" w:hAnsi="Arial" w:cs="Arial"/>
      <w:sz w:val="20"/>
      <w:szCs w:val="20"/>
    </w:rPr>
  </w:style>
  <w:style w:type="character" w:styleId="FootnoteReference">
    <w:name w:val="footnote reference"/>
    <w:basedOn w:val="DefaultParagraphFont"/>
    <w:uiPriority w:val="99"/>
    <w:semiHidden/>
    <w:unhideWhenUsed/>
    <w:rsid w:val="00286093"/>
    <w:rPr>
      <w:vertAlign w:val="superscript"/>
    </w:rPr>
  </w:style>
  <w:style w:type="character" w:customStyle="1" w:styleId="Heading1Char">
    <w:name w:val="Heading 1 Char"/>
    <w:basedOn w:val="DefaultParagraphFont"/>
    <w:link w:val="Heading1"/>
    <w:rsid w:val="0011339F"/>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rsid w:val="009D3873"/>
    <w:rPr>
      <w:rFonts w:asciiTheme="majorHAnsi" w:eastAsiaTheme="majorEastAsia" w:hAnsiTheme="majorHAnsi" w:cstheme="majorBidi"/>
      <w:b/>
      <w:bCs/>
      <w:color w:val="4F81BD" w:themeColor="accent1"/>
      <w:sz w:val="32"/>
      <w:szCs w:val="32"/>
      <w:lang w:eastAsia="en-GB"/>
    </w:rPr>
  </w:style>
  <w:style w:type="character" w:customStyle="1" w:styleId="apple-converted-space">
    <w:name w:val="apple-converted-space"/>
    <w:basedOn w:val="DefaultParagraphFont"/>
    <w:rsid w:val="0011339F"/>
  </w:style>
  <w:style w:type="character" w:styleId="HTMLCite">
    <w:name w:val="HTML Cite"/>
    <w:basedOn w:val="DefaultParagraphFont"/>
    <w:uiPriority w:val="99"/>
    <w:semiHidden/>
    <w:unhideWhenUsed/>
    <w:rsid w:val="0011339F"/>
    <w:rPr>
      <w:i/>
      <w:iCs/>
    </w:rPr>
  </w:style>
  <w:style w:type="character" w:customStyle="1" w:styleId="Heading3Char">
    <w:name w:val="Heading 3 Char"/>
    <w:basedOn w:val="DefaultParagraphFont"/>
    <w:link w:val="Heading3"/>
    <w:rsid w:val="0010783E"/>
    <w:rPr>
      <w:rFonts w:asciiTheme="majorHAnsi" w:eastAsia="Times New Roman" w:hAnsiTheme="majorHAnsi" w:cstheme="majorBidi"/>
      <w:b/>
      <w:bCs/>
      <w:color w:val="4F81BD" w:themeColor="accent1"/>
      <w:sz w:val="28"/>
      <w:szCs w:val="28"/>
      <w:lang w:eastAsia="en-GB"/>
    </w:rPr>
  </w:style>
  <w:style w:type="character" w:customStyle="1" w:styleId="Heading4Char">
    <w:name w:val="Heading 4 Char"/>
    <w:basedOn w:val="DefaultParagraphFont"/>
    <w:link w:val="Heading4"/>
    <w:rsid w:val="00736E93"/>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rsid w:val="00301C45"/>
    <w:rPr>
      <w:rFonts w:asciiTheme="majorHAnsi" w:eastAsiaTheme="majorEastAsia" w:hAnsiTheme="majorHAnsi" w:cstheme="majorBidi"/>
      <w:color w:val="243F60" w:themeColor="accent1" w:themeShade="7F"/>
      <w:sz w:val="24"/>
    </w:rPr>
  </w:style>
  <w:style w:type="paragraph" w:styleId="NormalWeb">
    <w:name w:val="Normal (Web)"/>
    <w:basedOn w:val="Normal"/>
    <w:uiPriority w:val="99"/>
    <w:unhideWhenUsed/>
    <w:rsid w:val="00245081"/>
    <w:pPr>
      <w:spacing w:before="100" w:beforeAutospacing="1" w:after="100" w:afterAutospacing="1" w:line="240" w:lineRule="auto"/>
    </w:pPr>
    <w:rPr>
      <w:rFonts w:ascii="Times New Roman" w:eastAsia="Times New Roman" w:hAnsi="Times New Roman" w:cs="Times New Roman"/>
    </w:rPr>
  </w:style>
  <w:style w:type="paragraph" w:styleId="TOCHeading">
    <w:name w:val="TOC Heading"/>
    <w:basedOn w:val="Heading1"/>
    <w:next w:val="Normal"/>
    <w:uiPriority w:val="39"/>
    <w:unhideWhenUsed/>
    <w:qFormat/>
    <w:rsid w:val="008C7845"/>
    <w:pPr>
      <w:outlineLvl w:val="9"/>
    </w:pPr>
    <w:rPr>
      <w:lang w:val="en-US" w:eastAsia="ja-JP"/>
    </w:rPr>
  </w:style>
  <w:style w:type="paragraph" w:styleId="TOC1">
    <w:name w:val="toc 1"/>
    <w:basedOn w:val="Normal"/>
    <w:next w:val="Normal"/>
    <w:autoRedefine/>
    <w:uiPriority w:val="39"/>
    <w:unhideWhenUsed/>
    <w:rsid w:val="008C7845"/>
    <w:pPr>
      <w:spacing w:after="100"/>
    </w:pPr>
  </w:style>
  <w:style w:type="paragraph" w:styleId="TOC2">
    <w:name w:val="toc 2"/>
    <w:basedOn w:val="Normal"/>
    <w:next w:val="Normal"/>
    <w:autoRedefine/>
    <w:uiPriority w:val="39"/>
    <w:unhideWhenUsed/>
    <w:rsid w:val="008C7845"/>
    <w:pPr>
      <w:spacing w:after="100"/>
      <w:ind w:left="240"/>
    </w:pPr>
  </w:style>
  <w:style w:type="paragraph" w:styleId="TOC3">
    <w:name w:val="toc 3"/>
    <w:basedOn w:val="Normal"/>
    <w:next w:val="Normal"/>
    <w:autoRedefine/>
    <w:uiPriority w:val="39"/>
    <w:unhideWhenUsed/>
    <w:rsid w:val="008C7845"/>
    <w:pPr>
      <w:spacing w:after="100"/>
      <w:ind w:left="480"/>
    </w:pPr>
  </w:style>
  <w:style w:type="paragraph" w:customStyle="1" w:styleId="matrixnormaltext">
    <w:name w:val="matrix_normal text"/>
    <w:rsid w:val="00C523E2"/>
    <w:pPr>
      <w:spacing w:after="0" w:line="280" w:lineRule="exact"/>
    </w:pPr>
    <w:rPr>
      <w:rFonts w:ascii="Arial" w:eastAsia="Times New Roman" w:hAnsi="Arial" w:cs="Times New Roman"/>
      <w:color w:val="000000"/>
      <w:sz w:val="20"/>
      <w:szCs w:val="20"/>
    </w:rPr>
  </w:style>
  <w:style w:type="paragraph" w:customStyle="1" w:styleId="matrixheaderfooter">
    <w:name w:val="matrix_header/footer"/>
    <w:basedOn w:val="Normal"/>
    <w:rsid w:val="006967AE"/>
    <w:pPr>
      <w:spacing w:line="280" w:lineRule="exact"/>
    </w:pPr>
    <w:rPr>
      <w:rFonts w:eastAsia="Times New Roman" w:cs="Times New Roman"/>
      <w:color w:val="000000"/>
      <w:sz w:val="16"/>
      <w:szCs w:val="20"/>
    </w:rPr>
  </w:style>
  <w:style w:type="character" w:customStyle="1" w:styleId="Heading6Char">
    <w:name w:val="Heading 6 Char"/>
    <w:basedOn w:val="DefaultParagraphFont"/>
    <w:link w:val="Heading6"/>
    <w:rsid w:val="00264C50"/>
    <w:rPr>
      <w:rFonts w:ascii="Arial" w:hAnsi="Arial" w:cs="Arial"/>
      <w:b/>
      <w:sz w:val="24"/>
      <w:szCs w:val="24"/>
    </w:rPr>
  </w:style>
  <w:style w:type="character" w:customStyle="1" w:styleId="Heading7Char">
    <w:name w:val="Heading 7 Char"/>
    <w:basedOn w:val="DefaultParagraphFont"/>
    <w:link w:val="Heading7"/>
    <w:rsid w:val="00475018"/>
    <w:rPr>
      <w:rFonts w:ascii="Arial" w:eastAsia="Times New Roman" w:hAnsi="Arial" w:cs="Arial"/>
      <w:b/>
      <w:bCs/>
      <w:i/>
      <w:iCs/>
      <w:sz w:val="24"/>
      <w:szCs w:val="18"/>
      <w:lang w:eastAsia="en-GB"/>
    </w:rPr>
  </w:style>
  <w:style w:type="character" w:customStyle="1" w:styleId="Heading8Char">
    <w:name w:val="Heading 8 Char"/>
    <w:basedOn w:val="DefaultParagraphFont"/>
    <w:link w:val="Heading8"/>
    <w:rsid w:val="00986D5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6D5B"/>
    <w:rPr>
      <w:rFonts w:ascii="Times New Roman" w:eastAsia="Times New Roman" w:hAnsi="Times New Roman" w:cs="Arial"/>
    </w:rPr>
  </w:style>
  <w:style w:type="character" w:styleId="FollowedHyperlink">
    <w:name w:val="FollowedHyperlink"/>
    <w:semiHidden/>
    <w:unhideWhenUsed/>
    <w:rsid w:val="00986D5B"/>
    <w:rPr>
      <w:color w:val="800080"/>
      <w:u w:val="single"/>
    </w:rPr>
  </w:style>
  <w:style w:type="paragraph" w:styleId="TOC4">
    <w:name w:val="toc 4"/>
    <w:basedOn w:val="Normal"/>
    <w:next w:val="Normal"/>
    <w:autoRedefine/>
    <w:semiHidden/>
    <w:unhideWhenUsed/>
    <w:rsid w:val="00986D5B"/>
    <w:pPr>
      <w:spacing w:line="240" w:lineRule="auto"/>
      <w:ind w:left="600"/>
    </w:pPr>
    <w:rPr>
      <w:rFonts w:ascii="Times New Roman" w:eastAsia="Times New Roman" w:hAnsi="Times New Roman" w:cs="Times New Roman"/>
      <w:sz w:val="20"/>
      <w:szCs w:val="20"/>
    </w:rPr>
  </w:style>
  <w:style w:type="paragraph" w:styleId="TOC5">
    <w:name w:val="toc 5"/>
    <w:basedOn w:val="Normal"/>
    <w:next w:val="Normal"/>
    <w:autoRedefine/>
    <w:semiHidden/>
    <w:unhideWhenUsed/>
    <w:rsid w:val="00986D5B"/>
    <w:pPr>
      <w:spacing w:line="240" w:lineRule="auto"/>
      <w:ind w:left="800"/>
    </w:pPr>
    <w:rPr>
      <w:rFonts w:ascii="Times New Roman" w:eastAsia="Times New Roman" w:hAnsi="Times New Roman" w:cs="Times New Roman"/>
      <w:sz w:val="20"/>
      <w:szCs w:val="20"/>
    </w:rPr>
  </w:style>
  <w:style w:type="paragraph" w:styleId="TOC6">
    <w:name w:val="toc 6"/>
    <w:basedOn w:val="Normal"/>
    <w:next w:val="Normal"/>
    <w:autoRedefine/>
    <w:semiHidden/>
    <w:unhideWhenUsed/>
    <w:rsid w:val="00986D5B"/>
    <w:pPr>
      <w:spacing w:line="240" w:lineRule="auto"/>
      <w:ind w:left="1000"/>
    </w:pPr>
    <w:rPr>
      <w:rFonts w:ascii="Times New Roman" w:eastAsia="Times New Roman" w:hAnsi="Times New Roman" w:cs="Times New Roman"/>
      <w:sz w:val="20"/>
      <w:szCs w:val="20"/>
    </w:rPr>
  </w:style>
  <w:style w:type="paragraph" w:styleId="TOC7">
    <w:name w:val="toc 7"/>
    <w:basedOn w:val="Normal"/>
    <w:next w:val="Normal"/>
    <w:autoRedefine/>
    <w:semiHidden/>
    <w:unhideWhenUsed/>
    <w:rsid w:val="00986D5B"/>
    <w:pPr>
      <w:spacing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semiHidden/>
    <w:unhideWhenUsed/>
    <w:rsid w:val="00986D5B"/>
    <w:pPr>
      <w:spacing w:line="240" w:lineRule="auto"/>
      <w:ind w:left="1400"/>
    </w:pPr>
    <w:rPr>
      <w:rFonts w:ascii="Times New Roman" w:eastAsia="Times New Roman" w:hAnsi="Times New Roman" w:cs="Times New Roman"/>
      <w:sz w:val="20"/>
      <w:szCs w:val="20"/>
    </w:rPr>
  </w:style>
  <w:style w:type="paragraph" w:styleId="TOC9">
    <w:name w:val="toc 9"/>
    <w:basedOn w:val="Normal"/>
    <w:next w:val="Normal"/>
    <w:autoRedefine/>
    <w:semiHidden/>
    <w:unhideWhenUsed/>
    <w:rsid w:val="00986D5B"/>
    <w:pPr>
      <w:spacing w:line="240" w:lineRule="auto"/>
      <w:ind w:left="1600"/>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86D5B"/>
    <w:pPr>
      <w:tabs>
        <w:tab w:val="center" w:pos="4153"/>
        <w:tab w:val="right" w:pos="8306"/>
      </w:tabs>
      <w:spacing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986D5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86D5B"/>
    <w:pPr>
      <w:tabs>
        <w:tab w:val="center" w:pos="4153"/>
        <w:tab w:val="right" w:pos="8306"/>
      </w:tabs>
      <w:spacing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986D5B"/>
    <w:rPr>
      <w:rFonts w:ascii="Times New Roman" w:eastAsia="Times New Roman" w:hAnsi="Times New Roman" w:cs="Times New Roman"/>
      <w:sz w:val="20"/>
      <w:szCs w:val="20"/>
    </w:rPr>
  </w:style>
  <w:style w:type="paragraph" w:styleId="ListBullet">
    <w:name w:val="List Bullet"/>
    <w:basedOn w:val="Normal"/>
    <w:autoRedefine/>
    <w:semiHidden/>
    <w:unhideWhenUsed/>
    <w:rsid w:val="00986D5B"/>
    <w:pPr>
      <w:numPr>
        <w:numId w:val="22"/>
      </w:numPr>
      <w:spacing w:line="240" w:lineRule="auto"/>
    </w:pPr>
    <w:rPr>
      <w:rFonts w:ascii="Times New Roman" w:eastAsia="Times New Roman" w:hAnsi="Times New Roman" w:cs="Times New Roman"/>
      <w:sz w:val="20"/>
      <w:szCs w:val="20"/>
    </w:rPr>
  </w:style>
  <w:style w:type="paragraph" w:styleId="BodyText">
    <w:name w:val="Body Text"/>
    <w:basedOn w:val="Normal"/>
    <w:link w:val="BodyTextChar"/>
    <w:semiHidden/>
    <w:unhideWhenUsed/>
    <w:rsid w:val="00986D5B"/>
    <w:pPr>
      <w:spacing w:line="240" w:lineRule="auto"/>
    </w:pPr>
    <w:rPr>
      <w:rFonts w:eastAsia="Times New Roman"/>
      <w:sz w:val="20"/>
    </w:rPr>
  </w:style>
  <w:style w:type="character" w:customStyle="1" w:styleId="BodyTextChar">
    <w:name w:val="Body Text Char"/>
    <w:basedOn w:val="DefaultParagraphFont"/>
    <w:link w:val="BodyText"/>
    <w:semiHidden/>
    <w:rsid w:val="00986D5B"/>
    <w:rPr>
      <w:rFonts w:ascii="Arial" w:eastAsia="Times New Roman" w:hAnsi="Arial" w:cs="Arial"/>
      <w:sz w:val="20"/>
      <w:szCs w:val="24"/>
    </w:rPr>
  </w:style>
  <w:style w:type="paragraph" w:styleId="BodyText2">
    <w:name w:val="Body Text 2"/>
    <w:basedOn w:val="Normal"/>
    <w:link w:val="BodyText2Char"/>
    <w:semiHidden/>
    <w:unhideWhenUsed/>
    <w:rsid w:val="00986D5B"/>
    <w:pPr>
      <w:spacing w:line="240" w:lineRule="auto"/>
    </w:pPr>
    <w:rPr>
      <w:rFonts w:eastAsia="Times New Roman"/>
      <w:szCs w:val="20"/>
    </w:rPr>
  </w:style>
  <w:style w:type="character" w:customStyle="1" w:styleId="BodyText2Char">
    <w:name w:val="Body Text 2 Char"/>
    <w:basedOn w:val="DefaultParagraphFont"/>
    <w:link w:val="BodyText2"/>
    <w:semiHidden/>
    <w:rsid w:val="00986D5B"/>
    <w:rPr>
      <w:rFonts w:ascii="Arial" w:eastAsia="Times New Roman" w:hAnsi="Arial" w:cs="Arial"/>
      <w:sz w:val="24"/>
      <w:szCs w:val="20"/>
    </w:rPr>
  </w:style>
  <w:style w:type="paragraph" w:styleId="BodyText3">
    <w:name w:val="Body Text 3"/>
    <w:basedOn w:val="Normal"/>
    <w:link w:val="BodyText3Char"/>
    <w:semiHidden/>
    <w:unhideWhenUsed/>
    <w:rsid w:val="00986D5B"/>
    <w:pPr>
      <w:spacing w:line="240" w:lineRule="auto"/>
    </w:pPr>
    <w:rPr>
      <w:rFonts w:eastAsia="Times New Roman"/>
      <w:sz w:val="22"/>
    </w:rPr>
  </w:style>
  <w:style w:type="character" w:customStyle="1" w:styleId="BodyText3Char">
    <w:name w:val="Body Text 3 Char"/>
    <w:basedOn w:val="DefaultParagraphFont"/>
    <w:link w:val="BodyText3"/>
    <w:semiHidden/>
    <w:rsid w:val="00986D5B"/>
    <w:rPr>
      <w:rFonts w:ascii="Arial" w:eastAsia="Times New Roman" w:hAnsi="Arial" w:cs="Arial"/>
      <w:szCs w:val="24"/>
    </w:rPr>
  </w:style>
  <w:style w:type="paragraph" w:styleId="BodyTextIndent2">
    <w:name w:val="Body Text Indent 2"/>
    <w:basedOn w:val="Normal"/>
    <w:link w:val="BodyTextIndent2Char"/>
    <w:semiHidden/>
    <w:unhideWhenUsed/>
    <w:rsid w:val="00986D5B"/>
    <w:pPr>
      <w:tabs>
        <w:tab w:val="right" w:pos="360"/>
        <w:tab w:val="left" w:pos="540"/>
      </w:tabs>
      <w:autoSpaceDE w:val="0"/>
      <w:autoSpaceDN w:val="0"/>
      <w:adjustRightInd w:val="0"/>
      <w:spacing w:after="240" w:line="240" w:lineRule="auto"/>
      <w:ind w:left="90"/>
    </w:pPr>
    <w:rPr>
      <w:rFonts w:ascii="Times New Roman" w:eastAsia="Times New Roman" w:hAnsi="Times New Roman" w:cs="Times New Roman"/>
      <w:lang w:val="en-US"/>
    </w:rPr>
  </w:style>
  <w:style w:type="character" w:customStyle="1" w:styleId="BodyTextIndent2Char">
    <w:name w:val="Body Text Indent 2 Char"/>
    <w:basedOn w:val="DefaultParagraphFont"/>
    <w:link w:val="BodyTextIndent2"/>
    <w:semiHidden/>
    <w:rsid w:val="00986D5B"/>
    <w:rPr>
      <w:rFonts w:ascii="Times New Roman" w:eastAsia="Times New Roman" w:hAnsi="Times New Roman" w:cs="Times New Roman"/>
      <w:sz w:val="24"/>
      <w:szCs w:val="24"/>
      <w:lang w:val="en-US"/>
    </w:rPr>
  </w:style>
  <w:style w:type="paragraph" w:styleId="BlockText">
    <w:name w:val="Block Text"/>
    <w:basedOn w:val="Normal"/>
    <w:semiHidden/>
    <w:unhideWhenUsed/>
    <w:rsid w:val="00986D5B"/>
    <w:pPr>
      <w:spacing w:line="240" w:lineRule="auto"/>
      <w:ind w:left="709" w:right="802"/>
    </w:pPr>
    <w:rPr>
      <w:rFonts w:eastAsia="Times New Roman"/>
      <w:szCs w:val="20"/>
    </w:rPr>
  </w:style>
  <w:style w:type="paragraph" w:styleId="DocumentMap">
    <w:name w:val="Document Map"/>
    <w:basedOn w:val="Normal"/>
    <w:link w:val="DocumentMapChar"/>
    <w:semiHidden/>
    <w:unhideWhenUsed/>
    <w:rsid w:val="00986D5B"/>
    <w:pPr>
      <w:shd w:val="clear" w:color="auto" w:fill="000080"/>
      <w:spacing w:line="240" w:lineRule="auto"/>
    </w:pPr>
    <w:rPr>
      <w:rFonts w:ascii="Tahoma" w:eastAsia="Times New Roman" w:hAnsi="Tahoma" w:cs="Tahoma"/>
    </w:rPr>
  </w:style>
  <w:style w:type="character" w:customStyle="1" w:styleId="DocumentMapChar">
    <w:name w:val="Document Map Char"/>
    <w:basedOn w:val="DefaultParagraphFont"/>
    <w:link w:val="DocumentMap"/>
    <w:semiHidden/>
    <w:rsid w:val="00986D5B"/>
    <w:rPr>
      <w:rFonts w:ascii="Tahoma" w:eastAsia="Times New Roman" w:hAnsi="Tahoma" w:cs="Tahoma"/>
      <w:sz w:val="24"/>
      <w:szCs w:val="24"/>
      <w:shd w:val="clear" w:color="auto" w:fill="000080"/>
    </w:rPr>
  </w:style>
  <w:style w:type="paragraph" w:customStyle="1" w:styleId="contents1">
    <w:name w:val="contents1"/>
    <w:rsid w:val="00986D5B"/>
    <w:pPr>
      <w:spacing w:after="0" w:line="420" w:lineRule="exact"/>
    </w:pPr>
    <w:rPr>
      <w:rFonts w:ascii="Arial" w:eastAsia="Times New Roman" w:hAnsi="Arial" w:cs="Times New Roman"/>
      <w:noProof/>
      <w:color w:val="000000"/>
      <w:sz w:val="28"/>
      <w:szCs w:val="20"/>
    </w:rPr>
  </w:style>
  <w:style w:type="paragraph" w:customStyle="1" w:styleId="matrixbullettext">
    <w:name w:val="matrix_bullet text"/>
    <w:basedOn w:val="matrixnormaltext"/>
    <w:rsid w:val="00986D5B"/>
    <w:pPr>
      <w:numPr>
        <w:numId w:val="24"/>
      </w:numPr>
      <w:ind w:left="697" w:hanging="357"/>
    </w:pPr>
  </w:style>
  <w:style w:type="paragraph" w:customStyle="1" w:styleId="matrixcompany">
    <w:name w:val="matrix_company"/>
    <w:basedOn w:val="matrixnormaltext"/>
    <w:rsid w:val="00986D5B"/>
    <w:pPr>
      <w:spacing w:line="560" w:lineRule="exact"/>
    </w:pPr>
    <w:rPr>
      <w:sz w:val="42"/>
    </w:rPr>
  </w:style>
  <w:style w:type="paragraph" w:customStyle="1" w:styleId="matrixtitle">
    <w:name w:val="matrix_title"/>
    <w:basedOn w:val="matrixnormaltext"/>
    <w:rsid w:val="00986D5B"/>
    <w:pPr>
      <w:spacing w:line="560" w:lineRule="exact"/>
    </w:pPr>
    <w:rPr>
      <w:sz w:val="26"/>
    </w:rPr>
  </w:style>
  <w:style w:type="paragraph" w:customStyle="1" w:styleId="matrixheading1">
    <w:name w:val="matrix_heading 1"/>
    <w:basedOn w:val="matrixnormaltext"/>
    <w:next w:val="matrixnormaltext"/>
    <w:rsid w:val="00986D5B"/>
    <w:pPr>
      <w:numPr>
        <w:numId w:val="26"/>
      </w:numPr>
      <w:spacing w:line="560" w:lineRule="exact"/>
    </w:pPr>
    <w:rPr>
      <w:sz w:val="42"/>
    </w:rPr>
  </w:style>
  <w:style w:type="paragraph" w:customStyle="1" w:styleId="matrixcontents">
    <w:name w:val="matrix_contents"/>
    <w:basedOn w:val="matrixheading1"/>
    <w:rsid w:val="00986D5B"/>
  </w:style>
  <w:style w:type="paragraph" w:customStyle="1" w:styleId="matrixheading2">
    <w:name w:val="matrix_heading 2"/>
    <w:basedOn w:val="matrixheading1"/>
    <w:next w:val="matrixnormaltext"/>
    <w:rsid w:val="00986D5B"/>
    <w:pPr>
      <w:numPr>
        <w:ilvl w:val="1"/>
      </w:numPr>
      <w:spacing w:line="420" w:lineRule="exact"/>
    </w:pPr>
    <w:rPr>
      <w:sz w:val="28"/>
    </w:rPr>
  </w:style>
  <w:style w:type="paragraph" w:customStyle="1" w:styleId="matrixcover">
    <w:name w:val="matrix_cover"/>
    <w:basedOn w:val="matrixheading1"/>
    <w:rsid w:val="00986D5B"/>
    <w:pPr>
      <w:numPr>
        <w:numId w:val="0"/>
      </w:numPr>
    </w:pPr>
  </w:style>
  <w:style w:type="paragraph" w:customStyle="1" w:styleId="matrixcovertext">
    <w:name w:val="matrix_cover text"/>
    <w:basedOn w:val="matrixnormaltext"/>
    <w:rsid w:val="00986D5B"/>
    <w:pPr>
      <w:spacing w:line="560" w:lineRule="exact"/>
    </w:pPr>
    <w:rPr>
      <w:sz w:val="26"/>
    </w:rPr>
  </w:style>
  <w:style w:type="paragraph" w:customStyle="1" w:styleId="Style1">
    <w:name w:val="Style1"/>
    <w:basedOn w:val="matrixnormaltext"/>
    <w:rsid w:val="00986D5B"/>
  </w:style>
  <w:style w:type="paragraph" w:customStyle="1" w:styleId="Style2">
    <w:name w:val="Style2"/>
    <w:basedOn w:val="contents1"/>
    <w:rsid w:val="00986D5B"/>
    <w:pPr>
      <w:spacing w:line="280" w:lineRule="exact"/>
    </w:pPr>
    <w:rPr>
      <w:sz w:val="20"/>
    </w:rPr>
  </w:style>
  <w:style w:type="paragraph" w:customStyle="1" w:styleId="matrixheaderfooterbold">
    <w:name w:val="matrix_header/footer bold"/>
    <w:basedOn w:val="matrixheaderfooter"/>
    <w:rsid w:val="00986D5B"/>
    <w:rPr>
      <w:b/>
    </w:rPr>
  </w:style>
  <w:style w:type="paragraph" w:customStyle="1" w:styleId="matrixheading3">
    <w:name w:val="matrix_heading 3"/>
    <w:basedOn w:val="matrixheading2"/>
    <w:rsid w:val="00986D5B"/>
    <w:pPr>
      <w:numPr>
        <w:ilvl w:val="2"/>
      </w:numPr>
    </w:pPr>
  </w:style>
  <w:style w:type="paragraph" w:customStyle="1" w:styleId="xl24">
    <w:name w:val="xl24"/>
    <w:basedOn w:val="Normal"/>
    <w:rsid w:val="00986D5B"/>
    <w:pPr>
      <w:pBdr>
        <w:top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25">
    <w:name w:val="xl25"/>
    <w:basedOn w:val="Normal"/>
    <w:rsid w:val="00986D5B"/>
    <w:pPr>
      <w:pBdr>
        <w:top w:val="single" w:sz="4" w:space="0" w:color="auto"/>
        <w:left w:val="single" w:sz="4" w:space="0" w:color="auto"/>
        <w:bottom w:val="single" w:sz="4" w:space="0" w:color="auto"/>
      </w:pBdr>
      <w:spacing w:before="100" w:beforeAutospacing="1" w:after="100" w:afterAutospacing="1" w:line="240" w:lineRule="auto"/>
    </w:pPr>
    <w:rPr>
      <w:rFonts w:eastAsia="Arial Unicode MS"/>
      <w:b/>
      <w:bCs/>
      <w:sz w:val="18"/>
      <w:szCs w:val="18"/>
    </w:rPr>
  </w:style>
  <w:style w:type="paragraph" w:customStyle="1" w:styleId="xl26">
    <w:name w:val="xl26"/>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b/>
      <w:bCs/>
      <w:sz w:val="18"/>
      <w:szCs w:val="18"/>
    </w:rPr>
  </w:style>
  <w:style w:type="paragraph" w:customStyle="1" w:styleId="xl27">
    <w:name w:val="xl27"/>
    <w:basedOn w:val="Normal"/>
    <w:rsid w:val="00986D5B"/>
    <w:pPr>
      <w:pBdr>
        <w:top w:val="single" w:sz="4" w:space="0" w:color="auto"/>
        <w:bottom w:val="single" w:sz="4" w:space="0" w:color="auto"/>
      </w:pBdr>
      <w:spacing w:before="100" w:beforeAutospacing="1" w:after="100" w:afterAutospacing="1" w:line="240" w:lineRule="auto"/>
    </w:pPr>
    <w:rPr>
      <w:rFonts w:eastAsia="Arial Unicode MS"/>
      <w:b/>
      <w:bCs/>
      <w:sz w:val="18"/>
      <w:szCs w:val="18"/>
    </w:rPr>
  </w:style>
  <w:style w:type="paragraph" w:customStyle="1" w:styleId="NICEnormalCharCharChar">
    <w:name w:val="NICE normal Char Char Char"/>
    <w:basedOn w:val="Normal"/>
    <w:rsid w:val="00986D5B"/>
    <w:pPr>
      <w:spacing w:after="240" w:line="360" w:lineRule="auto"/>
    </w:pPr>
    <w:rPr>
      <w:rFonts w:ascii="Times New Roman" w:eastAsia="Times New Roman" w:hAnsi="Times New Roman" w:cs="Times New Roman"/>
    </w:rPr>
  </w:style>
  <w:style w:type="paragraph" w:customStyle="1" w:styleId="Numberedheading1">
    <w:name w:val="Numbered heading 1"/>
    <w:basedOn w:val="Heading1"/>
    <w:next w:val="NICEnormalCharCharChar"/>
    <w:rsid w:val="00986D5B"/>
    <w:pPr>
      <w:keepLines w:val="0"/>
      <w:numPr>
        <w:numId w:val="9"/>
      </w:numPr>
      <w:spacing w:before="240" w:after="120" w:line="360" w:lineRule="auto"/>
    </w:pPr>
    <w:rPr>
      <w:rFonts w:ascii="Times New Roman" w:eastAsia="Times New Roman" w:hAnsi="Times New Roman" w:cs="Times New Roman"/>
      <w:color w:val="auto"/>
      <w:sz w:val="20"/>
      <w:szCs w:val="24"/>
      <w:lang w:eastAsia="en-US"/>
    </w:rPr>
  </w:style>
  <w:style w:type="paragraph" w:customStyle="1" w:styleId="Numberedheading2">
    <w:name w:val="Numbered heading 2"/>
    <w:basedOn w:val="Heading2"/>
    <w:next w:val="NICEnormalCharCharChar"/>
    <w:rsid w:val="00986D5B"/>
    <w:pPr>
      <w:keepLines w:val="0"/>
      <w:numPr>
        <w:ilvl w:val="1"/>
        <w:numId w:val="9"/>
      </w:numPr>
      <w:spacing w:before="240" w:after="60" w:line="360" w:lineRule="auto"/>
    </w:pPr>
    <w:rPr>
      <w:rFonts w:ascii="Times New Roman" w:eastAsia="Times New Roman" w:hAnsi="Times New Roman" w:cs="Times New Roman"/>
      <w:i/>
      <w:color w:val="auto"/>
      <w:sz w:val="28"/>
      <w:szCs w:val="24"/>
      <w:lang w:eastAsia="en-US"/>
    </w:rPr>
  </w:style>
  <w:style w:type="paragraph" w:customStyle="1" w:styleId="Numberedheading3">
    <w:name w:val="Numbered heading 3"/>
    <w:basedOn w:val="Heading3"/>
    <w:next w:val="NICEnormalCharCharChar"/>
    <w:rsid w:val="00986D5B"/>
    <w:pPr>
      <w:keepLines w:val="0"/>
      <w:numPr>
        <w:ilvl w:val="2"/>
        <w:numId w:val="9"/>
      </w:numPr>
      <w:tabs>
        <w:tab w:val="num" w:pos="862"/>
      </w:tabs>
      <w:spacing w:before="240" w:after="60" w:line="360" w:lineRule="auto"/>
      <w:ind w:left="862" w:hanging="862"/>
    </w:pPr>
    <w:rPr>
      <w:rFonts w:ascii="Times New Roman" w:hAnsi="Times New Roman" w:cs="Arial"/>
      <w:color w:val="auto"/>
      <w:szCs w:val="26"/>
    </w:rPr>
  </w:style>
  <w:style w:type="paragraph" w:customStyle="1" w:styleId="Numberedheading4">
    <w:name w:val="Numbered heading 4"/>
    <w:basedOn w:val="Heading4"/>
    <w:next w:val="NICEnormalCharCharChar"/>
    <w:rsid w:val="00986D5B"/>
    <w:pPr>
      <w:keepLines w:val="0"/>
      <w:numPr>
        <w:ilvl w:val="3"/>
        <w:numId w:val="9"/>
      </w:numPr>
      <w:tabs>
        <w:tab w:val="num" w:pos="862"/>
      </w:tabs>
      <w:spacing w:before="240" w:after="60" w:line="360" w:lineRule="auto"/>
      <w:ind w:left="862" w:hanging="862"/>
    </w:pPr>
    <w:rPr>
      <w:rFonts w:ascii="Times New Roman" w:eastAsia="Times New Roman" w:hAnsi="Times New Roman" w:cs="Times New Roman"/>
      <w:iCs w:val="0"/>
      <w:color w:val="auto"/>
      <w:szCs w:val="28"/>
    </w:rPr>
  </w:style>
  <w:style w:type="paragraph" w:customStyle="1" w:styleId="NICEnormal">
    <w:name w:val="NICE normal"/>
    <w:basedOn w:val="Normal"/>
    <w:rsid w:val="00986D5B"/>
    <w:pPr>
      <w:spacing w:after="240" w:line="360" w:lineRule="auto"/>
    </w:pPr>
    <w:rPr>
      <w:rFonts w:ascii="Times New Roman" w:eastAsia="Times New Roman" w:hAnsi="Times New Roman" w:cs="Times New Roman"/>
    </w:rPr>
  </w:style>
  <w:style w:type="paragraph" w:customStyle="1" w:styleId="BeforelistChar">
    <w:name w:val="Before list Char"/>
    <w:basedOn w:val="Normal"/>
    <w:next w:val="ListBullet"/>
    <w:rsid w:val="00986D5B"/>
    <w:pPr>
      <w:keepNext/>
      <w:spacing w:before="240" w:line="360" w:lineRule="auto"/>
    </w:pPr>
    <w:rPr>
      <w:rFonts w:ascii="Times New Roman" w:eastAsia="Times New Roman" w:hAnsi="Times New Roman" w:cs="Times New Roman"/>
    </w:rPr>
  </w:style>
  <w:style w:type="paragraph" w:customStyle="1" w:styleId="nicenormal0">
    <w:name w:val="nicenormal"/>
    <w:basedOn w:val="Normal"/>
    <w:rsid w:val="00986D5B"/>
    <w:pPr>
      <w:spacing w:before="100" w:beforeAutospacing="1" w:after="100" w:afterAutospacing="1" w:line="240" w:lineRule="auto"/>
    </w:pPr>
    <w:rPr>
      <w:rFonts w:ascii="Arial Unicode MS" w:eastAsia="Arial Unicode MS" w:hAnsi="Arial Unicode MS" w:cs="Arial Unicode MS"/>
    </w:rPr>
  </w:style>
  <w:style w:type="paragraph" w:customStyle="1" w:styleId="NICEnormalCharChar">
    <w:name w:val="NICE normal Char Char"/>
    <w:basedOn w:val="Normal"/>
    <w:rsid w:val="00986D5B"/>
    <w:pPr>
      <w:spacing w:after="240" w:line="360" w:lineRule="auto"/>
    </w:pPr>
    <w:rPr>
      <w:rFonts w:ascii="Times New Roman" w:eastAsia="Times New Roman" w:hAnsi="Times New Roman" w:cs="Times New Roman"/>
    </w:rPr>
  </w:style>
  <w:style w:type="paragraph" w:customStyle="1" w:styleId="font5">
    <w:name w:val="font5"/>
    <w:basedOn w:val="Normal"/>
    <w:rsid w:val="00986D5B"/>
    <w:pPr>
      <w:spacing w:before="100" w:beforeAutospacing="1" w:after="100" w:afterAutospacing="1" w:line="240" w:lineRule="auto"/>
    </w:pPr>
    <w:rPr>
      <w:rFonts w:eastAsia="Arial Unicode MS"/>
      <w:b/>
      <w:bCs/>
      <w:sz w:val="18"/>
      <w:szCs w:val="18"/>
    </w:rPr>
  </w:style>
  <w:style w:type="paragraph" w:customStyle="1" w:styleId="xl31">
    <w:name w:val="xl31"/>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b/>
      <w:bCs/>
      <w:sz w:val="18"/>
      <w:szCs w:val="18"/>
    </w:rPr>
  </w:style>
  <w:style w:type="paragraph" w:customStyle="1" w:styleId="xl32">
    <w:name w:val="xl32"/>
    <w:basedOn w:val="Normal"/>
    <w:rsid w:val="00986D5B"/>
    <w:pPr>
      <w:pBdr>
        <w:top w:val="single" w:sz="4" w:space="0" w:color="auto"/>
        <w:left w:val="single" w:sz="4" w:space="0" w:color="auto"/>
        <w:bottom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3">
    <w:name w:val="xl33"/>
    <w:basedOn w:val="Normal"/>
    <w:rsid w:val="00986D5B"/>
    <w:pPr>
      <w:pBdr>
        <w:top w:val="single" w:sz="4" w:space="0" w:color="auto"/>
        <w:bottom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4">
    <w:name w:val="xl34"/>
    <w:basedOn w:val="Normal"/>
    <w:rsid w:val="00986D5B"/>
    <w:pPr>
      <w:pBdr>
        <w:top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5">
    <w:name w:val="xl35"/>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mbol" w:eastAsia="Arial Unicode MS" w:hAnsi="Symbol" w:cs="Arial Unicode MS"/>
      <w:b/>
      <w:bCs/>
      <w:sz w:val="18"/>
      <w:szCs w:val="18"/>
    </w:rPr>
  </w:style>
  <w:style w:type="paragraph" w:customStyle="1" w:styleId="xl36">
    <w:name w:val="xl36"/>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b/>
      <w:bCs/>
      <w:sz w:val="18"/>
      <w:szCs w:val="18"/>
    </w:rPr>
  </w:style>
  <w:style w:type="paragraph" w:customStyle="1" w:styleId="xl37">
    <w:name w:val="xl37"/>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8"/>
      <w:szCs w:val="18"/>
    </w:rPr>
  </w:style>
  <w:style w:type="paragraph" w:customStyle="1" w:styleId="xl38">
    <w:name w:val="xl38"/>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sz w:val="18"/>
      <w:szCs w:val="18"/>
    </w:rPr>
  </w:style>
  <w:style w:type="paragraph" w:customStyle="1" w:styleId="xl39">
    <w:name w:val="xl39"/>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8"/>
      <w:szCs w:val="18"/>
    </w:rPr>
  </w:style>
  <w:style w:type="paragraph" w:customStyle="1" w:styleId="xl40">
    <w:name w:val="xl40"/>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8"/>
      <w:szCs w:val="18"/>
    </w:rPr>
  </w:style>
  <w:style w:type="paragraph" w:customStyle="1" w:styleId="xl41">
    <w:name w:val="xl41"/>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42">
    <w:name w:val="xl42"/>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8"/>
      <w:szCs w:val="18"/>
    </w:rPr>
  </w:style>
  <w:style w:type="paragraph" w:customStyle="1" w:styleId="xl28">
    <w:name w:val="xl28"/>
    <w:basedOn w:val="Normal"/>
    <w:rsid w:val="00986D5B"/>
    <w:pPr>
      <w:spacing w:before="100" w:beforeAutospacing="1" w:after="100" w:afterAutospacing="1" w:line="240" w:lineRule="auto"/>
      <w:jc w:val="center"/>
    </w:pPr>
    <w:rPr>
      <w:rFonts w:eastAsia="Arial Unicode MS"/>
      <w:b/>
      <w:bCs/>
    </w:rPr>
  </w:style>
  <w:style w:type="paragraph" w:customStyle="1" w:styleId="xl29">
    <w:name w:val="xl29"/>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rPr>
  </w:style>
  <w:style w:type="paragraph" w:customStyle="1" w:styleId="Tabletext">
    <w:name w:val="Table text"/>
    <w:basedOn w:val="Normal"/>
    <w:rsid w:val="00986D5B"/>
    <w:pPr>
      <w:spacing w:line="240" w:lineRule="auto"/>
    </w:pPr>
    <w:rPr>
      <w:rFonts w:eastAsia="Times New Roman" w:cs="Times New Roman"/>
      <w:bCs/>
      <w:sz w:val="18"/>
    </w:rPr>
  </w:style>
  <w:style w:type="paragraph" w:customStyle="1" w:styleId="xl30">
    <w:name w:val="xl30"/>
    <w:basedOn w:val="Normal"/>
    <w:rsid w:val="00986D5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eastAsia="Arial Unicode MS"/>
      <w:b/>
      <w:bCs/>
      <w:sz w:val="18"/>
      <w:szCs w:val="18"/>
    </w:rPr>
  </w:style>
  <w:style w:type="character" w:styleId="Emphasis">
    <w:name w:val="Emphasis"/>
    <w:basedOn w:val="DefaultParagraphFont"/>
    <w:uiPriority w:val="20"/>
    <w:qFormat/>
    <w:rsid w:val="00A65AAA"/>
    <w:rPr>
      <w:i/>
      <w:iCs/>
    </w:rPr>
  </w:style>
  <w:style w:type="table" w:styleId="TableGrid">
    <w:name w:val="Table Grid"/>
    <w:basedOn w:val="TableNormal"/>
    <w:uiPriority w:val="59"/>
    <w:rsid w:val="00A65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F634F5"/>
    <w:rPr>
      <w:b/>
      <w:bCs/>
      <w:smallCaps/>
      <w:spacing w:val="5"/>
    </w:rPr>
  </w:style>
  <w:style w:type="table" w:customStyle="1" w:styleId="TableGrid1">
    <w:name w:val="Table Grid1"/>
    <w:basedOn w:val="TableNormal"/>
    <w:next w:val="TableGrid"/>
    <w:uiPriority w:val="39"/>
    <w:rsid w:val="00D83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Heading1"/>
    <w:link w:val="Style3Char"/>
    <w:qFormat/>
    <w:rsid w:val="00F16CA5"/>
    <w:rPr>
      <w:rFonts w:ascii="Arial" w:hAnsi="Arial" w:cs="Arial"/>
      <w:sz w:val="56"/>
      <w:szCs w:val="56"/>
    </w:rPr>
  </w:style>
  <w:style w:type="character" w:customStyle="1" w:styleId="Style3Char">
    <w:name w:val="Style3 Char"/>
    <w:basedOn w:val="Heading1Char"/>
    <w:link w:val="Style3"/>
    <w:rsid w:val="00F16CA5"/>
    <w:rPr>
      <w:rFonts w:ascii="Arial" w:eastAsiaTheme="majorEastAsia" w:hAnsi="Arial" w:cs="Arial"/>
      <w:b/>
      <w:bCs/>
      <w:color w:val="365F91" w:themeColor="accent1" w:themeShade="BF"/>
      <w:sz w:val="56"/>
      <w:szCs w:val="5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EC2"/>
    <w:pPr>
      <w:spacing w:after="0"/>
    </w:pPr>
    <w:rPr>
      <w:rFonts w:ascii="Arial" w:hAnsi="Arial" w:cs="Arial"/>
      <w:sz w:val="24"/>
      <w:szCs w:val="24"/>
      <w:lang w:eastAsia="en-GB"/>
    </w:rPr>
  </w:style>
  <w:style w:type="paragraph" w:styleId="Heading1">
    <w:name w:val="heading 1"/>
    <w:basedOn w:val="Normal"/>
    <w:next w:val="Normal"/>
    <w:link w:val="Heading1Char"/>
    <w:qFormat/>
    <w:rsid w:val="0011339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D3873"/>
    <w:pPr>
      <w:keepNext/>
      <w:keepLines/>
      <w:numPr>
        <w:numId w:val="12"/>
      </w:numPr>
      <w:spacing w:before="20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Normal"/>
    <w:link w:val="Heading3Char"/>
    <w:unhideWhenUsed/>
    <w:qFormat/>
    <w:rsid w:val="0010783E"/>
    <w:pPr>
      <w:keepNext/>
      <w:keepLines/>
      <w:spacing w:before="200"/>
      <w:outlineLvl w:val="2"/>
    </w:pPr>
    <w:rPr>
      <w:rFonts w:asciiTheme="majorHAnsi" w:eastAsia="Times New Roman" w:hAnsiTheme="majorHAnsi" w:cstheme="majorBidi"/>
      <w:b/>
      <w:bCs/>
      <w:color w:val="4F81BD" w:themeColor="accent1"/>
      <w:sz w:val="28"/>
      <w:szCs w:val="28"/>
    </w:rPr>
  </w:style>
  <w:style w:type="paragraph" w:styleId="Heading4">
    <w:name w:val="heading 4"/>
    <w:basedOn w:val="Normal"/>
    <w:next w:val="Normal"/>
    <w:link w:val="Heading4Char"/>
    <w:unhideWhenUsed/>
    <w:qFormat/>
    <w:rsid w:val="00736E9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301C4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264C50"/>
    <w:pPr>
      <w:outlineLvl w:val="5"/>
    </w:pPr>
    <w:rPr>
      <w:b/>
    </w:rPr>
  </w:style>
  <w:style w:type="paragraph" w:styleId="Heading7">
    <w:name w:val="heading 7"/>
    <w:basedOn w:val="Normal"/>
    <w:next w:val="Normal"/>
    <w:link w:val="Heading7Char"/>
    <w:unhideWhenUsed/>
    <w:qFormat/>
    <w:rsid w:val="00475018"/>
    <w:pPr>
      <w:keepNext/>
      <w:spacing w:line="240" w:lineRule="auto"/>
      <w:outlineLvl w:val="6"/>
    </w:pPr>
    <w:rPr>
      <w:rFonts w:eastAsia="Times New Roman"/>
      <w:b/>
      <w:bCs/>
      <w:i/>
      <w:iCs/>
      <w:szCs w:val="18"/>
    </w:rPr>
  </w:style>
  <w:style w:type="paragraph" w:styleId="Heading8">
    <w:name w:val="heading 8"/>
    <w:basedOn w:val="Normal"/>
    <w:next w:val="Normal"/>
    <w:link w:val="Heading8Char"/>
    <w:unhideWhenUsed/>
    <w:qFormat/>
    <w:rsid w:val="00986D5B"/>
    <w:pPr>
      <w:spacing w:before="240" w:after="60" w:line="240" w:lineRule="auto"/>
      <w:outlineLvl w:val="7"/>
    </w:pPr>
    <w:rPr>
      <w:rFonts w:ascii="Times New Roman" w:eastAsia="Times New Roman" w:hAnsi="Times New Roman" w:cs="Times New Roman"/>
      <w:i/>
      <w:iCs/>
    </w:rPr>
  </w:style>
  <w:style w:type="paragraph" w:styleId="Heading9">
    <w:name w:val="heading 9"/>
    <w:basedOn w:val="Normal"/>
    <w:next w:val="Normal"/>
    <w:link w:val="Heading9Char"/>
    <w:unhideWhenUsed/>
    <w:qFormat/>
    <w:rsid w:val="00986D5B"/>
    <w:pPr>
      <w:spacing w:before="240" w:after="60" w:line="240" w:lineRule="auto"/>
      <w:outlineLvl w:val="8"/>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43B2"/>
    <w:rPr>
      <w:color w:val="0000FF" w:themeColor="hyperlink"/>
      <w:u w:val="single"/>
    </w:rPr>
  </w:style>
  <w:style w:type="character" w:styleId="Strong">
    <w:name w:val="Strong"/>
    <w:basedOn w:val="DefaultParagraphFont"/>
    <w:uiPriority w:val="22"/>
    <w:qFormat/>
    <w:rsid w:val="00C643B2"/>
    <w:rPr>
      <w:b/>
      <w:bCs/>
    </w:rPr>
  </w:style>
  <w:style w:type="paragraph" w:styleId="Caption">
    <w:name w:val="caption"/>
    <w:basedOn w:val="Normal"/>
    <w:next w:val="Normal"/>
    <w:uiPriority w:val="35"/>
    <w:unhideWhenUsed/>
    <w:qFormat/>
    <w:rsid w:val="00AC2C72"/>
    <w:pPr>
      <w:keepNext/>
      <w:spacing w:after="200" w:line="240" w:lineRule="auto"/>
    </w:pPr>
    <w:rPr>
      <w:b/>
      <w:bCs/>
      <w:color w:val="4F81BD" w:themeColor="accent1"/>
      <w:sz w:val="22"/>
    </w:rPr>
  </w:style>
  <w:style w:type="paragraph" w:styleId="BalloonText">
    <w:name w:val="Balloon Text"/>
    <w:basedOn w:val="Normal"/>
    <w:link w:val="BalloonTextChar"/>
    <w:semiHidden/>
    <w:unhideWhenUsed/>
    <w:rsid w:val="00C643B2"/>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643B2"/>
    <w:rPr>
      <w:rFonts w:ascii="Tahoma" w:hAnsi="Tahoma" w:cs="Tahoma"/>
      <w:sz w:val="16"/>
      <w:szCs w:val="16"/>
    </w:rPr>
  </w:style>
  <w:style w:type="paragraph" w:styleId="ListParagraph">
    <w:name w:val="List Paragraph"/>
    <w:basedOn w:val="Normal"/>
    <w:uiPriority w:val="34"/>
    <w:qFormat/>
    <w:rsid w:val="001D03C8"/>
    <w:pPr>
      <w:ind w:left="720"/>
      <w:contextualSpacing/>
    </w:pPr>
  </w:style>
  <w:style w:type="character" w:styleId="CommentReference">
    <w:name w:val="annotation reference"/>
    <w:basedOn w:val="DefaultParagraphFont"/>
    <w:uiPriority w:val="99"/>
    <w:semiHidden/>
    <w:unhideWhenUsed/>
    <w:rsid w:val="001C3761"/>
    <w:rPr>
      <w:sz w:val="16"/>
      <w:szCs w:val="16"/>
    </w:rPr>
  </w:style>
  <w:style w:type="paragraph" w:styleId="CommentText">
    <w:name w:val="annotation text"/>
    <w:basedOn w:val="Normal"/>
    <w:link w:val="CommentTextChar"/>
    <w:uiPriority w:val="99"/>
    <w:unhideWhenUsed/>
    <w:rsid w:val="001C3761"/>
    <w:pPr>
      <w:spacing w:line="240" w:lineRule="auto"/>
    </w:pPr>
    <w:rPr>
      <w:sz w:val="20"/>
      <w:szCs w:val="20"/>
    </w:rPr>
  </w:style>
  <w:style w:type="character" w:customStyle="1" w:styleId="CommentTextChar">
    <w:name w:val="Comment Text Char"/>
    <w:basedOn w:val="DefaultParagraphFont"/>
    <w:link w:val="CommentText"/>
    <w:uiPriority w:val="99"/>
    <w:rsid w:val="001C3761"/>
    <w:rPr>
      <w:rFonts w:ascii="Arial" w:hAnsi="Arial" w:cs="Arial"/>
      <w:sz w:val="20"/>
      <w:szCs w:val="20"/>
    </w:rPr>
  </w:style>
  <w:style w:type="paragraph" w:styleId="CommentSubject">
    <w:name w:val="annotation subject"/>
    <w:basedOn w:val="CommentText"/>
    <w:next w:val="CommentText"/>
    <w:link w:val="CommentSubjectChar"/>
    <w:semiHidden/>
    <w:unhideWhenUsed/>
    <w:rsid w:val="001C3761"/>
    <w:rPr>
      <w:b/>
      <w:bCs/>
    </w:rPr>
  </w:style>
  <w:style w:type="character" w:customStyle="1" w:styleId="CommentSubjectChar">
    <w:name w:val="Comment Subject Char"/>
    <w:basedOn w:val="CommentTextChar"/>
    <w:link w:val="CommentSubject"/>
    <w:semiHidden/>
    <w:rsid w:val="001C3761"/>
    <w:rPr>
      <w:rFonts w:ascii="Arial" w:hAnsi="Arial" w:cs="Arial"/>
      <w:b/>
      <w:bCs/>
      <w:sz w:val="20"/>
      <w:szCs w:val="20"/>
    </w:rPr>
  </w:style>
  <w:style w:type="paragraph" w:styleId="Revision">
    <w:name w:val="Revision"/>
    <w:hidden/>
    <w:uiPriority w:val="99"/>
    <w:semiHidden/>
    <w:rsid w:val="001C3761"/>
    <w:pPr>
      <w:spacing w:after="0" w:line="240" w:lineRule="auto"/>
    </w:pPr>
    <w:rPr>
      <w:rFonts w:ascii="Arial" w:hAnsi="Arial" w:cs="Arial"/>
      <w:sz w:val="24"/>
    </w:rPr>
  </w:style>
  <w:style w:type="paragraph" w:styleId="EndnoteText">
    <w:name w:val="endnote text"/>
    <w:basedOn w:val="Normal"/>
    <w:link w:val="EndnoteTextChar"/>
    <w:uiPriority w:val="99"/>
    <w:unhideWhenUsed/>
    <w:rsid w:val="00286093"/>
    <w:pPr>
      <w:spacing w:line="240" w:lineRule="auto"/>
    </w:pPr>
    <w:rPr>
      <w:sz w:val="20"/>
      <w:szCs w:val="20"/>
    </w:rPr>
  </w:style>
  <w:style w:type="character" w:customStyle="1" w:styleId="EndnoteTextChar">
    <w:name w:val="Endnote Text Char"/>
    <w:basedOn w:val="DefaultParagraphFont"/>
    <w:link w:val="EndnoteText"/>
    <w:uiPriority w:val="99"/>
    <w:rsid w:val="00286093"/>
    <w:rPr>
      <w:rFonts w:ascii="Arial" w:hAnsi="Arial" w:cs="Arial"/>
      <w:sz w:val="20"/>
      <w:szCs w:val="20"/>
    </w:rPr>
  </w:style>
  <w:style w:type="character" w:styleId="EndnoteReference">
    <w:name w:val="endnote reference"/>
    <w:basedOn w:val="DefaultParagraphFont"/>
    <w:uiPriority w:val="99"/>
    <w:semiHidden/>
    <w:unhideWhenUsed/>
    <w:rsid w:val="00286093"/>
    <w:rPr>
      <w:vertAlign w:val="superscript"/>
    </w:rPr>
  </w:style>
  <w:style w:type="paragraph" w:styleId="FootnoteText">
    <w:name w:val="footnote text"/>
    <w:basedOn w:val="Normal"/>
    <w:link w:val="FootnoteTextChar"/>
    <w:uiPriority w:val="99"/>
    <w:unhideWhenUsed/>
    <w:rsid w:val="00286093"/>
    <w:pPr>
      <w:spacing w:line="240" w:lineRule="auto"/>
    </w:pPr>
    <w:rPr>
      <w:sz w:val="20"/>
      <w:szCs w:val="20"/>
    </w:rPr>
  </w:style>
  <w:style w:type="character" w:customStyle="1" w:styleId="FootnoteTextChar">
    <w:name w:val="Footnote Text Char"/>
    <w:basedOn w:val="DefaultParagraphFont"/>
    <w:link w:val="FootnoteText"/>
    <w:uiPriority w:val="99"/>
    <w:rsid w:val="00286093"/>
    <w:rPr>
      <w:rFonts w:ascii="Arial" w:hAnsi="Arial" w:cs="Arial"/>
      <w:sz w:val="20"/>
      <w:szCs w:val="20"/>
    </w:rPr>
  </w:style>
  <w:style w:type="character" w:styleId="FootnoteReference">
    <w:name w:val="footnote reference"/>
    <w:basedOn w:val="DefaultParagraphFont"/>
    <w:uiPriority w:val="99"/>
    <w:semiHidden/>
    <w:unhideWhenUsed/>
    <w:rsid w:val="00286093"/>
    <w:rPr>
      <w:vertAlign w:val="superscript"/>
    </w:rPr>
  </w:style>
  <w:style w:type="character" w:customStyle="1" w:styleId="Heading1Char">
    <w:name w:val="Heading 1 Char"/>
    <w:basedOn w:val="DefaultParagraphFont"/>
    <w:link w:val="Heading1"/>
    <w:rsid w:val="0011339F"/>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rsid w:val="009D3873"/>
    <w:rPr>
      <w:rFonts w:asciiTheme="majorHAnsi" w:eastAsiaTheme="majorEastAsia" w:hAnsiTheme="majorHAnsi" w:cstheme="majorBidi"/>
      <w:b/>
      <w:bCs/>
      <w:color w:val="4F81BD" w:themeColor="accent1"/>
      <w:sz w:val="32"/>
      <w:szCs w:val="32"/>
      <w:lang w:eastAsia="en-GB"/>
    </w:rPr>
  </w:style>
  <w:style w:type="character" w:customStyle="1" w:styleId="apple-converted-space">
    <w:name w:val="apple-converted-space"/>
    <w:basedOn w:val="DefaultParagraphFont"/>
    <w:rsid w:val="0011339F"/>
  </w:style>
  <w:style w:type="character" w:styleId="HTMLCite">
    <w:name w:val="HTML Cite"/>
    <w:basedOn w:val="DefaultParagraphFont"/>
    <w:uiPriority w:val="99"/>
    <w:semiHidden/>
    <w:unhideWhenUsed/>
    <w:rsid w:val="0011339F"/>
    <w:rPr>
      <w:i/>
      <w:iCs/>
    </w:rPr>
  </w:style>
  <w:style w:type="character" w:customStyle="1" w:styleId="Heading3Char">
    <w:name w:val="Heading 3 Char"/>
    <w:basedOn w:val="DefaultParagraphFont"/>
    <w:link w:val="Heading3"/>
    <w:rsid w:val="0010783E"/>
    <w:rPr>
      <w:rFonts w:asciiTheme="majorHAnsi" w:eastAsia="Times New Roman" w:hAnsiTheme="majorHAnsi" w:cstheme="majorBidi"/>
      <w:b/>
      <w:bCs/>
      <w:color w:val="4F81BD" w:themeColor="accent1"/>
      <w:sz w:val="28"/>
      <w:szCs w:val="28"/>
      <w:lang w:eastAsia="en-GB"/>
    </w:rPr>
  </w:style>
  <w:style w:type="character" w:customStyle="1" w:styleId="Heading4Char">
    <w:name w:val="Heading 4 Char"/>
    <w:basedOn w:val="DefaultParagraphFont"/>
    <w:link w:val="Heading4"/>
    <w:rsid w:val="00736E93"/>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rsid w:val="00301C45"/>
    <w:rPr>
      <w:rFonts w:asciiTheme="majorHAnsi" w:eastAsiaTheme="majorEastAsia" w:hAnsiTheme="majorHAnsi" w:cstheme="majorBidi"/>
      <w:color w:val="243F60" w:themeColor="accent1" w:themeShade="7F"/>
      <w:sz w:val="24"/>
    </w:rPr>
  </w:style>
  <w:style w:type="paragraph" w:styleId="NormalWeb">
    <w:name w:val="Normal (Web)"/>
    <w:basedOn w:val="Normal"/>
    <w:uiPriority w:val="99"/>
    <w:unhideWhenUsed/>
    <w:rsid w:val="00245081"/>
    <w:pPr>
      <w:spacing w:before="100" w:beforeAutospacing="1" w:after="100" w:afterAutospacing="1" w:line="240" w:lineRule="auto"/>
    </w:pPr>
    <w:rPr>
      <w:rFonts w:ascii="Times New Roman" w:eastAsia="Times New Roman" w:hAnsi="Times New Roman" w:cs="Times New Roman"/>
    </w:rPr>
  </w:style>
  <w:style w:type="paragraph" w:styleId="TOCHeading">
    <w:name w:val="TOC Heading"/>
    <w:basedOn w:val="Heading1"/>
    <w:next w:val="Normal"/>
    <w:uiPriority w:val="39"/>
    <w:unhideWhenUsed/>
    <w:qFormat/>
    <w:rsid w:val="008C7845"/>
    <w:pPr>
      <w:outlineLvl w:val="9"/>
    </w:pPr>
    <w:rPr>
      <w:lang w:val="en-US" w:eastAsia="ja-JP"/>
    </w:rPr>
  </w:style>
  <w:style w:type="paragraph" w:styleId="TOC1">
    <w:name w:val="toc 1"/>
    <w:basedOn w:val="Normal"/>
    <w:next w:val="Normal"/>
    <w:autoRedefine/>
    <w:uiPriority w:val="39"/>
    <w:unhideWhenUsed/>
    <w:rsid w:val="008C7845"/>
    <w:pPr>
      <w:spacing w:after="100"/>
    </w:pPr>
  </w:style>
  <w:style w:type="paragraph" w:styleId="TOC2">
    <w:name w:val="toc 2"/>
    <w:basedOn w:val="Normal"/>
    <w:next w:val="Normal"/>
    <w:autoRedefine/>
    <w:uiPriority w:val="39"/>
    <w:unhideWhenUsed/>
    <w:rsid w:val="008C7845"/>
    <w:pPr>
      <w:spacing w:after="100"/>
      <w:ind w:left="240"/>
    </w:pPr>
  </w:style>
  <w:style w:type="paragraph" w:styleId="TOC3">
    <w:name w:val="toc 3"/>
    <w:basedOn w:val="Normal"/>
    <w:next w:val="Normal"/>
    <w:autoRedefine/>
    <w:uiPriority w:val="39"/>
    <w:unhideWhenUsed/>
    <w:rsid w:val="008C7845"/>
    <w:pPr>
      <w:spacing w:after="100"/>
      <w:ind w:left="480"/>
    </w:pPr>
  </w:style>
  <w:style w:type="paragraph" w:customStyle="1" w:styleId="matrixnormaltext">
    <w:name w:val="matrix_normal text"/>
    <w:rsid w:val="00C523E2"/>
    <w:pPr>
      <w:spacing w:after="0" w:line="280" w:lineRule="exact"/>
    </w:pPr>
    <w:rPr>
      <w:rFonts w:ascii="Arial" w:eastAsia="Times New Roman" w:hAnsi="Arial" w:cs="Times New Roman"/>
      <w:color w:val="000000"/>
      <w:sz w:val="20"/>
      <w:szCs w:val="20"/>
    </w:rPr>
  </w:style>
  <w:style w:type="paragraph" w:customStyle="1" w:styleId="matrixheaderfooter">
    <w:name w:val="matrix_header/footer"/>
    <w:basedOn w:val="Normal"/>
    <w:rsid w:val="006967AE"/>
    <w:pPr>
      <w:spacing w:line="280" w:lineRule="exact"/>
    </w:pPr>
    <w:rPr>
      <w:rFonts w:eastAsia="Times New Roman" w:cs="Times New Roman"/>
      <w:color w:val="000000"/>
      <w:sz w:val="16"/>
      <w:szCs w:val="20"/>
    </w:rPr>
  </w:style>
  <w:style w:type="character" w:customStyle="1" w:styleId="Heading6Char">
    <w:name w:val="Heading 6 Char"/>
    <w:basedOn w:val="DefaultParagraphFont"/>
    <w:link w:val="Heading6"/>
    <w:rsid w:val="00264C50"/>
    <w:rPr>
      <w:rFonts w:ascii="Arial" w:hAnsi="Arial" w:cs="Arial"/>
      <w:b/>
      <w:sz w:val="24"/>
      <w:szCs w:val="24"/>
    </w:rPr>
  </w:style>
  <w:style w:type="character" w:customStyle="1" w:styleId="Heading7Char">
    <w:name w:val="Heading 7 Char"/>
    <w:basedOn w:val="DefaultParagraphFont"/>
    <w:link w:val="Heading7"/>
    <w:rsid w:val="00475018"/>
    <w:rPr>
      <w:rFonts w:ascii="Arial" w:eastAsia="Times New Roman" w:hAnsi="Arial" w:cs="Arial"/>
      <w:b/>
      <w:bCs/>
      <w:i/>
      <w:iCs/>
      <w:sz w:val="24"/>
      <w:szCs w:val="18"/>
      <w:lang w:eastAsia="en-GB"/>
    </w:rPr>
  </w:style>
  <w:style w:type="character" w:customStyle="1" w:styleId="Heading8Char">
    <w:name w:val="Heading 8 Char"/>
    <w:basedOn w:val="DefaultParagraphFont"/>
    <w:link w:val="Heading8"/>
    <w:rsid w:val="00986D5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6D5B"/>
    <w:rPr>
      <w:rFonts w:ascii="Times New Roman" w:eastAsia="Times New Roman" w:hAnsi="Times New Roman" w:cs="Arial"/>
    </w:rPr>
  </w:style>
  <w:style w:type="character" w:styleId="FollowedHyperlink">
    <w:name w:val="FollowedHyperlink"/>
    <w:semiHidden/>
    <w:unhideWhenUsed/>
    <w:rsid w:val="00986D5B"/>
    <w:rPr>
      <w:color w:val="800080"/>
      <w:u w:val="single"/>
    </w:rPr>
  </w:style>
  <w:style w:type="paragraph" w:styleId="TOC4">
    <w:name w:val="toc 4"/>
    <w:basedOn w:val="Normal"/>
    <w:next w:val="Normal"/>
    <w:autoRedefine/>
    <w:semiHidden/>
    <w:unhideWhenUsed/>
    <w:rsid w:val="00986D5B"/>
    <w:pPr>
      <w:spacing w:line="240" w:lineRule="auto"/>
      <w:ind w:left="600"/>
    </w:pPr>
    <w:rPr>
      <w:rFonts w:ascii="Times New Roman" w:eastAsia="Times New Roman" w:hAnsi="Times New Roman" w:cs="Times New Roman"/>
      <w:sz w:val="20"/>
      <w:szCs w:val="20"/>
    </w:rPr>
  </w:style>
  <w:style w:type="paragraph" w:styleId="TOC5">
    <w:name w:val="toc 5"/>
    <w:basedOn w:val="Normal"/>
    <w:next w:val="Normal"/>
    <w:autoRedefine/>
    <w:semiHidden/>
    <w:unhideWhenUsed/>
    <w:rsid w:val="00986D5B"/>
    <w:pPr>
      <w:spacing w:line="240" w:lineRule="auto"/>
      <w:ind w:left="800"/>
    </w:pPr>
    <w:rPr>
      <w:rFonts w:ascii="Times New Roman" w:eastAsia="Times New Roman" w:hAnsi="Times New Roman" w:cs="Times New Roman"/>
      <w:sz w:val="20"/>
      <w:szCs w:val="20"/>
    </w:rPr>
  </w:style>
  <w:style w:type="paragraph" w:styleId="TOC6">
    <w:name w:val="toc 6"/>
    <w:basedOn w:val="Normal"/>
    <w:next w:val="Normal"/>
    <w:autoRedefine/>
    <w:semiHidden/>
    <w:unhideWhenUsed/>
    <w:rsid w:val="00986D5B"/>
    <w:pPr>
      <w:spacing w:line="240" w:lineRule="auto"/>
      <w:ind w:left="1000"/>
    </w:pPr>
    <w:rPr>
      <w:rFonts w:ascii="Times New Roman" w:eastAsia="Times New Roman" w:hAnsi="Times New Roman" w:cs="Times New Roman"/>
      <w:sz w:val="20"/>
      <w:szCs w:val="20"/>
    </w:rPr>
  </w:style>
  <w:style w:type="paragraph" w:styleId="TOC7">
    <w:name w:val="toc 7"/>
    <w:basedOn w:val="Normal"/>
    <w:next w:val="Normal"/>
    <w:autoRedefine/>
    <w:semiHidden/>
    <w:unhideWhenUsed/>
    <w:rsid w:val="00986D5B"/>
    <w:pPr>
      <w:spacing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semiHidden/>
    <w:unhideWhenUsed/>
    <w:rsid w:val="00986D5B"/>
    <w:pPr>
      <w:spacing w:line="240" w:lineRule="auto"/>
      <w:ind w:left="1400"/>
    </w:pPr>
    <w:rPr>
      <w:rFonts w:ascii="Times New Roman" w:eastAsia="Times New Roman" w:hAnsi="Times New Roman" w:cs="Times New Roman"/>
      <w:sz w:val="20"/>
      <w:szCs w:val="20"/>
    </w:rPr>
  </w:style>
  <w:style w:type="paragraph" w:styleId="TOC9">
    <w:name w:val="toc 9"/>
    <w:basedOn w:val="Normal"/>
    <w:next w:val="Normal"/>
    <w:autoRedefine/>
    <w:semiHidden/>
    <w:unhideWhenUsed/>
    <w:rsid w:val="00986D5B"/>
    <w:pPr>
      <w:spacing w:line="240" w:lineRule="auto"/>
      <w:ind w:left="1600"/>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86D5B"/>
    <w:pPr>
      <w:tabs>
        <w:tab w:val="center" w:pos="4153"/>
        <w:tab w:val="right" w:pos="8306"/>
      </w:tabs>
      <w:spacing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986D5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86D5B"/>
    <w:pPr>
      <w:tabs>
        <w:tab w:val="center" w:pos="4153"/>
        <w:tab w:val="right" w:pos="8306"/>
      </w:tabs>
      <w:spacing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986D5B"/>
    <w:rPr>
      <w:rFonts w:ascii="Times New Roman" w:eastAsia="Times New Roman" w:hAnsi="Times New Roman" w:cs="Times New Roman"/>
      <w:sz w:val="20"/>
      <w:szCs w:val="20"/>
    </w:rPr>
  </w:style>
  <w:style w:type="paragraph" w:styleId="ListBullet">
    <w:name w:val="List Bullet"/>
    <w:basedOn w:val="Normal"/>
    <w:autoRedefine/>
    <w:semiHidden/>
    <w:unhideWhenUsed/>
    <w:rsid w:val="00986D5B"/>
    <w:pPr>
      <w:numPr>
        <w:numId w:val="22"/>
      </w:numPr>
      <w:spacing w:line="240" w:lineRule="auto"/>
    </w:pPr>
    <w:rPr>
      <w:rFonts w:ascii="Times New Roman" w:eastAsia="Times New Roman" w:hAnsi="Times New Roman" w:cs="Times New Roman"/>
      <w:sz w:val="20"/>
      <w:szCs w:val="20"/>
    </w:rPr>
  </w:style>
  <w:style w:type="paragraph" w:styleId="BodyText">
    <w:name w:val="Body Text"/>
    <w:basedOn w:val="Normal"/>
    <w:link w:val="BodyTextChar"/>
    <w:semiHidden/>
    <w:unhideWhenUsed/>
    <w:rsid w:val="00986D5B"/>
    <w:pPr>
      <w:spacing w:line="240" w:lineRule="auto"/>
    </w:pPr>
    <w:rPr>
      <w:rFonts w:eastAsia="Times New Roman"/>
      <w:sz w:val="20"/>
    </w:rPr>
  </w:style>
  <w:style w:type="character" w:customStyle="1" w:styleId="BodyTextChar">
    <w:name w:val="Body Text Char"/>
    <w:basedOn w:val="DefaultParagraphFont"/>
    <w:link w:val="BodyText"/>
    <w:semiHidden/>
    <w:rsid w:val="00986D5B"/>
    <w:rPr>
      <w:rFonts w:ascii="Arial" w:eastAsia="Times New Roman" w:hAnsi="Arial" w:cs="Arial"/>
      <w:sz w:val="20"/>
      <w:szCs w:val="24"/>
    </w:rPr>
  </w:style>
  <w:style w:type="paragraph" w:styleId="BodyText2">
    <w:name w:val="Body Text 2"/>
    <w:basedOn w:val="Normal"/>
    <w:link w:val="BodyText2Char"/>
    <w:semiHidden/>
    <w:unhideWhenUsed/>
    <w:rsid w:val="00986D5B"/>
    <w:pPr>
      <w:spacing w:line="240" w:lineRule="auto"/>
    </w:pPr>
    <w:rPr>
      <w:rFonts w:eastAsia="Times New Roman"/>
      <w:szCs w:val="20"/>
    </w:rPr>
  </w:style>
  <w:style w:type="character" w:customStyle="1" w:styleId="BodyText2Char">
    <w:name w:val="Body Text 2 Char"/>
    <w:basedOn w:val="DefaultParagraphFont"/>
    <w:link w:val="BodyText2"/>
    <w:semiHidden/>
    <w:rsid w:val="00986D5B"/>
    <w:rPr>
      <w:rFonts w:ascii="Arial" w:eastAsia="Times New Roman" w:hAnsi="Arial" w:cs="Arial"/>
      <w:sz w:val="24"/>
      <w:szCs w:val="20"/>
    </w:rPr>
  </w:style>
  <w:style w:type="paragraph" w:styleId="BodyText3">
    <w:name w:val="Body Text 3"/>
    <w:basedOn w:val="Normal"/>
    <w:link w:val="BodyText3Char"/>
    <w:semiHidden/>
    <w:unhideWhenUsed/>
    <w:rsid w:val="00986D5B"/>
    <w:pPr>
      <w:spacing w:line="240" w:lineRule="auto"/>
    </w:pPr>
    <w:rPr>
      <w:rFonts w:eastAsia="Times New Roman"/>
      <w:sz w:val="22"/>
    </w:rPr>
  </w:style>
  <w:style w:type="character" w:customStyle="1" w:styleId="BodyText3Char">
    <w:name w:val="Body Text 3 Char"/>
    <w:basedOn w:val="DefaultParagraphFont"/>
    <w:link w:val="BodyText3"/>
    <w:semiHidden/>
    <w:rsid w:val="00986D5B"/>
    <w:rPr>
      <w:rFonts w:ascii="Arial" w:eastAsia="Times New Roman" w:hAnsi="Arial" w:cs="Arial"/>
      <w:szCs w:val="24"/>
    </w:rPr>
  </w:style>
  <w:style w:type="paragraph" w:styleId="BodyTextIndent2">
    <w:name w:val="Body Text Indent 2"/>
    <w:basedOn w:val="Normal"/>
    <w:link w:val="BodyTextIndent2Char"/>
    <w:semiHidden/>
    <w:unhideWhenUsed/>
    <w:rsid w:val="00986D5B"/>
    <w:pPr>
      <w:tabs>
        <w:tab w:val="right" w:pos="360"/>
        <w:tab w:val="left" w:pos="540"/>
      </w:tabs>
      <w:autoSpaceDE w:val="0"/>
      <w:autoSpaceDN w:val="0"/>
      <w:adjustRightInd w:val="0"/>
      <w:spacing w:after="240" w:line="240" w:lineRule="auto"/>
      <w:ind w:left="90"/>
    </w:pPr>
    <w:rPr>
      <w:rFonts w:ascii="Times New Roman" w:eastAsia="Times New Roman" w:hAnsi="Times New Roman" w:cs="Times New Roman"/>
      <w:lang w:val="en-US"/>
    </w:rPr>
  </w:style>
  <w:style w:type="character" w:customStyle="1" w:styleId="BodyTextIndent2Char">
    <w:name w:val="Body Text Indent 2 Char"/>
    <w:basedOn w:val="DefaultParagraphFont"/>
    <w:link w:val="BodyTextIndent2"/>
    <w:semiHidden/>
    <w:rsid w:val="00986D5B"/>
    <w:rPr>
      <w:rFonts w:ascii="Times New Roman" w:eastAsia="Times New Roman" w:hAnsi="Times New Roman" w:cs="Times New Roman"/>
      <w:sz w:val="24"/>
      <w:szCs w:val="24"/>
      <w:lang w:val="en-US"/>
    </w:rPr>
  </w:style>
  <w:style w:type="paragraph" w:styleId="BlockText">
    <w:name w:val="Block Text"/>
    <w:basedOn w:val="Normal"/>
    <w:semiHidden/>
    <w:unhideWhenUsed/>
    <w:rsid w:val="00986D5B"/>
    <w:pPr>
      <w:spacing w:line="240" w:lineRule="auto"/>
      <w:ind w:left="709" w:right="802"/>
    </w:pPr>
    <w:rPr>
      <w:rFonts w:eastAsia="Times New Roman"/>
      <w:szCs w:val="20"/>
    </w:rPr>
  </w:style>
  <w:style w:type="paragraph" w:styleId="DocumentMap">
    <w:name w:val="Document Map"/>
    <w:basedOn w:val="Normal"/>
    <w:link w:val="DocumentMapChar"/>
    <w:semiHidden/>
    <w:unhideWhenUsed/>
    <w:rsid w:val="00986D5B"/>
    <w:pPr>
      <w:shd w:val="clear" w:color="auto" w:fill="000080"/>
      <w:spacing w:line="240" w:lineRule="auto"/>
    </w:pPr>
    <w:rPr>
      <w:rFonts w:ascii="Tahoma" w:eastAsia="Times New Roman" w:hAnsi="Tahoma" w:cs="Tahoma"/>
    </w:rPr>
  </w:style>
  <w:style w:type="character" w:customStyle="1" w:styleId="DocumentMapChar">
    <w:name w:val="Document Map Char"/>
    <w:basedOn w:val="DefaultParagraphFont"/>
    <w:link w:val="DocumentMap"/>
    <w:semiHidden/>
    <w:rsid w:val="00986D5B"/>
    <w:rPr>
      <w:rFonts w:ascii="Tahoma" w:eastAsia="Times New Roman" w:hAnsi="Tahoma" w:cs="Tahoma"/>
      <w:sz w:val="24"/>
      <w:szCs w:val="24"/>
      <w:shd w:val="clear" w:color="auto" w:fill="000080"/>
    </w:rPr>
  </w:style>
  <w:style w:type="paragraph" w:customStyle="1" w:styleId="contents1">
    <w:name w:val="contents1"/>
    <w:rsid w:val="00986D5B"/>
    <w:pPr>
      <w:spacing w:after="0" w:line="420" w:lineRule="exact"/>
    </w:pPr>
    <w:rPr>
      <w:rFonts w:ascii="Arial" w:eastAsia="Times New Roman" w:hAnsi="Arial" w:cs="Times New Roman"/>
      <w:noProof/>
      <w:color w:val="000000"/>
      <w:sz w:val="28"/>
      <w:szCs w:val="20"/>
    </w:rPr>
  </w:style>
  <w:style w:type="paragraph" w:customStyle="1" w:styleId="matrixbullettext">
    <w:name w:val="matrix_bullet text"/>
    <w:basedOn w:val="matrixnormaltext"/>
    <w:rsid w:val="00986D5B"/>
    <w:pPr>
      <w:numPr>
        <w:numId w:val="24"/>
      </w:numPr>
      <w:ind w:left="697" w:hanging="357"/>
    </w:pPr>
  </w:style>
  <w:style w:type="paragraph" w:customStyle="1" w:styleId="matrixcompany">
    <w:name w:val="matrix_company"/>
    <w:basedOn w:val="matrixnormaltext"/>
    <w:rsid w:val="00986D5B"/>
    <w:pPr>
      <w:spacing w:line="560" w:lineRule="exact"/>
    </w:pPr>
    <w:rPr>
      <w:sz w:val="42"/>
    </w:rPr>
  </w:style>
  <w:style w:type="paragraph" w:customStyle="1" w:styleId="matrixtitle">
    <w:name w:val="matrix_title"/>
    <w:basedOn w:val="matrixnormaltext"/>
    <w:rsid w:val="00986D5B"/>
    <w:pPr>
      <w:spacing w:line="560" w:lineRule="exact"/>
    </w:pPr>
    <w:rPr>
      <w:sz w:val="26"/>
    </w:rPr>
  </w:style>
  <w:style w:type="paragraph" w:customStyle="1" w:styleId="matrixheading1">
    <w:name w:val="matrix_heading 1"/>
    <w:basedOn w:val="matrixnormaltext"/>
    <w:next w:val="matrixnormaltext"/>
    <w:rsid w:val="00986D5B"/>
    <w:pPr>
      <w:numPr>
        <w:numId w:val="26"/>
      </w:numPr>
      <w:spacing w:line="560" w:lineRule="exact"/>
    </w:pPr>
    <w:rPr>
      <w:sz w:val="42"/>
    </w:rPr>
  </w:style>
  <w:style w:type="paragraph" w:customStyle="1" w:styleId="matrixcontents">
    <w:name w:val="matrix_contents"/>
    <w:basedOn w:val="matrixheading1"/>
    <w:rsid w:val="00986D5B"/>
  </w:style>
  <w:style w:type="paragraph" w:customStyle="1" w:styleId="matrixheading2">
    <w:name w:val="matrix_heading 2"/>
    <w:basedOn w:val="matrixheading1"/>
    <w:next w:val="matrixnormaltext"/>
    <w:rsid w:val="00986D5B"/>
    <w:pPr>
      <w:numPr>
        <w:ilvl w:val="1"/>
      </w:numPr>
      <w:spacing w:line="420" w:lineRule="exact"/>
    </w:pPr>
    <w:rPr>
      <w:sz w:val="28"/>
    </w:rPr>
  </w:style>
  <w:style w:type="paragraph" w:customStyle="1" w:styleId="matrixcover">
    <w:name w:val="matrix_cover"/>
    <w:basedOn w:val="matrixheading1"/>
    <w:rsid w:val="00986D5B"/>
    <w:pPr>
      <w:numPr>
        <w:numId w:val="0"/>
      </w:numPr>
    </w:pPr>
  </w:style>
  <w:style w:type="paragraph" w:customStyle="1" w:styleId="matrixcovertext">
    <w:name w:val="matrix_cover text"/>
    <w:basedOn w:val="matrixnormaltext"/>
    <w:rsid w:val="00986D5B"/>
    <w:pPr>
      <w:spacing w:line="560" w:lineRule="exact"/>
    </w:pPr>
    <w:rPr>
      <w:sz w:val="26"/>
    </w:rPr>
  </w:style>
  <w:style w:type="paragraph" w:customStyle="1" w:styleId="Style1">
    <w:name w:val="Style1"/>
    <w:basedOn w:val="matrixnormaltext"/>
    <w:rsid w:val="00986D5B"/>
  </w:style>
  <w:style w:type="paragraph" w:customStyle="1" w:styleId="Style2">
    <w:name w:val="Style2"/>
    <w:basedOn w:val="contents1"/>
    <w:rsid w:val="00986D5B"/>
    <w:pPr>
      <w:spacing w:line="280" w:lineRule="exact"/>
    </w:pPr>
    <w:rPr>
      <w:sz w:val="20"/>
    </w:rPr>
  </w:style>
  <w:style w:type="paragraph" w:customStyle="1" w:styleId="matrixheaderfooterbold">
    <w:name w:val="matrix_header/footer bold"/>
    <w:basedOn w:val="matrixheaderfooter"/>
    <w:rsid w:val="00986D5B"/>
    <w:rPr>
      <w:b/>
    </w:rPr>
  </w:style>
  <w:style w:type="paragraph" w:customStyle="1" w:styleId="matrixheading3">
    <w:name w:val="matrix_heading 3"/>
    <w:basedOn w:val="matrixheading2"/>
    <w:rsid w:val="00986D5B"/>
    <w:pPr>
      <w:numPr>
        <w:ilvl w:val="2"/>
      </w:numPr>
    </w:pPr>
  </w:style>
  <w:style w:type="paragraph" w:customStyle="1" w:styleId="xl24">
    <w:name w:val="xl24"/>
    <w:basedOn w:val="Normal"/>
    <w:rsid w:val="00986D5B"/>
    <w:pPr>
      <w:pBdr>
        <w:top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25">
    <w:name w:val="xl25"/>
    <w:basedOn w:val="Normal"/>
    <w:rsid w:val="00986D5B"/>
    <w:pPr>
      <w:pBdr>
        <w:top w:val="single" w:sz="4" w:space="0" w:color="auto"/>
        <w:left w:val="single" w:sz="4" w:space="0" w:color="auto"/>
        <w:bottom w:val="single" w:sz="4" w:space="0" w:color="auto"/>
      </w:pBdr>
      <w:spacing w:before="100" w:beforeAutospacing="1" w:after="100" w:afterAutospacing="1" w:line="240" w:lineRule="auto"/>
    </w:pPr>
    <w:rPr>
      <w:rFonts w:eastAsia="Arial Unicode MS"/>
      <w:b/>
      <w:bCs/>
      <w:sz w:val="18"/>
      <w:szCs w:val="18"/>
    </w:rPr>
  </w:style>
  <w:style w:type="paragraph" w:customStyle="1" w:styleId="xl26">
    <w:name w:val="xl26"/>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b/>
      <w:bCs/>
      <w:sz w:val="18"/>
      <w:szCs w:val="18"/>
    </w:rPr>
  </w:style>
  <w:style w:type="paragraph" w:customStyle="1" w:styleId="xl27">
    <w:name w:val="xl27"/>
    <w:basedOn w:val="Normal"/>
    <w:rsid w:val="00986D5B"/>
    <w:pPr>
      <w:pBdr>
        <w:top w:val="single" w:sz="4" w:space="0" w:color="auto"/>
        <w:bottom w:val="single" w:sz="4" w:space="0" w:color="auto"/>
      </w:pBdr>
      <w:spacing w:before="100" w:beforeAutospacing="1" w:after="100" w:afterAutospacing="1" w:line="240" w:lineRule="auto"/>
    </w:pPr>
    <w:rPr>
      <w:rFonts w:eastAsia="Arial Unicode MS"/>
      <w:b/>
      <w:bCs/>
      <w:sz w:val="18"/>
      <w:szCs w:val="18"/>
    </w:rPr>
  </w:style>
  <w:style w:type="paragraph" w:customStyle="1" w:styleId="NICEnormalCharCharChar">
    <w:name w:val="NICE normal Char Char Char"/>
    <w:basedOn w:val="Normal"/>
    <w:rsid w:val="00986D5B"/>
    <w:pPr>
      <w:spacing w:after="240" w:line="360" w:lineRule="auto"/>
    </w:pPr>
    <w:rPr>
      <w:rFonts w:ascii="Times New Roman" w:eastAsia="Times New Roman" w:hAnsi="Times New Roman" w:cs="Times New Roman"/>
    </w:rPr>
  </w:style>
  <w:style w:type="paragraph" w:customStyle="1" w:styleId="Numberedheading1">
    <w:name w:val="Numbered heading 1"/>
    <w:basedOn w:val="Heading1"/>
    <w:next w:val="NICEnormalCharCharChar"/>
    <w:rsid w:val="00986D5B"/>
    <w:pPr>
      <w:keepLines w:val="0"/>
      <w:numPr>
        <w:numId w:val="9"/>
      </w:numPr>
      <w:spacing w:before="240" w:after="120" w:line="360" w:lineRule="auto"/>
    </w:pPr>
    <w:rPr>
      <w:rFonts w:ascii="Times New Roman" w:eastAsia="Times New Roman" w:hAnsi="Times New Roman" w:cs="Times New Roman"/>
      <w:color w:val="auto"/>
      <w:sz w:val="20"/>
      <w:szCs w:val="24"/>
      <w:lang w:eastAsia="en-US"/>
    </w:rPr>
  </w:style>
  <w:style w:type="paragraph" w:customStyle="1" w:styleId="Numberedheading2">
    <w:name w:val="Numbered heading 2"/>
    <w:basedOn w:val="Heading2"/>
    <w:next w:val="NICEnormalCharCharChar"/>
    <w:rsid w:val="00986D5B"/>
    <w:pPr>
      <w:keepLines w:val="0"/>
      <w:numPr>
        <w:ilvl w:val="1"/>
        <w:numId w:val="9"/>
      </w:numPr>
      <w:spacing w:before="240" w:after="60" w:line="360" w:lineRule="auto"/>
    </w:pPr>
    <w:rPr>
      <w:rFonts w:ascii="Times New Roman" w:eastAsia="Times New Roman" w:hAnsi="Times New Roman" w:cs="Times New Roman"/>
      <w:i/>
      <w:color w:val="auto"/>
      <w:sz w:val="28"/>
      <w:szCs w:val="24"/>
      <w:lang w:eastAsia="en-US"/>
    </w:rPr>
  </w:style>
  <w:style w:type="paragraph" w:customStyle="1" w:styleId="Numberedheading3">
    <w:name w:val="Numbered heading 3"/>
    <w:basedOn w:val="Heading3"/>
    <w:next w:val="NICEnormalCharCharChar"/>
    <w:rsid w:val="00986D5B"/>
    <w:pPr>
      <w:keepLines w:val="0"/>
      <w:numPr>
        <w:ilvl w:val="2"/>
        <w:numId w:val="9"/>
      </w:numPr>
      <w:tabs>
        <w:tab w:val="num" w:pos="862"/>
      </w:tabs>
      <w:spacing w:before="240" w:after="60" w:line="360" w:lineRule="auto"/>
      <w:ind w:left="862" w:hanging="862"/>
    </w:pPr>
    <w:rPr>
      <w:rFonts w:ascii="Times New Roman" w:hAnsi="Times New Roman" w:cs="Arial"/>
      <w:color w:val="auto"/>
      <w:szCs w:val="26"/>
    </w:rPr>
  </w:style>
  <w:style w:type="paragraph" w:customStyle="1" w:styleId="Numberedheading4">
    <w:name w:val="Numbered heading 4"/>
    <w:basedOn w:val="Heading4"/>
    <w:next w:val="NICEnormalCharCharChar"/>
    <w:rsid w:val="00986D5B"/>
    <w:pPr>
      <w:keepLines w:val="0"/>
      <w:numPr>
        <w:ilvl w:val="3"/>
        <w:numId w:val="9"/>
      </w:numPr>
      <w:tabs>
        <w:tab w:val="num" w:pos="862"/>
      </w:tabs>
      <w:spacing w:before="240" w:after="60" w:line="360" w:lineRule="auto"/>
      <w:ind w:left="862" w:hanging="862"/>
    </w:pPr>
    <w:rPr>
      <w:rFonts w:ascii="Times New Roman" w:eastAsia="Times New Roman" w:hAnsi="Times New Roman" w:cs="Times New Roman"/>
      <w:iCs w:val="0"/>
      <w:color w:val="auto"/>
      <w:szCs w:val="28"/>
    </w:rPr>
  </w:style>
  <w:style w:type="paragraph" w:customStyle="1" w:styleId="NICEnormal">
    <w:name w:val="NICE normal"/>
    <w:basedOn w:val="Normal"/>
    <w:rsid w:val="00986D5B"/>
    <w:pPr>
      <w:spacing w:after="240" w:line="360" w:lineRule="auto"/>
    </w:pPr>
    <w:rPr>
      <w:rFonts w:ascii="Times New Roman" w:eastAsia="Times New Roman" w:hAnsi="Times New Roman" w:cs="Times New Roman"/>
    </w:rPr>
  </w:style>
  <w:style w:type="paragraph" w:customStyle="1" w:styleId="BeforelistChar">
    <w:name w:val="Before list Char"/>
    <w:basedOn w:val="Normal"/>
    <w:next w:val="ListBullet"/>
    <w:rsid w:val="00986D5B"/>
    <w:pPr>
      <w:keepNext/>
      <w:spacing w:before="240" w:line="360" w:lineRule="auto"/>
    </w:pPr>
    <w:rPr>
      <w:rFonts w:ascii="Times New Roman" w:eastAsia="Times New Roman" w:hAnsi="Times New Roman" w:cs="Times New Roman"/>
    </w:rPr>
  </w:style>
  <w:style w:type="paragraph" w:customStyle="1" w:styleId="nicenormal0">
    <w:name w:val="nicenormal"/>
    <w:basedOn w:val="Normal"/>
    <w:rsid w:val="00986D5B"/>
    <w:pPr>
      <w:spacing w:before="100" w:beforeAutospacing="1" w:after="100" w:afterAutospacing="1" w:line="240" w:lineRule="auto"/>
    </w:pPr>
    <w:rPr>
      <w:rFonts w:ascii="Arial Unicode MS" w:eastAsia="Arial Unicode MS" w:hAnsi="Arial Unicode MS" w:cs="Arial Unicode MS"/>
    </w:rPr>
  </w:style>
  <w:style w:type="paragraph" w:customStyle="1" w:styleId="NICEnormalCharChar">
    <w:name w:val="NICE normal Char Char"/>
    <w:basedOn w:val="Normal"/>
    <w:rsid w:val="00986D5B"/>
    <w:pPr>
      <w:spacing w:after="240" w:line="360" w:lineRule="auto"/>
    </w:pPr>
    <w:rPr>
      <w:rFonts w:ascii="Times New Roman" w:eastAsia="Times New Roman" w:hAnsi="Times New Roman" w:cs="Times New Roman"/>
    </w:rPr>
  </w:style>
  <w:style w:type="paragraph" w:customStyle="1" w:styleId="font5">
    <w:name w:val="font5"/>
    <w:basedOn w:val="Normal"/>
    <w:rsid w:val="00986D5B"/>
    <w:pPr>
      <w:spacing w:before="100" w:beforeAutospacing="1" w:after="100" w:afterAutospacing="1" w:line="240" w:lineRule="auto"/>
    </w:pPr>
    <w:rPr>
      <w:rFonts w:eastAsia="Arial Unicode MS"/>
      <w:b/>
      <w:bCs/>
      <w:sz w:val="18"/>
      <w:szCs w:val="18"/>
    </w:rPr>
  </w:style>
  <w:style w:type="paragraph" w:customStyle="1" w:styleId="xl31">
    <w:name w:val="xl31"/>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b/>
      <w:bCs/>
      <w:sz w:val="18"/>
      <w:szCs w:val="18"/>
    </w:rPr>
  </w:style>
  <w:style w:type="paragraph" w:customStyle="1" w:styleId="xl32">
    <w:name w:val="xl32"/>
    <w:basedOn w:val="Normal"/>
    <w:rsid w:val="00986D5B"/>
    <w:pPr>
      <w:pBdr>
        <w:top w:val="single" w:sz="4" w:space="0" w:color="auto"/>
        <w:left w:val="single" w:sz="4" w:space="0" w:color="auto"/>
        <w:bottom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3">
    <w:name w:val="xl33"/>
    <w:basedOn w:val="Normal"/>
    <w:rsid w:val="00986D5B"/>
    <w:pPr>
      <w:pBdr>
        <w:top w:val="single" w:sz="4" w:space="0" w:color="auto"/>
        <w:bottom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4">
    <w:name w:val="xl34"/>
    <w:basedOn w:val="Normal"/>
    <w:rsid w:val="00986D5B"/>
    <w:pPr>
      <w:pBdr>
        <w:top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35">
    <w:name w:val="xl35"/>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Symbol" w:eastAsia="Arial Unicode MS" w:hAnsi="Symbol" w:cs="Arial Unicode MS"/>
      <w:b/>
      <w:bCs/>
      <w:sz w:val="18"/>
      <w:szCs w:val="18"/>
    </w:rPr>
  </w:style>
  <w:style w:type="paragraph" w:customStyle="1" w:styleId="xl36">
    <w:name w:val="xl36"/>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b/>
      <w:bCs/>
      <w:sz w:val="18"/>
      <w:szCs w:val="18"/>
    </w:rPr>
  </w:style>
  <w:style w:type="paragraph" w:customStyle="1" w:styleId="xl37">
    <w:name w:val="xl37"/>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8"/>
      <w:szCs w:val="18"/>
    </w:rPr>
  </w:style>
  <w:style w:type="paragraph" w:customStyle="1" w:styleId="xl38">
    <w:name w:val="xl38"/>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sz w:val="18"/>
      <w:szCs w:val="18"/>
    </w:rPr>
  </w:style>
  <w:style w:type="paragraph" w:customStyle="1" w:styleId="xl39">
    <w:name w:val="xl39"/>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8"/>
      <w:szCs w:val="18"/>
    </w:rPr>
  </w:style>
  <w:style w:type="paragraph" w:customStyle="1" w:styleId="xl40">
    <w:name w:val="xl40"/>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8"/>
      <w:szCs w:val="18"/>
    </w:rPr>
  </w:style>
  <w:style w:type="paragraph" w:customStyle="1" w:styleId="xl41">
    <w:name w:val="xl41"/>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sz w:val="18"/>
      <w:szCs w:val="18"/>
    </w:rPr>
  </w:style>
  <w:style w:type="paragraph" w:customStyle="1" w:styleId="xl42">
    <w:name w:val="xl42"/>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8"/>
      <w:szCs w:val="18"/>
    </w:rPr>
  </w:style>
  <w:style w:type="paragraph" w:customStyle="1" w:styleId="xl28">
    <w:name w:val="xl28"/>
    <w:basedOn w:val="Normal"/>
    <w:rsid w:val="00986D5B"/>
    <w:pPr>
      <w:spacing w:before="100" w:beforeAutospacing="1" w:after="100" w:afterAutospacing="1" w:line="240" w:lineRule="auto"/>
      <w:jc w:val="center"/>
    </w:pPr>
    <w:rPr>
      <w:rFonts w:eastAsia="Arial Unicode MS"/>
      <w:b/>
      <w:bCs/>
    </w:rPr>
  </w:style>
  <w:style w:type="paragraph" w:customStyle="1" w:styleId="xl29">
    <w:name w:val="xl29"/>
    <w:basedOn w:val="Normal"/>
    <w:rsid w:val="00986D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b/>
      <w:bCs/>
    </w:rPr>
  </w:style>
  <w:style w:type="paragraph" w:customStyle="1" w:styleId="Tabletext">
    <w:name w:val="Table text"/>
    <w:basedOn w:val="Normal"/>
    <w:rsid w:val="00986D5B"/>
    <w:pPr>
      <w:spacing w:line="240" w:lineRule="auto"/>
    </w:pPr>
    <w:rPr>
      <w:rFonts w:eastAsia="Times New Roman" w:cs="Times New Roman"/>
      <w:bCs/>
      <w:sz w:val="18"/>
    </w:rPr>
  </w:style>
  <w:style w:type="paragraph" w:customStyle="1" w:styleId="xl30">
    <w:name w:val="xl30"/>
    <w:basedOn w:val="Normal"/>
    <w:rsid w:val="00986D5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eastAsia="Arial Unicode MS"/>
      <w:b/>
      <w:bCs/>
      <w:sz w:val="18"/>
      <w:szCs w:val="18"/>
    </w:rPr>
  </w:style>
  <w:style w:type="character" w:styleId="Emphasis">
    <w:name w:val="Emphasis"/>
    <w:basedOn w:val="DefaultParagraphFont"/>
    <w:uiPriority w:val="20"/>
    <w:qFormat/>
    <w:rsid w:val="00A65AAA"/>
    <w:rPr>
      <w:i/>
      <w:iCs/>
    </w:rPr>
  </w:style>
  <w:style w:type="table" w:styleId="TableGrid">
    <w:name w:val="Table Grid"/>
    <w:basedOn w:val="TableNormal"/>
    <w:uiPriority w:val="59"/>
    <w:rsid w:val="00A65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F634F5"/>
    <w:rPr>
      <w:b/>
      <w:bCs/>
      <w:smallCaps/>
      <w:spacing w:val="5"/>
    </w:rPr>
  </w:style>
  <w:style w:type="table" w:customStyle="1" w:styleId="TableGrid1">
    <w:name w:val="Table Grid1"/>
    <w:basedOn w:val="TableNormal"/>
    <w:next w:val="TableGrid"/>
    <w:uiPriority w:val="39"/>
    <w:rsid w:val="00D830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Heading1"/>
    <w:link w:val="Style3Char"/>
    <w:qFormat/>
    <w:rsid w:val="00F16CA5"/>
    <w:rPr>
      <w:rFonts w:ascii="Arial" w:hAnsi="Arial" w:cs="Arial"/>
      <w:sz w:val="56"/>
      <w:szCs w:val="56"/>
    </w:rPr>
  </w:style>
  <w:style w:type="character" w:customStyle="1" w:styleId="Style3Char">
    <w:name w:val="Style3 Char"/>
    <w:basedOn w:val="Heading1Char"/>
    <w:link w:val="Style3"/>
    <w:rsid w:val="00F16CA5"/>
    <w:rPr>
      <w:rFonts w:ascii="Arial" w:eastAsiaTheme="majorEastAsia" w:hAnsi="Arial" w:cs="Arial"/>
      <w:b/>
      <w:bCs/>
      <w:color w:val="365F91" w:themeColor="accent1" w:themeShade="BF"/>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92291">
      <w:bodyDiv w:val="1"/>
      <w:marLeft w:val="0"/>
      <w:marRight w:val="0"/>
      <w:marTop w:val="0"/>
      <w:marBottom w:val="0"/>
      <w:divBdr>
        <w:top w:val="none" w:sz="0" w:space="0" w:color="auto"/>
        <w:left w:val="none" w:sz="0" w:space="0" w:color="auto"/>
        <w:bottom w:val="none" w:sz="0" w:space="0" w:color="auto"/>
        <w:right w:val="none" w:sz="0" w:space="0" w:color="auto"/>
      </w:divBdr>
    </w:div>
    <w:div w:id="98569967">
      <w:bodyDiv w:val="1"/>
      <w:marLeft w:val="0"/>
      <w:marRight w:val="0"/>
      <w:marTop w:val="0"/>
      <w:marBottom w:val="0"/>
      <w:divBdr>
        <w:top w:val="none" w:sz="0" w:space="0" w:color="auto"/>
        <w:left w:val="none" w:sz="0" w:space="0" w:color="auto"/>
        <w:bottom w:val="none" w:sz="0" w:space="0" w:color="auto"/>
        <w:right w:val="none" w:sz="0" w:space="0" w:color="auto"/>
      </w:divBdr>
      <w:divsChild>
        <w:div w:id="175772553">
          <w:marLeft w:val="0"/>
          <w:marRight w:val="0"/>
          <w:marTop w:val="0"/>
          <w:marBottom w:val="0"/>
          <w:divBdr>
            <w:top w:val="none" w:sz="0" w:space="0" w:color="auto"/>
            <w:left w:val="none" w:sz="0" w:space="0" w:color="auto"/>
            <w:bottom w:val="none" w:sz="0" w:space="0" w:color="auto"/>
            <w:right w:val="none" w:sz="0" w:space="0" w:color="auto"/>
          </w:divBdr>
          <w:divsChild>
            <w:div w:id="1304045985">
              <w:marLeft w:val="0"/>
              <w:marRight w:val="0"/>
              <w:marTop w:val="0"/>
              <w:marBottom w:val="0"/>
              <w:divBdr>
                <w:top w:val="none" w:sz="0" w:space="0" w:color="auto"/>
                <w:left w:val="none" w:sz="0" w:space="0" w:color="auto"/>
                <w:bottom w:val="none" w:sz="0" w:space="0" w:color="auto"/>
                <w:right w:val="none" w:sz="0" w:space="0" w:color="auto"/>
              </w:divBdr>
              <w:divsChild>
                <w:div w:id="1642342128">
                  <w:marLeft w:val="0"/>
                  <w:marRight w:val="0"/>
                  <w:marTop w:val="0"/>
                  <w:marBottom w:val="0"/>
                  <w:divBdr>
                    <w:top w:val="none" w:sz="0" w:space="0" w:color="auto"/>
                    <w:left w:val="none" w:sz="0" w:space="0" w:color="auto"/>
                    <w:bottom w:val="none" w:sz="0" w:space="0" w:color="auto"/>
                    <w:right w:val="none" w:sz="0" w:space="0" w:color="auto"/>
                  </w:divBdr>
                  <w:divsChild>
                    <w:div w:id="1744788816">
                      <w:marLeft w:val="0"/>
                      <w:marRight w:val="0"/>
                      <w:marTop w:val="0"/>
                      <w:marBottom w:val="0"/>
                      <w:divBdr>
                        <w:top w:val="none" w:sz="0" w:space="0" w:color="auto"/>
                        <w:left w:val="none" w:sz="0" w:space="0" w:color="auto"/>
                        <w:bottom w:val="none" w:sz="0" w:space="0" w:color="auto"/>
                        <w:right w:val="none" w:sz="0" w:space="0" w:color="auto"/>
                      </w:divBdr>
                      <w:divsChild>
                        <w:div w:id="1988584154">
                          <w:marLeft w:val="0"/>
                          <w:marRight w:val="0"/>
                          <w:marTop w:val="0"/>
                          <w:marBottom w:val="0"/>
                          <w:divBdr>
                            <w:top w:val="none" w:sz="0" w:space="0" w:color="auto"/>
                            <w:left w:val="none" w:sz="0" w:space="0" w:color="auto"/>
                            <w:bottom w:val="none" w:sz="0" w:space="0" w:color="auto"/>
                            <w:right w:val="none" w:sz="0" w:space="0" w:color="auto"/>
                          </w:divBdr>
                          <w:divsChild>
                            <w:div w:id="112680232">
                              <w:marLeft w:val="0"/>
                              <w:marRight w:val="0"/>
                              <w:marTop w:val="0"/>
                              <w:marBottom w:val="0"/>
                              <w:divBdr>
                                <w:top w:val="none" w:sz="0" w:space="0" w:color="auto"/>
                                <w:left w:val="none" w:sz="0" w:space="0" w:color="auto"/>
                                <w:bottom w:val="none" w:sz="0" w:space="0" w:color="auto"/>
                                <w:right w:val="none" w:sz="0" w:space="0" w:color="auto"/>
                              </w:divBdr>
                              <w:divsChild>
                                <w:div w:id="911505046">
                                  <w:marLeft w:val="0"/>
                                  <w:marRight w:val="0"/>
                                  <w:marTop w:val="0"/>
                                  <w:marBottom w:val="0"/>
                                  <w:divBdr>
                                    <w:top w:val="none" w:sz="0" w:space="0" w:color="auto"/>
                                    <w:left w:val="none" w:sz="0" w:space="0" w:color="auto"/>
                                    <w:bottom w:val="none" w:sz="0" w:space="0" w:color="auto"/>
                                    <w:right w:val="none" w:sz="0" w:space="0" w:color="auto"/>
                                  </w:divBdr>
                                  <w:divsChild>
                                    <w:div w:id="1567062796">
                                      <w:marLeft w:val="0"/>
                                      <w:marRight w:val="0"/>
                                      <w:marTop w:val="0"/>
                                      <w:marBottom w:val="0"/>
                                      <w:divBdr>
                                        <w:top w:val="none" w:sz="0" w:space="0" w:color="auto"/>
                                        <w:left w:val="none" w:sz="0" w:space="0" w:color="auto"/>
                                        <w:bottom w:val="none" w:sz="0" w:space="0" w:color="auto"/>
                                        <w:right w:val="none" w:sz="0" w:space="0" w:color="auto"/>
                                      </w:divBdr>
                                      <w:divsChild>
                                        <w:div w:id="1800419251">
                                          <w:marLeft w:val="0"/>
                                          <w:marRight w:val="0"/>
                                          <w:marTop w:val="0"/>
                                          <w:marBottom w:val="0"/>
                                          <w:divBdr>
                                            <w:top w:val="none" w:sz="0" w:space="0" w:color="auto"/>
                                            <w:left w:val="none" w:sz="0" w:space="0" w:color="auto"/>
                                            <w:bottom w:val="none" w:sz="0" w:space="0" w:color="auto"/>
                                            <w:right w:val="none" w:sz="0" w:space="0" w:color="auto"/>
                                          </w:divBdr>
                                          <w:divsChild>
                                            <w:div w:id="2055039833">
                                              <w:marLeft w:val="0"/>
                                              <w:marRight w:val="0"/>
                                              <w:marTop w:val="0"/>
                                              <w:marBottom w:val="0"/>
                                              <w:divBdr>
                                                <w:top w:val="none" w:sz="0" w:space="0" w:color="auto"/>
                                                <w:left w:val="none" w:sz="0" w:space="0" w:color="auto"/>
                                                <w:bottom w:val="none" w:sz="0" w:space="0" w:color="auto"/>
                                                <w:right w:val="none" w:sz="0" w:space="0" w:color="auto"/>
                                              </w:divBdr>
                                              <w:divsChild>
                                                <w:div w:id="336811511">
                                                  <w:marLeft w:val="0"/>
                                                  <w:marRight w:val="0"/>
                                                  <w:marTop w:val="0"/>
                                                  <w:marBottom w:val="0"/>
                                                  <w:divBdr>
                                                    <w:top w:val="none" w:sz="0" w:space="0" w:color="auto"/>
                                                    <w:left w:val="none" w:sz="0" w:space="0" w:color="auto"/>
                                                    <w:bottom w:val="none" w:sz="0" w:space="0" w:color="auto"/>
                                                    <w:right w:val="none" w:sz="0" w:space="0" w:color="auto"/>
                                                  </w:divBdr>
                                                  <w:divsChild>
                                                    <w:div w:id="1644233308">
                                                      <w:marLeft w:val="0"/>
                                                      <w:marRight w:val="0"/>
                                                      <w:marTop w:val="0"/>
                                                      <w:marBottom w:val="0"/>
                                                      <w:divBdr>
                                                        <w:top w:val="none" w:sz="0" w:space="0" w:color="auto"/>
                                                        <w:left w:val="none" w:sz="0" w:space="0" w:color="auto"/>
                                                        <w:bottom w:val="none" w:sz="0" w:space="0" w:color="auto"/>
                                                        <w:right w:val="none" w:sz="0" w:space="0" w:color="auto"/>
                                                      </w:divBdr>
                                                      <w:divsChild>
                                                        <w:div w:id="48768706">
                                                          <w:marLeft w:val="0"/>
                                                          <w:marRight w:val="0"/>
                                                          <w:marTop w:val="0"/>
                                                          <w:marBottom w:val="0"/>
                                                          <w:divBdr>
                                                            <w:top w:val="none" w:sz="0" w:space="0" w:color="auto"/>
                                                            <w:left w:val="none" w:sz="0" w:space="0" w:color="auto"/>
                                                            <w:bottom w:val="none" w:sz="0" w:space="0" w:color="auto"/>
                                                            <w:right w:val="none" w:sz="0" w:space="0" w:color="auto"/>
                                                          </w:divBdr>
                                                          <w:divsChild>
                                                            <w:div w:id="445465661">
                                                              <w:marLeft w:val="0"/>
                                                              <w:marRight w:val="150"/>
                                                              <w:marTop w:val="0"/>
                                                              <w:marBottom w:val="150"/>
                                                              <w:divBdr>
                                                                <w:top w:val="none" w:sz="0" w:space="0" w:color="auto"/>
                                                                <w:left w:val="none" w:sz="0" w:space="0" w:color="auto"/>
                                                                <w:bottom w:val="none" w:sz="0" w:space="0" w:color="auto"/>
                                                                <w:right w:val="none" w:sz="0" w:space="0" w:color="auto"/>
                                                              </w:divBdr>
                                                              <w:divsChild>
                                                                <w:div w:id="2052916015">
                                                                  <w:marLeft w:val="0"/>
                                                                  <w:marRight w:val="0"/>
                                                                  <w:marTop w:val="0"/>
                                                                  <w:marBottom w:val="0"/>
                                                                  <w:divBdr>
                                                                    <w:top w:val="none" w:sz="0" w:space="0" w:color="auto"/>
                                                                    <w:left w:val="none" w:sz="0" w:space="0" w:color="auto"/>
                                                                    <w:bottom w:val="none" w:sz="0" w:space="0" w:color="auto"/>
                                                                    <w:right w:val="none" w:sz="0" w:space="0" w:color="auto"/>
                                                                  </w:divBdr>
                                                                  <w:divsChild>
                                                                    <w:div w:id="114257027">
                                                                      <w:marLeft w:val="0"/>
                                                                      <w:marRight w:val="0"/>
                                                                      <w:marTop w:val="0"/>
                                                                      <w:marBottom w:val="0"/>
                                                                      <w:divBdr>
                                                                        <w:top w:val="none" w:sz="0" w:space="0" w:color="auto"/>
                                                                        <w:left w:val="none" w:sz="0" w:space="0" w:color="auto"/>
                                                                        <w:bottom w:val="none" w:sz="0" w:space="0" w:color="auto"/>
                                                                        <w:right w:val="none" w:sz="0" w:space="0" w:color="auto"/>
                                                                      </w:divBdr>
                                                                      <w:divsChild>
                                                                        <w:div w:id="406221946">
                                                                          <w:marLeft w:val="0"/>
                                                                          <w:marRight w:val="0"/>
                                                                          <w:marTop w:val="0"/>
                                                                          <w:marBottom w:val="0"/>
                                                                          <w:divBdr>
                                                                            <w:top w:val="none" w:sz="0" w:space="0" w:color="auto"/>
                                                                            <w:left w:val="none" w:sz="0" w:space="0" w:color="auto"/>
                                                                            <w:bottom w:val="none" w:sz="0" w:space="0" w:color="auto"/>
                                                                            <w:right w:val="none" w:sz="0" w:space="0" w:color="auto"/>
                                                                          </w:divBdr>
                                                                          <w:divsChild>
                                                                            <w:div w:id="2031954454">
                                                                              <w:marLeft w:val="0"/>
                                                                              <w:marRight w:val="0"/>
                                                                              <w:marTop w:val="0"/>
                                                                              <w:marBottom w:val="0"/>
                                                                              <w:divBdr>
                                                                                <w:top w:val="none" w:sz="0" w:space="0" w:color="auto"/>
                                                                                <w:left w:val="none" w:sz="0" w:space="0" w:color="auto"/>
                                                                                <w:bottom w:val="none" w:sz="0" w:space="0" w:color="auto"/>
                                                                                <w:right w:val="none" w:sz="0" w:space="0" w:color="auto"/>
                                                                              </w:divBdr>
                                                                              <w:divsChild>
                                                                                <w:div w:id="312297997">
                                                                                  <w:marLeft w:val="0"/>
                                                                                  <w:marRight w:val="0"/>
                                                                                  <w:marTop w:val="0"/>
                                                                                  <w:marBottom w:val="0"/>
                                                                                  <w:divBdr>
                                                                                    <w:top w:val="none" w:sz="0" w:space="0" w:color="auto"/>
                                                                                    <w:left w:val="none" w:sz="0" w:space="0" w:color="auto"/>
                                                                                    <w:bottom w:val="none" w:sz="0" w:space="0" w:color="auto"/>
                                                                                    <w:right w:val="none" w:sz="0" w:space="0" w:color="auto"/>
                                                                                  </w:divBdr>
                                                                                  <w:divsChild>
                                                                                    <w:div w:id="98107815">
                                                                                      <w:marLeft w:val="0"/>
                                                                                      <w:marRight w:val="0"/>
                                                                                      <w:marTop w:val="0"/>
                                                                                      <w:marBottom w:val="0"/>
                                                                                      <w:divBdr>
                                                                                        <w:top w:val="none" w:sz="0" w:space="0" w:color="auto"/>
                                                                                        <w:left w:val="none" w:sz="0" w:space="0" w:color="auto"/>
                                                                                        <w:bottom w:val="none" w:sz="0" w:space="0" w:color="auto"/>
                                                                                        <w:right w:val="none" w:sz="0" w:space="0" w:color="auto"/>
                                                                                      </w:divBdr>
                                                                                    </w:div>
                                                                                    <w:div w:id="237715908">
                                                                                      <w:marLeft w:val="0"/>
                                                                                      <w:marRight w:val="0"/>
                                                                                      <w:marTop w:val="0"/>
                                                                                      <w:marBottom w:val="0"/>
                                                                                      <w:divBdr>
                                                                                        <w:top w:val="none" w:sz="0" w:space="0" w:color="auto"/>
                                                                                        <w:left w:val="none" w:sz="0" w:space="0" w:color="auto"/>
                                                                                        <w:bottom w:val="none" w:sz="0" w:space="0" w:color="auto"/>
                                                                                        <w:right w:val="none" w:sz="0" w:space="0" w:color="auto"/>
                                                                                      </w:divBdr>
                                                                                    </w:div>
                                                                                    <w:div w:id="475801326">
                                                                                      <w:marLeft w:val="0"/>
                                                                                      <w:marRight w:val="0"/>
                                                                                      <w:marTop w:val="0"/>
                                                                                      <w:marBottom w:val="0"/>
                                                                                      <w:divBdr>
                                                                                        <w:top w:val="none" w:sz="0" w:space="0" w:color="auto"/>
                                                                                        <w:left w:val="none" w:sz="0" w:space="0" w:color="auto"/>
                                                                                        <w:bottom w:val="none" w:sz="0" w:space="0" w:color="auto"/>
                                                                                        <w:right w:val="none" w:sz="0" w:space="0" w:color="auto"/>
                                                                                      </w:divBdr>
                                                                                    </w:div>
                                                                                    <w:div w:id="546650392">
                                                                                      <w:marLeft w:val="0"/>
                                                                                      <w:marRight w:val="0"/>
                                                                                      <w:marTop w:val="0"/>
                                                                                      <w:marBottom w:val="0"/>
                                                                                      <w:divBdr>
                                                                                        <w:top w:val="none" w:sz="0" w:space="0" w:color="auto"/>
                                                                                        <w:left w:val="none" w:sz="0" w:space="0" w:color="auto"/>
                                                                                        <w:bottom w:val="none" w:sz="0" w:space="0" w:color="auto"/>
                                                                                        <w:right w:val="none" w:sz="0" w:space="0" w:color="auto"/>
                                                                                      </w:divBdr>
                                                                                    </w:div>
                                                                                    <w:div w:id="1600791792">
                                                                                      <w:marLeft w:val="0"/>
                                                                                      <w:marRight w:val="0"/>
                                                                                      <w:marTop w:val="0"/>
                                                                                      <w:marBottom w:val="0"/>
                                                                                      <w:divBdr>
                                                                                        <w:top w:val="none" w:sz="0" w:space="0" w:color="auto"/>
                                                                                        <w:left w:val="none" w:sz="0" w:space="0" w:color="auto"/>
                                                                                        <w:bottom w:val="none" w:sz="0" w:space="0" w:color="auto"/>
                                                                                        <w:right w:val="none" w:sz="0" w:space="0" w:color="auto"/>
                                                                                      </w:divBdr>
                                                                                    </w:div>
                                                                                    <w:div w:id="1612859874">
                                                                                      <w:marLeft w:val="0"/>
                                                                                      <w:marRight w:val="0"/>
                                                                                      <w:marTop w:val="0"/>
                                                                                      <w:marBottom w:val="0"/>
                                                                                      <w:divBdr>
                                                                                        <w:top w:val="none" w:sz="0" w:space="0" w:color="auto"/>
                                                                                        <w:left w:val="none" w:sz="0" w:space="0" w:color="auto"/>
                                                                                        <w:bottom w:val="none" w:sz="0" w:space="0" w:color="auto"/>
                                                                                        <w:right w:val="none" w:sz="0" w:space="0" w:color="auto"/>
                                                                                      </w:divBdr>
                                                                                    </w:div>
                                                                                    <w:div w:id="197860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010241">
      <w:marLeft w:val="0"/>
      <w:marRight w:val="0"/>
      <w:marTop w:val="0"/>
      <w:marBottom w:val="0"/>
      <w:divBdr>
        <w:top w:val="none" w:sz="0" w:space="0" w:color="auto"/>
        <w:left w:val="none" w:sz="0" w:space="0" w:color="auto"/>
        <w:bottom w:val="none" w:sz="0" w:space="0" w:color="auto"/>
        <w:right w:val="none" w:sz="0" w:space="0" w:color="auto"/>
      </w:divBdr>
    </w:div>
    <w:div w:id="109015307">
      <w:bodyDiv w:val="1"/>
      <w:marLeft w:val="0"/>
      <w:marRight w:val="0"/>
      <w:marTop w:val="0"/>
      <w:marBottom w:val="0"/>
      <w:divBdr>
        <w:top w:val="none" w:sz="0" w:space="0" w:color="auto"/>
        <w:left w:val="none" w:sz="0" w:space="0" w:color="auto"/>
        <w:bottom w:val="none" w:sz="0" w:space="0" w:color="auto"/>
        <w:right w:val="none" w:sz="0" w:space="0" w:color="auto"/>
      </w:divBdr>
    </w:div>
    <w:div w:id="194857202">
      <w:marLeft w:val="0"/>
      <w:marRight w:val="0"/>
      <w:marTop w:val="0"/>
      <w:marBottom w:val="0"/>
      <w:divBdr>
        <w:top w:val="none" w:sz="0" w:space="0" w:color="auto"/>
        <w:left w:val="none" w:sz="0" w:space="0" w:color="auto"/>
        <w:bottom w:val="none" w:sz="0" w:space="0" w:color="auto"/>
        <w:right w:val="none" w:sz="0" w:space="0" w:color="auto"/>
      </w:divBdr>
    </w:div>
    <w:div w:id="197815561">
      <w:bodyDiv w:val="1"/>
      <w:marLeft w:val="0"/>
      <w:marRight w:val="0"/>
      <w:marTop w:val="0"/>
      <w:marBottom w:val="0"/>
      <w:divBdr>
        <w:top w:val="none" w:sz="0" w:space="0" w:color="auto"/>
        <w:left w:val="none" w:sz="0" w:space="0" w:color="auto"/>
        <w:bottom w:val="none" w:sz="0" w:space="0" w:color="auto"/>
        <w:right w:val="none" w:sz="0" w:space="0" w:color="auto"/>
      </w:divBdr>
    </w:div>
    <w:div w:id="211427850">
      <w:bodyDiv w:val="1"/>
      <w:marLeft w:val="0"/>
      <w:marRight w:val="0"/>
      <w:marTop w:val="0"/>
      <w:marBottom w:val="0"/>
      <w:divBdr>
        <w:top w:val="none" w:sz="0" w:space="0" w:color="auto"/>
        <w:left w:val="none" w:sz="0" w:space="0" w:color="auto"/>
        <w:bottom w:val="none" w:sz="0" w:space="0" w:color="auto"/>
        <w:right w:val="none" w:sz="0" w:space="0" w:color="auto"/>
      </w:divBdr>
    </w:div>
    <w:div w:id="224336175">
      <w:marLeft w:val="0"/>
      <w:marRight w:val="0"/>
      <w:marTop w:val="0"/>
      <w:marBottom w:val="0"/>
      <w:divBdr>
        <w:top w:val="none" w:sz="0" w:space="0" w:color="auto"/>
        <w:left w:val="none" w:sz="0" w:space="0" w:color="auto"/>
        <w:bottom w:val="none" w:sz="0" w:space="0" w:color="auto"/>
        <w:right w:val="none" w:sz="0" w:space="0" w:color="auto"/>
      </w:divBdr>
    </w:div>
    <w:div w:id="227496699">
      <w:bodyDiv w:val="1"/>
      <w:marLeft w:val="0"/>
      <w:marRight w:val="0"/>
      <w:marTop w:val="0"/>
      <w:marBottom w:val="0"/>
      <w:divBdr>
        <w:top w:val="none" w:sz="0" w:space="0" w:color="auto"/>
        <w:left w:val="none" w:sz="0" w:space="0" w:color="auto"/>
        <w:bottom w:val="none" w:sz="0" w:space="0" w:color="auto"/>
        <w:right w:val="none" w:sz="0" w:space="0" w:color="auto"/>
      </w:divBdr>
    </w:div>
    <w:div w:id="249000766">
      <w:bodyDiv w:val="1"/>
      <w:marLeft w:val="0"/>
      <w:marRight w:val="0"/>
      <w:marTop w:val="0"/>
      <w:marBottom w:val="0"/>
      <w:divBdr>
        <w:top w:val="none" w:sz="0" w:space="0" w:color="auto"/>
        <w:left w:val="none" w:sz="0" w:space="0" w:color="auto"/>
        <w:bottom w:val="none" w:sz="0" w:space="0" w:color="auto"/>
        <w:right w:val="none" w:sz="0" w:space="0" w:color="auto"/>
      </w:divBdr>
    </w:div>
    <w:div w:id="256181824">
      <w:bodyDiv w:val="1"/>
      <w:marLeft w:val="0"/>
      <w:marRight w:val="0"/>
      <w:marTop w:val="0"/>
      <w:marBottom w:val="0"/>
      <w:divBdr>
        <w:top w:val="none" w:sz="0" w:space="0" w:color="auto"/>
        <w:left w:val="none" w:sz="0" w:space="0" w:color="auto"/>
        <w:bottom w:val="none" w:sz="0" w:space="0" w:color="auto"/>
        <w:right w:val="none" w:sz="0" w:space="0" w:color="auto"/>
      </w:divBdr>
      <w:divsChild>
        <w:div w:id="480467208">
          <w:marLeft w:val="0"/>
          <w:marRight w:val="0"/>
          <w:marTop w:val="0"/>
          <w:marBottom w:val="0"/>
          <w:divBdr>
            <w:top w:val="none" w:sz="0" w:space="0" w:color="auto"/>
            <w:left w:val="none" w:sz="0" w:space="0" w:color="auto"/>
            <w:bottom w:val="none" w:sz="0" w:space="0" w:color="auto"/>
            <w:right w:val="none" w:sz="0" w:space="0" w:color="auto"/>
          </w:divBdr>
        </w:div>
        <w:div w:id="536549163">
          <w:marLeft w:val="0"/>
          <w:marRight w:val="0"/>
          <w:marTop w:val="0"/>
          <w:marBottom w:val="0"/>
          <w:divBdr>
            <w:top w:val="none" w:sz="0" w:space="0" w:color="auto"/>
            <w:left w:val="none" w:sz="0" w:space="0" w:color="auto"/>
            <w:bottom w:val="none" w:sz="0" w:space="0" w:color="auto"/>
            <w:right w:val="none" w:sz="0" w:space="0" w:color="auto"/>
          </w:divBdr>
        </w:div>
        <w:div w:id="1110322652">
          <w:marLeft w:val="0"/>
          <w:marRight w:val="0"/>
          <w:marTop w:val="0"/>
          <w:marBottom w:val="0"/>
          <w:divBdr>
            <w:top w:val="none" w:sz="0" w:space="0" w:color="auto"/>
            <w:left w:val="none" w:sz="0" w:space="0" w:color="auto"/>
            <w:bottom w:val="none" w:sz="0" w:space="0" w:color="auto"/>
            <w:right w:val="none" w:sz="0" w:space="0" w:color="auto"/>
          </w:divBdr>
        </w:div>
        <w:div w:id="1286035141">
          <w:marLeft w:val="0"/>
          <w:marRight w:val="0"/>
          <w:marTop w:val="0"/>
          <w:marBottom w:val="0"/>
          <w:divBdr>
            <w:top w:val="none" w:sz="0" w:space="0" w:color="auto"/>
            <w:left w:val="none" w:sz="0" w:space="0" w:color="auto"/>
            <w:bottom w:val="none" w:sz="0" w:space="0" w:color="auto"/>
            <w:right w:val="none" w:sz="0" w:space="0" w:color="auto"/>
          </w:divBdr>
        </w:div>
        <w:div w:id="1330792841">
          <w:marLeft w:val="0"/>
          <w:marRight w:val="0"/>
          <w:marTop w:val="0"/>
          <w:marBottom w:val="0"/>
          <w:divBdr>
            <w:top w:val="none" w:sz="0" w:space="0" w:color="auto"/>
            <w:left w:val="none" w:sz="0" w:space="0" w:color="auto"/>
            <w:bottom w:val="none" w:sz="0" w:space="0" w:color="auto"/>
            <w:right w:val="none" w:sz="0" w:space="0" w:color="auto"/>
          </w:divBdr>
        </w:div>
        <w:div w:id="1371615934">
          <w:marLeft w:val="0"/>
          <w:marRight w:val="0"/>
          <w:marTop w:val="0"/>
          <w:marBottom w:val="0"/>
          <w:divBdr>
            <w:top w:val="none" w:sz="0" w:space="0" w:color="auto"/>
            <w:left w:val="none" w:sz="0" w:space="0" w:color="auto"/>
            <w:bottom w:val="none" w:sz="0" w:space="0" w:color="auto"/>
            <w:right w:val="none" w:sz="0" w:space="0" w:color="auto"/>
          </w:divBdr>
        </w:div>
        <w:div w:id="1512648828">
          <w:marLeft w:val="0"/>
          <w:marRight w:val="0"/>
          <w:marTop w:val="0"/>
          <w:marBottom w:val="0"/>
          <w:divBdr>
            <w:top w:val="none" w:sz="0" w:space="0" w:color="auto"/>
            <w:left w:val="none" w:sz="0" w:space="0" w:color="auto"/>
            <w:bottom w:val="none" w:sz="0" w:space="0" w:color="auto"/>
            <w:right w:val="none" w:sz="0" w:space="0" w:color="auto"/>
          </w:divBdr>
        </w:div>
        <w:div w:id="1649169669">
          <w:marLeft w:val="0"/>
          <w:marRight w:val="0"/>
          <w:marTop w:val="0"/>
          <w:marBottom w:val="0"/>
          <w:divBdr>
            <w:top w:val="none" w:sz="0" w:space="0" w:color="auto"/>
            <w:left w:val="none" w:sz="0" w:space="0" w:color="auto"/>
            <w:bottom w:val="none" w:sz="0" w:space="0" w:color="auto"/>
            <w:right w:val="none" w:sz="0" w:space="0" w:color="auto"/>
          </w:divBdr>
        </w:div>
      </w:divsChild>
    </w:div>
    <w:div w:id="269047281">
      <w:bodyDiv w:val="1"/>
      <w:marLeft w:val="0"/>
      <w:marRight w:val="0"/>
      <w:marTop w:val="0"/>
      <w:marBottom w:val="0"/>
      <w:divBdr>
        <w:top w:val="none" w:sz="0" w:space="0" w:color="auto"/>
        <w:left w:val="none" w:sz="0" w:space="0" w:color="auto"/>
        <w:bottom w:val="none" w:sz="0" w:space="0" w:color="auto"/>
        <w:right w:val="none" w:sz="0" w:space="0" w:color="auto"/>
      </w:divBdr>
    </w:div>
    <w:div w:id="338705003">
      <w:bodyDiv w:val="1"/>
      <w:marLeft w:val="0"/>
      <w:marRight w:val="0"/>
      <w:marTop w:val="0"/>
      <w:marBottom w:val="0"/>
      <w:divBdr>
        <w:top w:val="none" w:sz="0" w:space="0" w:color="auto"/>
        <w:left w:val="none" w:sz="0" w:space="0" w:color="auto"/>
        <w:bottom w:val="none" w:sz="0" w:space="0" w:color="auto"/>
        <w:right w:val="none" w:sz="0" w:space="0" w:color="auto"/>
      </w:divBdr>
    </w:div>
    <w:div w:id="346174404">
      <w:bodyDiv w:val="1"/>
      <w:marLeft w:val="0"/>
      <w:marRight w:val="0"/>
      <w:marTop w:val="0"/>
      <w:marBottom w:val="0"/>
      <w:divBdr>
        <w:top w:val="none" w:sz="0" w:space="0" w:color="auto"/>
        <w:left w:val="none" w:sz="0" w:space="0" w:color="auto"/>
        <w:bottom w:val="none" w:sz="0" w:space="0" w:color="auto"/>
        <w:right w:val="none" w:sz="0" w:space="0" w:color="auto"/>
      </w:divBdr>
      <w:divsChild>
        <w:div w:id="490947793">
          <w:marLeft w:val="0"/>
          <w:marRight w:val="0"/>
          <w:marTop w:val="77"/>
          <w:marBottom w:val="0"/>
          <w:divBdr>
            <w:top w:val="none" w:sz="0" w:space="0" w:color="auto"/>
            <w:left w:val="none" w:sz="0" w:space="0" w:color="auto"/>
            <w:bottom w:val="none" w:sz="0" w:space="0" w:color="auto"/>
            <w:right w:val="none" w:sz="0" w:space="0" w:color="auto"/>
          </w:divBdr>
        </w:div>
        <w:div w:id="904409740">
          <w:marLeft w:val="0"/>
          <w:marRight w:val="0"/>
          <w:marTop w:val="77"/>
          <w:marBottom w:val="0"/>
          <w:divBdr>
            <w:top w:val="none" w:sz="0" w:space="0" w:color="auto"/>
            <w:left w:val="none" w:sz="0" w:space="0" w:color="auto"/>
            <w:bottom w:val="none" w:sz="0" w:space="0" w:color="auto"/>
            <w:right w:val="none" w:sz="0" w:space="0" w:color="auto"/>
          </w:divBdr>
        </w:div>
        <w:div w:id="991714178">
          <w:marLeft w:val="0"/>
          <w:marRight w:val="0"/>
          <w:marTop w:val="77"/>
          <w:marBottom w:val="0"/>
          <w:divBdr>
            <w:top w:val="none" w:sz="0" w:space="0" w:color="auto"/>
            <w:left w:val="none" w:sz="0" w:space="0" w:color="auto"/>
            <w:bottom w:val="none" w:sz="0" w:space="0" w:color="auto"/>
            <w:right w:val="none" w:sz="0" w:space="0" w:color="auto"/>
          </w:divBdr>
        </w:div>
        <w:div w:id="1040592279">
          <w:marLeft w:val="0"/>
          <w:marRight w:val="0"/>
          <w:marTop w:val="77"/>
          <w:marBottom w:val="0"/>
          <w:divBdr>
            <w:top w:val="none" w:sz="0" w:space="0" w:color="auto"/>
            <w:left w:val="none" w:sz="0" w:space="0" w:color="auto"/>
            <w:bottom w:val="none" w:sz="0" w:space="0" w:color="auto"/>
            <w:right w:val="none" w:sz="0" w:space="0" w:color="auto"/>
          </w:divBdr>
        </w:div>
        <w:div w:id="1049720813">
          <w:marLeft w:val="0"/>
          <w:marRight w:val="0"/>
          <w:marTop w:val="77"/>
          <w:marBottom w:val="0"/>
          <w:divBdr>
            <w:top w:val="none" w:sz="0" w:space="0" w:color="auto"/>
            <w:left w:val="none" w:sz="0" w:space="0" w:color="auto"/>
            <w:bottom w:val="none" w:sz="0" w:space="0" w:color="auto"/>
            <w:right w:val="none" w:sz="0" w:space="0" w:color="auto"/>
          </w:divBdr>
        </w:div>
        <w:div w:id="1222404004">
          <w:marLeft w:val="0"/>
          <w:marRight w:val="0"/>
          <w:marTop w:val="77"/>
          <w:marBottom w:val="0"/>
          <w:divBdr>
            <w:top w:val="none" w:sz="0" w:space="0" w:color="auto"/>
            <w:left w:val="none" w:sz="0" w:space="0" w:color="auto"/>
            <w:bottom w:val="none" w:sz="0" w:space="0" w:color="auto"/>
            <w:right w:val="none" w:sz="0" w:space="0" w:color="auto"/>
          </w:divBdr>
        </w:div>
        <w:div w:id="1242135865">
          <w:marLeft w:val="0"/>
          <w:marRight w:val="0"/>
          <w:marTop w:val="77"/>
          <w:marBottom w:val="0"/>
          <w:divBdr>
            <w:top w:val="none" w:sz="0" w:space="0" w:color="auto"/>
            <w:left w:val="none" w:sz="0" w:space="0" w:color="auto"/>
            <w:bottom w:val="none" w:sz="0" w:space="0" w:color="auto"/>
            <w:right w:val="none" w:sz="0" w:space="0" w:color="auto"/>
          </w:divBdr>
        </w:div>
        <w:div w:id="1427071884">
          <w:marLeft w:val="0"/>
          <w:marRight w:val="0"/>
          <w:marTop w:val="77"/>
          <w:marBottom w:val="0"/>
          <w:divBdr>
            <w:top w:val="none" w:sz="0" w:space="0" w:color="auto"/>
            <w:left w:val="none" w:sz="0" w:space="0" w:color="auto"/>
            <w:bottom w:val="none" w:sz="0" w:space="0" w:color="auto"/>
            <w:right w:val="none" w:sz="0" w:space="0" w:color="auto"/>
          </w:divBdr>
        </w:div>
        <w:div w:id="1788087074">
          <w:marLeft w:val="0"/>
          <w:marRight w:val="0"/>
          <w:marTop w:val="77"/>
          <w:marBottom w:val="0"/>
          <w:divBdr>
            <w:top w:val="none" w:sz="0" w:space="0" w:color="auto"/>
            <w:left w:val="none" w:sz="0" w:space="0" w:color="auto"/>
            <w:bottom w:val="none" w:sz="0" w:space="0" w:color="auto"/>
            <w:right w:val="none" w:sz="0" w:space="0" w:color="auto"/>
          </w:divBdr>
        </w:div>
        <w:div w:id="1981417758">
          <w:marLeft w:val="0"/>
          <w:marRight w:val="0"/>
          <w:marTop w:val="77"/>
          <w:marBottom w:val="0"/>
          <w:divBdr>
            <w:top w:val="none" w:sz="0" w:space="0" w:color="auto"/>
            <w:left w:val="none" w:sz="0" w:space="0" w:color="auto"/>
            <w:bottom w:val="none" w:sz="0" w:space="0" w:color="auto"/>
            <w:right w:val="none" w:sz="0" w:space="0" w:color="auto"/>
          </w:divBdr>
        </w:div>
      </w:divsChild>
    </w:div>
    <w:div w:id="365639357">
      <w:marLeft w:val="0"/>
      <w:marRight w:val="0"/>
      <w:marTop w:val="0"/>
      <w:marBottom w:val="0"/>
      <w:divBdr>
        <w:top w:val="none" w:sz="0" w:space="0" w:color="auto"/>
        <w:left w:val="none" w:sz="0" w:space="0" w:color="auto"/>
        <w:bottom w:val="none" w:sz="0" w:space="0" w:color="auto"/>
        <w:right w:val="none" w:sz="0" w:space="0" w:color="auto"/>
      </w:divBdr>
    </w:div>
    <w:div w:id="436756474">
      <w:bodyDiv w:val="1"/>
      <w:marLeft w:val="0"/>
      <w:marRight w:val="0"/>
      <w:marTop w:val="0"/>
      <w:marBottom w:val="0"/>
      <w:divBdr>
        <w:top w:val="none" w:sz="0" w:space="0" w:color="auto"/>
        <w:left w:val="none" w:sz="0" w:space="0" w:color="auto"/>
        <w:bottom w:val="none" w:sz="0" w:space="0" w:color="auto"/>
        <w:right w:val="none" w:sz="0" w:space="0" w:color="auto"/>
      </w:divBdr>
    </w:div>
    <w:div w:id="439420781">
      <w:bodyDiv w:val="1"/>
      <w:marLeft w:val="0"/>
      <w:marRight w:val="0"/>
      <w:marTop w:val="0"/>
      <w:marBottom w:val="0"/>
      <w:divBdr>
        <w:top w:val="none" w:sz="0" w:space="0" w:color="auto"/>
        <w:left w:val="none" w:sz="0" w:space="0" w:color="auto"/>
        <w:bottom w:val="none" w:sz="0" w:space="0" w:color="auto"/>
        <w:right w:val="none" w:sz="0" w:space="0" w:color="auto"/>
      </w:divBdr>
    </w:div>
    <w:div w:id="450320771">
      <w:bodyDiv w:val="1"/>
      <w:marLeft w:val="0"/>
      <w:marRight w:val="0"/>
      <w:marTop w:val="0"/>
      <w:marBottom w:val="0"/>
      <w:divBdr>
        <w:top w:val="none" w:sz="0" w:space="0" w:color="auto"/>
        <w:left w:val="none" w:sz="0" w:space="0" w:color="auto"/>
        <w:bottom w:val="none" w:sz="0" w:space="0" w:color="auto"/>
        <w:right w:val="none" w:sz="0" w:space="0" w:color="auto"/>
      </w:divBdr>
    </w:div>
    <w:div w:id="490875960">
      <w:bodyDiv w:val="1"/>
      <w:marLeft w:val="0"/>
      <w:marRight w:val="0"/>
      <w:marTop w:val="0"/>
      <w:marBottom w:val="0"/>
      <w:divBdr>
        <w:top w:val="none" w:sz="0" w:space="0" w:color="auto"/>
        <w:left w:val="none" w:sz="0" w:space="0" w:color="auto"/>
        <w:bottom w:val="none" w:sz="0" w:space="0" w:color="auto"/>
        <w:right w:val="none" w:sz="0" w:space="0" w:color="auto"/>
      </w:divBdr>
    </w:div>
    <w:div w:id="516426952">
      <w:bodyDiv w:val="1"/>
      <w:marLeft w:val="0"/>
      <w:marRight w:val="0"/>
      <w:marTop w:val="0"/>
      <w:marBottom w:val="0"/>
      <w:divBdr>
        <w:top w:val="none" w:sz="0" w:space="0" w:color="auto"/>
        <w:left w:val="none" w:sz="0" w:space="0" w:color="auto"/>
        <w:bottom w:val="none" w:sz="0" w:space="0" w:color="auto"/>
        <w:right w:val="none" w:sz="0" w:space="0" w:color="auto"/>
      </w:divBdr>
      <w:divsChild>
        <w:div w:id="296227131">
          <w:marLeft w:val="0"/>
          <w:marRight w:val="0"/>
          <w:marTop w:val="0"/>
          <w:marBottom w:val="0"/>
          <w:divBdr>
            <w:top w:val="none" w:sz="0" w:space="0" w:color="auto"/>
            <w:left w:val="none" w:sz="0" w:space="0" w:color="auto"/>
            <w:bottom w:val="none" w:sz="0" w:space="0" w:color="auto"/>
            <w:right w:val="none" w:sz="0" w:space="0" w:color="auto"/>
          </w:divBdr>
        </w:div>
        <w:div w:id="1078480908">
          <w:marLeft w:val="0"/>
          <w:marRight w:val="0"/>
          <w:marTop w:val="0"/>
          <w:marBottom w:val="0"/>
          <w:divBdr>
            <w:top w:val="none" w:sz="0" w:space="0" w:color="auto"/>
            <w:left w:val="none" w:sz="0" w:space="0" w:color="auto"/>
            <w:bottom w:val="none" w:sz="0" w:space="0" w:color="auto"/>
            <w:right w:val="none" w:sz="0" w:space="0" w:color="auto"/>
          </w:divBdr>
        </w:div>
        <w:div w:id="1204249307">
          <w:marLeft w:val="0"/>
          <w:marRight w:val="0"/>
          <w:marTop w:val="0"/>
          <w:marBottom w:val="0"/>
          <w:divBdr>
            <w:top w:val="none" w:sz="0" w:space="0" w:color="auto"/>
            <w:left w:val="none" w:sz="0" w:space="0" w:color="auto"/>
            <w:bottom w:val="none" w:sz="0" w:space="0" w:color="auto"/>
            <w:right w:val="none" w:sz="0" w:space="0" w:color="auto"/>
          </w:divBdr>
        </w:div>
        <w:div w:id="1308364434">
          <w:marLeft w:val="0"/>
          <w:marRight w:val="0"/>
          <w:marTop w:val="0"/>
          <w:marBottom w:val="0"/>
          <w:divBdr>
            <w:top w:val="none" w:sz="0" w:space="0" w:color="auto"/>
            <w:left w:val="none" w:sz="0" w:space="0" w:color="auto"/>
            <w:bottom w:val="none" w:sz="0" w:space="0" w:color="auto"/>
            <w:right w:val="none" w:sz="0" w:space="0" w:color="auto"/>
          </w:divBdr>
          <w:divsChild>
            <w:div w:id="1516919796">
              <w:marLeft w:val="0"/>
              <w:marRight w:val="0"/>
              <w:marTop w:val="0"/>
              <w:marBottom w:val="0"/>
              <w:divBdr>
                <w:top w:val="none" w:sz="0" w:space="0" w:color="auto"/>
                <w:left w:val="none" w:sz="0" w:space="0" w:color="auto"/>
                <w:bottom w:val="none" w:sz="0" w:space="0" w:color="auto"/>
                <w:right w:val="none" w:sz="0" w:space="0" w:color="auto"/>
              </w:divBdr>
              <w:divsChild>
                <w:div w:id="917716682">
                  <w:marLeft w:val="0"/>
                  <w:marRight w:val="0"/>
                  <w:marTop w:val="0"/>
                  <w:marBottom w:val="0"/>
                  <w:divBdr>
                    <w:top w:val="none" w:sz="0" w:space="0" w:color="auto"/>
                    <w:left w:val="none" w:sz="0" w:space="0" w:color="auto"/>
                    <w:bottom w:val="none" w:sz="0" w:space="0" w:color="auto"/>
                    <w:right w:val="none" w:sz="0" w:space="0" w:color="auto"/>
                  </w:divBdr>
                  <w:divsChild>
                    <w:div w:id="1825465182">
                      <w:marLeft w:val="0"/>
                      <w:marRight w:val="0"/>
                      <w:marTop w:val="0"/>
                      <w:marBottom w:val="0"/>
                      <w:divBdr>
                        <w:top w:val="none" w:sz="0" w:space="0" w:color="auto"/>
                        <w:left w:val="none" w:sz="0" w:space="0" w:color="auto"/>
                        <w:bottom w:val="none" w:sz="0" w:space="0" w:color="auto"/>
                        <w:right w:val="none" w:sz="0" w:space="0" w:color="auto"/>
                      </w:divBdr>
                      <w:divsChild>
                        <w:div w:id="1667589427">
                          <w:marLeft w:val="0"/>
                          <w:marRight w:val="0"/>
                          <w:marTop w:val="0"/>
                          <w:marBottom w:val="0"/>
                          <w:divBdr>
                            <w:top w:val="none" w:sz="0" w:space="0" w:color="auto"/>
                            <w:left w:val="none" w:sz="0" w:space="0" w:color="auto"/>
                            <w:bottom w:val="none" w:sz="0" w:space="0" w:color="auto"/>
                            <w:right w:val="none" w:sz="0" w:space="0" w:color="auto"/>
                          </w:divBdr>
                          <w:divsChild>
                            <w:div w:id="1111437308">
                              <w:marLeft w:val="0"/>
                              <w:marRight w:val="0"/>
                              <w:marTop w:val="0"/>
                              <w:marBottom w:val="0"/>
                              <w:divBdr>
                                <w:top w:val="none" w:sz="0" w:space="0" w:color="auto"/>
                                <w:left w:val="none" w:sz="0" w:space="0" w:color="auto"/>
                                <w:bottom w:val="none" w:sz="0" w:space="0" w:color="auto"/>
                                <w:right w:val="none" w:sz="0" w:space="0" w:color="auto"/>
                              </w:divBdr>
                              <w:divsChild>
                                <w:div w:id="783156179">
                                  <w:marLeft w:val="0"/>
                                  <w:marRight w:val="0"/>
                                  <w:marTop w:val="0"/>
                                  <w:marBottom w:val="0"/>
                                  <w:divBdr>
                                    <w:top w:val="none" w:sz="0" w:space="0" w:color="auto"/>
                                    <w:left w:val="none" w:sz="0" w:space="0" w:color="auto"/>
                                    <w:bottom w:val="none" w:sz="0" w:space="0" w:color="auto"/>
                                    <w:right w:val="none" w:sz="0" w:space="0" w:color="auto"/>
                                  </w:divBdr>
                                  <w:divsChild>
                                    <w:div w:id="1980379371">
                                      <w:marLeft w:val="0"/>
                                      <w:marRight w:val="0"/>
                                      <w:marTop w:val="0"/>
                                      <w:marBottom w:val="0"/>
                                      <w:divBdr>
                                        <w:top w:val="none" w:sz="0" w:space="0" w:color="auto"/>
                                        <w:left w:val="none" w:sz="0" w:space="0" w:color="auto"/>
                                        <w:bottom w:val="none" w:sz="0" w:space="0" w:color="auto"/>
                                        <w:right w:val="none" w:sz="0" w:space="0" w:color="auto"/>
                                      </w:divBdr>
                                      <w:divsChild>
                                        <w:div w:id="113980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103570">
          <w:marLeft w:val="0"/>
          <w:marRight w:val="0"/>
          <w:marTop w:val="0"/>
          <w:marBottom w:val="0"/>
          <w:divBdr>
            <w:top w:val="none" w:sz="0" w:space="0" w:color="auto"/>
            <w:left w:val="none" w:sz="0" w:space="0" w:color="auto"/>
            <w:bottom w:val="none" w:sz="0" w:space="0" w:color="auto"/>
            <w:right w:val="none" w:sz="0" w:space="0" w:color="auto"/>
          </w:divBdr>
        </w:div>
        <w:div w:id="1918124462">
          <w:marLeft w:val="0"/>
          <w:marRight w:val="0"/>
          <w:marTop w:val="0"/>
          <w:marBottom w:val="0"/>
          <w:divBdr>
            <w:top w:val="none" w:sz="0" w:space="0" w:color="auto"/>
            <w:left w:val="none" w:sz="0" w:space="0" w:color="auto"/>
            <w:bottom w:val="none" w:sz="0" w:space="0" w:color="auto"/>
            <w:right w:val="none" w:sz="0" w:space="0" w:color="auto"/>
          </w:divBdr>
        </w:div>
        <w:div w:id="1935283695">
          <w:marLeft w:val="0"/>
          <w:marRight w:val="0"/>
          <w:marTop w:val="0"/>
          <w:marBottom w:val="0"/>
          <w:divBdr>
            <w:top w:val="none" w:sz="0" w:space="0" w:color="auto"/>
            <w:left w:val="none" w:sz="0" w:space="0" w:color="auto"/>
            <w:bottom w:val="none" w:sz="0" w:space="0" w:color="auto"/>
            <w:right w:val="none" w:sz="0" w:space="0" w:color="auto"/>
          </w:divBdr>
        </w:div>
        <w:div w:id="1964069510">
          <w:marLeft w:val="0"/>
          <w:marRight w:val="0"/>
          <w:marTop w:val="0"/>
          <w:marBottom w:val="0"/>
          <w:divBdr>
            <w:top w:val="none" w:sz="0" w:space="0" w:color="auto"/>
            <w:left w:val="none" w:sz="0" w:space="0" w:color="auto"/>
            <w:bottom w:val="none" w:sz="0" w:space="0" w:color="auto"/>
            <w:right w:val="none" w:sz="0" w:space="0" w:color="auto"/>
          </w:divBdr>
        </w:div>
        <w:div w:id="2033340871">
          <w:marLeft w:val="0"/>
          <w:marRight w:val="0"/>
          <w:marTop w:val="0"/>
          <w:marBottom w:val="0"/>
          <w:divBdr>
            <w:top w:val="none" w:sz="0" w:space="0" w:color="auto"/>
            <w:left w:val="none" w:sz="0" w:space="0" w:color="auto"/>
            <w:bottom w:val="none" w:sz="0" w:space="0" w:color="auto"/>
            <w:right w:val="none" w:sz="0" w:space="0" w:color="auto"/>
          </w:divBdr>
        </w:div>
      </w:divsChild>
    </w:div>
    <w:div w:id="521437169">
      <w:bodyDiv w:val="1"/>
      <w:marLeft w:val="0"/>
      <w:marRight w:val="0"/>
      <w:marTop w:val="0"/>
      <w:marBottom w:val="0"/>
      <w:divBdr>
        <w:top w:val="none" w:sz="0" w:space="0" w:color="auto"/>
        <w:left w:val="none" w:sz="0" w:space="0" w:color="auto"/>
        <w:bottom w:val="none" w:sz="0" w:space="0" w:color="auto"/>
        <w:right w:val="none" w:sz="0" w:space="0" w:color="auto"/>
      </w:divBdr>
      <w:divsChild>
        <w:div w:id="1801342812">
          <w:marLeft w:val="0"/>
          <w:marRight w:val="0"/>
          <w:marTop w:val="0"/>
          <w:marBottom w:val="0"/>
          <w:divBdr>
            <w:top w:val="none" w:sz="0" w:space="0" w:color="auto"/>
            <w:left w:val="none" w:sz="0" w:space="0" w:color="auto"/>
            <w:bottom w:val="none" w:sz="0" w:space="0" w:color="auto"/>
            <w:right w:val="none" w:sz="0" w:space="0" w:color="auto"/>
          </w:divBdr>
          <w:divsChild>
            <w:div w:id="2131589408">
              <w:marLeft w:val="0"/>
              <w:marRight w:val="0"/>
              <w:marTop w:val="0"/>
              <w:marBottom w:val="0"/>
              <w:divBdr>
                <w:top w:val="none" w:sz="0" w:space="0" w:color="auto"/>
                <w:left w:val="none" w:sz="0" w:space="0" w:color="auto"/>
                <w:bottom w:val="none" w:sz="0" w:space="0" w:color="auto"/>
                <w:right w:val="none" w:sz="0" w:space="0" w:color="auto"/>
              </w:divBdr>
              <w:divsChild>
                <w:div w:id="1945962443">
                  <w:marLeft w:val="0"/>
                  <w:marRight w:val="0"/>
                  <w:marTop w:val="0"/>
                  <w:marBottom w:val="0"/>
                  <w:divBdr>
                    <w:top w:val="none" w:sz="0" w:space="0" w:color="auto"/>
                    <w:left w:val="none" w:sz="0" w:space="0" w:color="auto"/>
                    <w:bottom w:val="none" w:sz="0" w:space="0" w:color="auto"/>
                    <w:right w:val="none" w:sz="0" w:space="0" w:color="auto"/>
                  </w:divBdr>
                  <w:divsChild>
                    <w:div w:id="887182738">
                      <w:marLeft w:val="0"/>
                      <w:marRight w:val="0"/>
                      <w:marTop w:val="0"/>
                      <w:marBottom w:val="0"/>
                      <w:divBdr>
                        <w:top w:val="none" w:sz="0" w:space="0" w:color="auto"/>
                        <w:left w:val="none" w:sz="0" w:space="0" w:color="auto"/>
                        <w:bottom w:val="none" w:sz="0" w:space="0" w:color="auto"/>
                        <w:right w:val="none" w:sz="0" w:space="0" w:color="auto"/>
                      </w:divBdr>
                      <w:divsChild>
                        <w:div w:id="35128168">
                          <w:marLeft w:val="0"/>
                          <w:marRight w:val="0"/>
                          <w:marTop w:val="0"/>
                          <w:marBottom w:val="0"/>
                          <w:divBdr>
                            <w:top w:val="none" w:sz="0" w:space="0" w:color="auto"/>
                            <w:left w:val="none" w:sz="0" w:space="0" w:color="auto"/>
                            <w:bottom w:val="none" w:sz="0" w:space="0" w:color="auto"/>
                            <w:right w:val="none" w:sz="0" w:space="0" w:color="auto"/>
                          </w:divBdr>
                          <w:divsChild>
                            <w:div w:id="90433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071709">
      <w:bodyDiv w:val="1"/>
      <w:marLeft w:val="0"/>
      <w:marRight w:val="0"/>
      <w:marTop w:val="0"/>
      <w:marBottom w:val="0"/>
      <w:divBdr>
        <w:top w:val="none" w:sz="0" w:space="0" w:color="auto"/>
        <w:left w:val="none" w:sz="0" w:space="0" w:color="auto"/>
        <w:bottom w:val="none" w:sz="0" w:space="0" w:color="auto"/>
        <w:right w:val="none" w:sz="0" w:space="0" w:color="auto"/>
      </w:divBdr>
    </w:div>
    <w:div w:id="588779384">
      <w:bodyDiv w:val="1"/>
      <w:marLeft w:val="0"/>
      <w:marRight w:val="0"/>
      <w:marTop w:val="0"/>
      <w:marBottom w:val="0"/>
      <w:divBdr>
        <w:top w:val="none" w:sz="0" w:space="0" w:color="auto"/>
        <w:left w:val="none" w:sz="0" w:space="0" w:color="auto"/>
        <w:bottom w:val="none" w:sz="0" w:space="0" w:color="auto"/>
        <w:right w:val="none" w:sz="0" w:space="0" w:color="auto"/>
      </w:divBdr>
    </w:div>
    <w:div w:id="623653426">
      <w:bodyDiv w:val="1"/>
      <w:marLeft w:val="0"/>
      <w:marRight w:val="0"/>
      <w:marTop w:val="0"/>
      <w:marBottom w:val="0"/>
      <w:divBdr>
        <w:top w:val="none" w:sz="0" w:space="0" w:color="auto"/>
        <w:left w:val="none" w:sz="0" w:space="0" w:color="auto"/>
        <w:bottom w:val="none" w:sz="0" w:space="0" w:color="auto"/>
        <w:right w:val="none" w:sz="0" w:space="0" w:color="auto"/>
      </w:divBdr>
      <w:divsChild>
        <w:div w:id="1965967212">
          <w:marLeft w:val="0"/>
          <w:marRight w:val="0"/>
          <w:marTop w:val="0"/>
          <w:marBottom w:val="0"/>
          <w:divBdr>
            <w:top w:val="none" w:sz="0" w:space="0" w:color="auto"/>
            <w:left w:val="none" w:sz="0" w:space="0" w:color="auto"/>
            <w:bottom w:val="none" w:sz="0" w:space="0" w:color="auto"/>
            <w:right w:val="none" w:sz="0" w:space="0" w:color="auto"/>
          </w:divBdr>
          <w:divsChild>
            <w:div w:id="318312492">
              <w:marLeft w:val="0"/>
              <w:marRight w:val="0"/>
              <w:marTop w:val="0"/>
              <w:marBottom w:val="0"/>
              <w:divBdr>
                <w:top w:val="none" w:sz="0" w:space="0" w:color="auto"/>
                <w:left w:val="none" w:sz="0" w:space="0" w:color="auto"/>
                <w:bottom w:val="none" w:sz="0" w:space="0" w:color="auto"/>
                <w:right w:val="none" w:sz="0" w:space="0" w:color="auto"/>
              </w:divBdr>
              <w:divsChild>
                <w:div w:id="257637060">
                  <w:marLeft w:val="0"/>
                  <w:marRight w:val="0"/>
                  <w:marTop w:val="0"/>
                  <w:marBottom w:val="0"/>
                  <w:divBdr>
                    <w:top w:val="none" w:sz="0" w:space="0" w:color="auto"/>
                    <w:left w:val="none" w:sz="0" w:space="0" w:color="auto"/>
                    <w:bottom w:val="none" w:sz="0" w:space="0" w:color="auto"/>
                    <w:right w:val="none" w:sz="0" w:space="0" w:color="auto"/>
                  </w:divBdr>
                  <w:divsChild>
                    <w:div w:id="1356660853">
                      <w:marLeft w:val="0"/>
                      <w:marRight w:val="0"/>
                      <w:marTop w:val="0"/>
                      <w:marBottom w:val="0"/>
                      <w:divBdr>
                        <w:top w:val="none" w:sz="0" w:space="0" w:color="auto"/>
                        <w:left w:val="none" w:sz="0" w:space="0" w:color="auto"/>
                        <w:bottom w:val="none" w:sz="0" w:space="0" w:color="auto"/>
                        <w:right w:val="none" w:sz="0" w:space="0" w:color="auto"/>
                      </w:divBdr>
                      <w:divsChild>
                        <w:div w:id="1199077977">
                          <w:marLeft w:val="0"/>
                          <w:marRight w:val="0"/>
                          <w:marTop w:val="0"/>
                          <w:marBottom w:val="0"/>
                          <w:divBdr>
                            <w:top w:val="none" w:sz="0" w:space="0" w:color="auto"/>
                            <w:left w:val="none" w:sz="0" w:space="0" w:color="auto"/>
                            <w:bottom w:val="none" w:sz="0" w:space="0" w:color="auto"/>
                            <w:right w:val="none" w:sz="0" w:space="0" w:color="auto"/>
                          </w:divBdr>
                          <w:divsChild>
                            <w:div w:id="2547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87590">
      <w:bodyDiv w:val="1"/>
      <w:marLeft w:val="0"/>
      <w:marRight w:val="0"/>
      <w:marTop w:val="0"/>
      <w:marBottom w:val="0"/>
      <w:divBdr>
        <w:top w:val="none" w:sz="0" w:space="0" w:color="auto"/>
        <w:left w:val="none" w:sz="0" w:space="0" w:color="auto"/>
        <w:bottom w:val="none" w:sz="0" w:space="0" w:color="auto"/>
        <w:right w:val="none" w:sz="0" w:space="0" w:color="auto"/>
      </w:divBdr>
    </w:div>
    <w:div w:id="695040037">
      <w:bodyDiv w:val="1"/>
      <w:marLeft w:val="0"/>
      <w:marRight w:val="0"/>
      <w:marTop w:val="0"/>
      <w:marBottom w:val="0"/>
      <w:divBdr>
        <w:top w:val="none" w:sz="0" w:space="0" w:color="auto"/>
        <w:left w:val="none" w:sz="0" w:space="0" w:color="auto"/>
        <w:bottom w:val="none" w:sz="0" w:space="0" w:color="auto"/>
        <w:right w:val="none" w:sz="0" w:space="0" w:color="auto"/>
      </w:divBdr>
    </w:div>
    <w:div w:id="696810129">
      <w:bodyDiv w:val="1"/>
      <w:marLeft w:val="0"/>
      <w:marRight w:val="0"/>
      <w:marTop w:val="0"/>
      <w:marBottom w:val="0"/>
      <w:divBdr>
        <w:top w:val="none" w:sz="0" w:space="0" w:color="auto"/>
        <w:left w:val="none" w:sz="0" w:space="0" w:color="auto"/>
        <w:bottom w:val="none" w:sz="0" w:space="0" w:color="auto"/>
        <w:right w:val="none" w:sz="0" w:space="0" w:color="auto"/>
      </w:divBdr>
    </w:div>
    <w:div w:id="705254303">
      <w:bodyDiv w:val="1"/>
      <w:marLeft w:val="0"/>
      <w:marRight w:val="0"/>
      <w:marTop w:val="0"/>
      <w:marBottom w:val="0"/>
      <w:divBdr>
        <w:top w:val="none" w:sz="0" w:space="0" w:color="auto"/>
        <w:left w:val="none" w:sz="0" w:space="0" w:color="auto"/>
        <w:bottom w:val="none" w:sz="0" w:space="0" w:color="auto"/>
        <w:right w:val="none" w:sz="0" w:space="0" w:color="auto"/>
      </w:divBdr>
    </w:div>
    <w:div w:id="736631412">
      <w:bodyDiv w:val="1"/>
      <w:marLeft w:val="0"/>
      <w:marRight w:val="0"/>
      <w:marTop w:val="0"/>
      <w:marBottom w:val="0"/>
      <w:divBdr>
        <w:top w:val="none" w:sz="0" w:space="0" w:color="auto"/>
        <w:left w:val="none" w:sz="0" w:space="0" w:color="auto"/>
        <w:bottom w:val="none" w:sz="0" w:space="0" w:color="auto"/>
        <w:right w:val="none" w:sz="0" w:space="0" w:color="auto"/>
      </w:divBdr>
    </w:div>
    <w:div w:id="774520796">
      <w:bodyDiv w:val="1"/>
      <w:marLeft w:val="0"/>
      <w:marRight w:val="0"/>
      <w:marTop w:val="0"/>
      <w:marBottom w:val="0"/>
      <w:divBdr>
        <w:top w:val="none" w:sz="0" w:space="0" w:color="auto"/>
        <w:left w:val="none" w:sz="0" w:space="0" w:color="auto"/>
        <w:bottom w:val="none" w:sz="0" w:space="0" w:color="auto"/>
        <w:right w:val="none" w:sz="0" w:space="0" w:color="auto"/>
      </w:divBdr>
    </w:div>
    <w:div w:id="781848315">
      <w:bodyDiv w:val="1"/>
      <w:marLeft w:val="0"/>
      <w:marRight w:val="0"/>
      <w:marTop w:val="0"/>
      <w:marBottom w:val="0"/>
      <w:divBdr>
        <w:top w:val="none" w:sz="0" w:space="0" w:color="auto"/>
        <w:left w:val="none" w:sz="0" w:space="0" w:color="auto"/>
        <w:bottom w:val="none" w:sz="0" w:space="0" w:color="auto"/>
        <w:right w:val="none" w:sz="0" w:space="0" w:color="auto"/>
      </w:divBdr>
    </w:div>
    <w:div w:id="785469764">
      <w:bodyDiv w:val="1"/>
      <w:marLeft w:val="0"/>
      <w:marRight w:val="0"/>
      <w:marTop w:val="0"/>
      <w:marBottom w:val="0"/>
      <w:divBdr>
        <w:top w:val="none" w:sz="0" w:space="0" w:color="auto"/>
        <w:left w:val="none" w:sz="0" w:space="0" w:color="auto"/>
        <w:bottom w:val="none" w:sz="0" w:space="0" w:color="auto"/>
        <w:right w:val="none" w:sz="0" w:space="0" w:color="auto"/>
      </w:divBdr>
    </w:div>
    <w:div w:id="836381717">
      <w:bodyDiv w:val="1"/>
      <w:marLeft w:val="0"/>
      <w:marRight w:val="0"/>
      <w:marTop w:val="0"/>
      <w:marBottom w:val="0"/>
      <w:divBdr>
        <w:top w:val="none" w:sz="0" w:space="0" w:color="auto"/>
        <w:left w:val="none" w:sz="0" w:space="0" w:color="auto"/>
        <w:bottom w:val="none" w:sz="0" w:space="0" w:color="auto"/>
        <w:right w:val="none" w:sz="0" w:space="0" w:color="auto"/>
      </w:divBdr>
    </w:div>
    <w:div w:id="860053343">
      <w:bodyDiv w:val="1"/>
      <w:marLeft w:val="0"/>
      <w:marRight w:val="0"/>
      <w:marTop w:val="0"/>
      <w:marBottom w:val="0"/>
      <w:divBdr>
        <w:top w:val="none" w:sz="0" w:space="0" w:color="auto"/>
        <w:left w:val="none" w:sz="0" w:space="0" w:color="auto"/>
        <w:bottom w:val="none" w:sz="0" w:space="0" w:color="auto"/>
        <w:right w:val="none" w:sz="0" w:space="0" w:color="auto"/>
      </w:divBdr>
      <w:divsChild>
        <w:div w:id="192157964">
          <w:marLeft w:val="0"/>
          <w:marRight w:val="0"/>
          <w:marTop w:val="0"/>
          <w:marBottom w:val="0"/>
          <w:divBdr>
            <w:top w:val="none" w:sz="0" w:space="0" w:color="auto"/>
            <w:left w:val="none" w:sz="0" w:space="0" w:color="auto"/>
            <w:bottom w:val="none" w:sz="0" w:space="0" w:color="auto"/>
            <w:right w:val="none" w:sz="0" w:space="0" w:color="auto"/>
          </w:divBdr>
        </w:div>
        <w:div w:id="303389799">
          <w:marLeft w:val="0"/>
          <w:marRight w:val="0"/>
          <w:marTop w:val="0"/>
          <w:marBottom w:val="0"/>
          <w:divBdr>
            <w:top w:val="none" w:sz="0" w:space="0" w:color="auto"/>
            <w:left w:val="none" w:sz="0" w:space="0" w:color="auto"/>
            <w:bottom w:val="none" w:sz="0" w:space="0" w:color="auto"/>
            <w:right w:val="none" w:sz="0" w:space="0" w:color="auto"/>
          </w:divBdr>
        </w:div>
        <w:div w:id="1142383346">
          <w:marLeft w:val="0"/>
          <w:marRight w:val="0"/>
          <w:marTop w:val="0"/>
          <w:marBottom w:val="0"/>
          <w:divBdr>
            <w:top w:val="none" w:sz="0" w:space="0" w:color="auto"/>
            <w:left w:val="none" w:sz="0" w:space="0" w:color="auto"/>
            <w:bottom w:val="none" w:sz="0" w:space="0" w:color="auto"/>
            <w:right w:val="none" w:sz="0" w:space="0" w:color="auto"/>
          </w:divBdr>
        </w:div>
        <w:div w:id="1382055277">
          <w:marLeft w:val="0"/>
          <w:marRight w:val="0"/>
          <w:marTop w:val="0"/>
          <w:marBottom w:val="0"/>
          <w:divBdr>
            <w:top w:val="none" w:sz="0" w:space="0" w:color="auto"/>
            <w:left w:val="none" w:sz="0" w:space="0" w:color="auto"/>
            <w:bottom w:val="none" w:sz="0" w:space="0" w:color="auto"/>
            <w:right w:val="none" w:sz="0" w:space="0" w:color="auto"/>
          </w:divBdr>
        </w:div>
        <w:div w:id="1632248462">
          <w:marLeft w:val="0"/>
          <w:marRight w:val="0"/>
          <w:marTop w:val="0"/>
          <w:marBottom w:val="0"/>
          <w:divBdr>
            <w:top w:val="none" w:sz="0" w:space="0" w:color="auto"/>
            <w:left w:val="none" w:sz="0" w:space="0" w:color="auto"/>
            <w:bottom w:val="none" w:sz="0" w:space="0" w:color="auto"/>
            <w:right w:val="none" w:sz="0" w:space="0" w:color="auto"/>
          </w:divBdr>
        </w:div>
        <w:div w:id="1981223132">
          <w:marLeft w:val="0"/>
          <w:marRight w:val="0"/>
          <w:marTop w:val="0"/>
          <w:marBottom w:val="0"/>
          <w:divBdr>
            <w:top w:val="none" w:sz="0" w:space="0" w:color="auto"/>
            <w:left w:val="none" w:sz="0" w:space="0" w:color="auto"/>
            <w:bottom w:val="none" w:sz="0" w:space="0" w:color="auto"/>
            <w:right w:val="none" w:sz="0" w:space="0" w:color="auto"/>
          </w:divBdr>
        </w:div>
        <w:div w:id="2070299945">
          <w:marLeft w:val="0"/>
          <w:marRight w:val="0"/>
          <w:marTop w:val="0"/>
          <w:marBottom w:val="0"/>
          <w:divBdr>
            <w:top w:val="none" w:sz="0" w:space="0" w:color="auto"/>
            <w:left w:val="none" w:sz="0" w:space="0" w:color="auto"/>
            <w:bottom w:val="none" w:sz="0" w:space="0" w:color="auto"/>
            <w:right w:val="none" w:sz="0" w:space="0" w:color="auto"/>
          </w:divBdr>
        </w:div>
        <w:div w:id="2094085834">
          <w:marLeft w:val="0"/>
          <w:marRight w:val="0"/>
          <w:marTop w:val="0"/>
          <w:marBottom w:val="0"/>
          <w:divBdr>
            <w:top w:val="none" w:sz="0" w:space="0" w:color="auto"/>
            <w:left w:val="none" w:sz="0" w:space="0" w:color="auto"/>
            <w:bottom w:val="none" w:sz="0" w:space="0" w:color="auto"/>
            <w:right w:val="none" w:sz="0" w:space="0" w:color="auto"/>
          </w:divBdr>
        </w:div>
      </w:divsChild>
    </w:div>
    <w:div w:id="913902558">
      <w:marLeft w:val="0"/>
      <w:marRight w:val="0"/>
      <w:marTop w:val="0"/>
      <w:marBottom w:val="0"/>
      <w:divBdr>
        <w:top w:val="none" w:sz="0" w:space="0" w:color="auto"/>
        <w:left w:val="none" w:sz="0" w:space="0" w:color="auto"/>
        <w:bottom w:val="none" w:sz="0" w:space="0" w:color="auto"/>
        <w:right w:val="none" w:sz="0" w:space="0" w:color="auto"/>
      </w:divBdr>
    </w:div>
    <w:div w:id="973564892">
      <w:marLeft w:val="0"/>
      <w:marRight w:val="0"/>
      <w:marTop w:val="0"/>
      <w:marBottom w:val="0"/>
      <w:divBdr>
        <w:top w:val="none" w:sz="0" w:space="0" w:color="auto"/>
        <w:left w:val="none" w:sz="0" w:space="0" w:color="auto"/>
        <w:bottom w:val="none" w:sz="0" w:space="0" w:color="auto"/>
        <w:right w:val="none" w:sz="0" w:space="0" w:color="auto"/>
      </w:divBdr>
    </w:div>
    <w:div w:id="993949890">
      <w:bodyDiv w:val="1"/>
      <w:marLeft w:val="0"/>
      <w:marRight w:val="0"/>
      <w:marTop w:val="0"/>
      <w:marBottom w:val="0"/>
      <w:divBdr>
        <w:top w:val="none" w:sz="0" w:space="0" w:color="auto"/>
        <w:left w:val="none" w:sz="0" w:space="0" w:color="auto"/>
        <w:bottom w:val="none" w:sz="0" w:space="0" w:color="auto"/>
        <w:right w:val="none" w:sz="0" w:space="0" w:color="auto"/>
      </w:divBdr>
    </w:div>
    <w:div w:id="1090388322">
      <w:marLeft w:val="0"/>
      <w:marRight w:val="0"/>
      <w:marTop w:val="0"/>
      <w:marBottom w:val="0"/>
      <w:divBdr>
        <w:top w:val="none" w:sz="0" w:space="0" w:color="auto"/>
        <w:left w:val="none" w:sz="0" w:space="0" w:color="auto"/>
        <w:bottom w:val="none" w:sz="0" w:space="0" w:color="auto"/>
        <w:right w:val="none" w:sz="0" w:space="0" w:color="auto"/>
      </w:divBdr>
    </w:div>
    <w:div w:id="1116406758">
      <w:bodyDiv w:val="1"/>
      <w:marLeft w:val="0"/>
      <w:marRight w:val="0"/>
      <w:marTop w:val="0"/>
      <w:marBottom w:val="0"/>
      <w:divBdr>
        <w:top w:val="none" w:sz="0" w:space="0" w:color="auto"/>
        <w:left w:val="none" w:sz="0" w:space="0" w:color="auto"/>
        <w:bottom w:val="none" w:sz="0" w:space="0" w:color="auto"/>
        <w:right w:val="none" w:sz="0" w:space="0" w:color="auto"/>
      </w:divBdr>
      <w:divsChild>
        <w:div w:id="1066757689">
          <w:marLeft w:val="0"/>
          <w:marRight w:val="0"/>
          <w:marTop w:val="0"/>
          <w:marBottom w:val="0"/>
          <w:divBdr>
            <w:top w:val="none" w:sz="0" w:space="0" w:color="auto"/>
            <w:left w:val="none" w:sz="0" w:space="0" w:color="auto"/>
            <w:bottom w:val="none" w:sz="0" w:space="0" w:color="auto"/>
            <w:right w:val="none" w:sz="0" w:space="0" w:color="auto"/>
          </w:divBdr>
        </w:div>
        <w:div w:id="1508246790">
          <w:marLeft w:val="0"/>
          <w:marRight w:val="0"/>
          <w:marTop w:val="0"/>
          <w:marBottom w:val="0"/>
          <w:divBdr>
            <w:top w:val="none" w:sz="0" w:space="0" w:color="auto"/>
            <w:left w:val="none" w:sz="0" w:space="0" w:color="auto"/>
            <w:bottom w:val="none" w:sz="0" w:space="0" w:color="auto"/>
            <w:right w:val="none" w:sz="0" w:space="0" w:color="auto"/>
          </w:divBdr>
        </w:div>
      </w:divsChild>
    </w:div>
    <w:div w:id="1165825499">
      <w:bodyDiv w:val="1"/>
      <w:marLeft w:val="0"/>
      <w:marRight w:val="0"/>
      <w:marTop w:val="0"/>
      <w:marBottom w:val="0"/>
      <w:divBdr>
        <w:top w:val="none" w:sz="0" w:space="0" w:color="auto"/>
        <w:left w:val="none" w:sz="0" w:space="0" w:color="auto"/>
        <w:bottom w:val="none" w:sz="0" w:space="0" w:color="auto"/>
        <w:right w:val="none" w:sz="0" w:space="0" w:color="auto"/>
      </w:divBdr>
      <w:divsChild>
        <w:div w:id="76564147">
          <w:marLeft w:val="547"/>
          <w:marRight w:val="0"/>
          <w:marTop w:val="86"/>
          <w:marBottom w:val="0"/>
          <w:divBdr>
            <w:top w:val="none" w:sz="0" w:space="0" w:color="auto"/>
            <w:left w:val="none" w:sz="0" w:space="0" w:color="auto"/>
            <w:bottom w:val="none" w:sz="0" w:space="0" w:color="auto"/>
            <w:right w:val="none" w:sz="0" w:space="0" w:color="auto"/>
          </w:divBdr>
        </w:div>
        <w:div w:id="238830909">
          <w:marLeft w:val="547"/>
          <w:marRight w:val="0"/>
          <w:marTop w:val="86"/>
          <w:marBottom w:val="0"/>
          <w:divBdr>
            <w:top w:val="none" w:sz="0" w:space="0" w:color="auto"/>
            <w:left w:val="none" w:sz="0" w:space="0" w:color="auto"/>
            <w:bottom w:val="none" w:sz="0" w:space="0" w:color="auto"/>
            <w:right w:val="none" w:sz="0" w:space="0" w:color="auto"/>
          </w:divBdr>
        </w:div>
        <w:div w:id="1335374029">
          <w:marLeft w:val="547"/>
          <w:marRight w:val="0"/>
          <w:marTop w:val="86"/>
          <w:marBottom w:val="0"/>
          <w:divBdr>
            <w:top w:val="none" w:sz="0" w:space="0" w:color="auto"/>
            <w:left w:val="none" w:sz="0" w:space="0" w:color="auto"/>
            <w:bottom w:val="none" w:sz="0" w:space="0" w:color="auto"/>
            <w:right w:val="none" w:sz="0" w:space="0" w:color="auto"/>
          </w:divBdr>
        </w:div>
        <w:div w:id="1550066323">
          <w:marLeft w:val="547"/>
          <w:marRight w:val="0"/>
          <w:marTop w:val="86"/>
          <w:marBottom w:val="0"/>
          <w:divBdr>
            <w:top w:val="none" w:sz="0" w:space="0" w:color="auto"/>
            <w:left w:val="none" w:sz="0" w:space="0" w:color="auto"/>
            <w:bottom w:val="none" w:sz="0" w:space="0" w:color="auto"/>
            <w:right w:val="none" w:sz="0" w:space="0" w:color="auto"/>
          </w:divBdr>
        </w:div>
      </w:divsChild>
    </w:div>
    <w:div w:id="1211187740">
      <w:bodyDiv w:val="1"/>
      <w:marLeft w:val="0"/>
      <w:marRight w:val="0"/>
      <w:marTop w:val="0"/>
      <w:marBottom w:val="0"/>
      <w:divBdr>
        <w:top w:val="none" w:sz="0" w:space="0" w:color="auto"/>
        <w:left w:val="none" w:sz="0" w:space="0" w:color="auto"/>
        <w:bottom w:val="none" w:sz="0" w:space="0" w:color="auto"/>
        <w:right w:val="none" w:sz="0" w:space="0" w:color="auto"/>
      </w:divBdr>
    </w:div>
    <w:div w:id="1229800953">
      <w:bodyDiv w:val="1"/>
      <w:marLeft w:val="0"/>
      <w:marRight w:val="0"/>
      <w:marTop w:val="0"/>
      <w:marBottom w:val="0"/>
      <w:divBdr>
        <w:top w:val="none" w:sz="0" w:space="0" w:color="auto"/>
        <w:left w:val="none" w:sz="0" w:space="0" w:color="auto"/>
        <w:bottom w:val="none" w:sz="0" w:space="0" w:color="auto"/>
        <w:right w:val="none" w:sz="0" w:space="0" w:color="auto"/>
      </w:divBdr>
    </w:div>
    <w:div w:id="1235046244">
      <w:bodyDiv w:val="1"/>
      <w:marLeft w:val="0"/>
      <w:marRight w:val="0"/>
      <w:marTop w:val="0"/>
      <w:marBottom w:val="0"/>
      <w:divBdr>
        <w:top w:val="none" w:sz="0" w:space="0" w:color="auto"/>
        <w:left w:val="none" w:sz="0" w:space="0" w:color="auto"/>
        <w:bottom w:val="none" w:sz="0" w:space="0" w:color="auto"/>
        <w:right w:val="none" w:sz="0" w:space="0" w:color="auto"/>
      </w:divBdr>
      <w:divsChild>
        <w:div w:id="239682142">
          <w:marLeft w:val="0"/>
          <w:marRight w:val="0"/>
          <w:marTop w:val="0"/>
          <w:marBottom w:val="0"/>
          <w:divBdr>
            <w:top w:val="none" w:sz="0" w:space="0" w:color="auto"/>
            <w:left w:val="none" w:sz="0" w:space="0" w:color="auto"/>
            <w:bottom w:val="none" w:sz="0" w:space="0" w:color="auto"/>
            <w:right w:val="none" w:sz="0" w:space="0" w:color="auto"/>
          </w:divBdr>
        </w:div>
        <w:div w:id="413746972">
          <w:marLeft w:val="0"/>
          <w:marRight w:val="0"/>
          <w:marTop w:val="0"/>
          <w:marBottom w:val="0"/>
          <w:divBdr>
            <w:top w:val="none" w:sz="0" w:space="0" w:color="auto"/>
            <w:left w:val="none" w:sz="0" w:space="0" w:color="auto"/>
            <w:bottom w:val="none" w:sz="0" w:space="0" w:color="auto"/>
            <w:right w:val="none" w:sz="0" w:space="0" w:color="auto"/>
          </w:divBdr>
        </w:div>
        <w:div w:id="540869928">
          <w:marLeft w:val="0"/>
          <w:marRight w:val="0"/>
          <w:marTop w:val="0"/>
          <w:marBottom w:val="0"/>
          <w:divBdr>
            <w:top w:val="none" w:sz="0" w:space="0" w:color="auto"/>
            <w:left w:val="none" w:sz="0" w:space="0" w:color="auto"/>
            <w:bottom w:val="none" w:sz="0" w:space="0" w:color="auto"/>
            <w:right w:val="none" w:sz="0" w:space="0" w:color="auto"/>
          </w:divBdr>
        </w:div>
        <w:div w:id="674693741">
          <w:marLeft w:val="0"/>
          <w:marRight w:val="0"/>
          <w:marTop w:val="0"/>
          <w:marBottom w:val="0"/>
          <w:divBdr>
            <w:top w:val="none" w:sz="0" w:space="0" w:color="auto"/>
            <w:left w:val="none" w:sz="0" w:space="0" w:color="auto"/>
            <w:bottom w:val="none" w:sz="0" w:space="0" w:color="auto"/>
            <w:right w:val="none" w:sz="0" w:space="0" w:color="auto"/>
          </w:divBdr>
        </w:div>
        <w:div w:id="838231023">
          <w:marLeft w:val="0"/>
          <w:marRight w:val="0"/>
          <w:marTop w:val="0"/>
          <w:marBottom w:val="0"/>
          <w:divBdr>
            <w:top w:val="none" w:sz="0" w:space="0" w:color="auto"/>
            <w:left w:val="none" w:sz="0" w:space="0" w:color="auto"/>
            <w:bottom w:val="none" w:sz="0" w:space="0" w:color="auto"/>
            <w:right w:val="none" w:sz="0" w:space="0" w:color="auto"/>
          </w:divBdr>
        </w:div>
        <w:div w:id="1307010620">
          <w:marLeft w:val="0"/>
          <w:marRight w:val="0"/>
          <w:marTop w:val="0"/>
          <w:marBottom w:val="0"/>
          <w:divBdr>
            <w:top w:val="none" w:sz="0" w:space="0" w:color="auto"/>
            <w:left w:val="none" w:sz="0" w:space="0" w:color="auto"/>
            <w:bottom w:val="none" w:sz="0" w:space="0" w:color="auto"/>
            <w:right w:val="none" w:sz="0" w:space="0" w:color="auto"/>
          </w:divBdr>
        </w:div>
        <w:div w:id="1497573470">
          <w:marLeft w:val="0"/>
          <w:marRight w:val="0"/>
          <w:marTop w:val="0"/>
          <w:marBottom w:val="0"/>
          <w:divBdr>
            <w:top w:val="none" w:sz="0" w:space="0" w:color="auto"/>
            <w:left w:val="none" w:sz="0" w:space="0" w:color="auto"/>
            <w:bottom w:val="none" w:sz="0" w:space="0" w:color="auto"/>
            <w:right w:val="none" w:sz="0" w:space="0" w:color="auto"/>
          </w:divBdr>
        </w:div>
        <w:div w:id="1599755787">
          <w:marLeft w:val="0"/>
          <w:marRight w:val="0"/>
          <w:marTop w:val="0"/>
          <w:marBottom w:val="0"/>
          <w:divBdr>
            <w:top w:val="none" w:sz="0" w:space="0" w:color="auto"/>
            <w:left w:val="none" w:sz="0" w:space="0" w:color="auto"/>
            <w:bottom w:val="none" w:sz="0" w:space="0" w:color="auto"/>
            <w:right w:val="none" w:sz="0" w:space="0" w:color="auto"/>
          </w:divBdr>
        </w:div>
      </w:divsChild>
    </w:div>
    <w:div w:id="1354500666">
      <w:bodyDiv w:val="1"/>
      <w:marLeft w:val="0"/>
      <w:marRight w:val="0"/>
      <w:marTop w:val="0"/>
      <w:marBottom w:val="0"/>
      <w:divBdr>
        <w:top w:val="none" w:sz="0" w:space="0" w:color="auto"/>
        <w:left w:val="none" w:sz="0" w:space="0" w:color="auto"/>
        <w:bottom w:val="none" w:sz="0" w:space="0" w:color="auto"/>
        <w:right w:val="none" w:sz="0" w:space="0" w:color="auto"/>
      </w:divBdr>
    </w:div>
    <w:div w:id="1368876044">
      <w:bodyDiv w:val="1"/>
      <w:marLeft w:val="0"/>
      <w:marRight w:val="0"/>
      <w:marTop w:val="0"/>
      <w:marBottom w:val="0"/>
      <w:divBdr>
        <w:top w:val="none" w:sz="0" w:space="0" w:color="auto"/>
        <w:left w:val="none" w:sz="0" w:space="0" w:color="auto"/>
        <w:bottom w:val="none" w:sz="0" w:space="0" w:color="auto"/>
        <w:right w:val="none" w:sz="0" w:space="0" w:color="auto"/>
      </w:divBdr>
    </w:div>
    <w:div w:id="1374885967">
      <w:bodyDiv w:val="1"/>
      <w:marLeft w:val="0"/>
      <w:marRight w:val="0"/>
      <w:marTop w:val="0"/>
      <w:marBottom w:val="0"/>
      <w:divBdr>
        <w:top w:val="none" w:sz="0" w:space="0" w:color="auto"/>
        <w:left w:val="none" w:sz="0" w:space="0" w:color="auto"/>
        <w:bottom w:val="none" w:sz="0" w:space="0" w:color="auto"/>
        <w:right w:val="none" w:sz="0" w:space="0" w:color="auto"/>
      </w:divBdr>
      <w:divsChild>
        <w:div w:id="23602594">
          <w:marLeft w:val="0"/>
          <w:marRight w:val="0"/>
          <w:marTop w:val="0"/>
          <w:marBottom w:val="0"/>
          <w:divBdr>
            <w:top w:val="none" w:sz="0" w:space="0" w:color="auto"/>
            <w:left w:val="none" w:sz="0" w:space="0" w:color="auto"/>
            <w:bottom w:val="none" w:sz="0" w:space="0" w:color="auto"/>
            <w:right w:val="none" w:sz="0" w:space="0" w:color="auto"/>
          </w:divBdr>
        </w:div>
        <w:div w:id="1546719715">
          <w:marLeft w:val="0"/>
          <w:marRight w:val="0"/>
          <w:marTop w:val="0"/>
          <w:marBottom w:val="0"/>
          <w:divBdr>
            <w:top w:val="none" w:sz="0" w:space="0" w:color="auto"/>
            <w:left w:val="none" w:sz="0" w:space="0" w:color="auto"/>
            <w:bottom w:val="none" w:sz="0" w:space="0" w:color="auto"/>
            <w:right w:val="none" w:sz="0" w:space="0" w:color="auto"/>
          </w:divBdr>
        </w:div>
      </w:divsChild>
    </w:div>
    <w:div w:id="1379159967">
      <w:bodyDiv w:val="1"/>
      <w:marLeft w:val="0"/>
      <w:marRight w:val="0"/>
      <w:marTop w:val="0"/>
      <w:marBottom w:val="0"/>
      <w:divBdr>
        <w:top w:val="none" w:sz="0" w:space="0" w:color="auto"/>
        <w:left w:val="none" w:sz="0" w:space="0" w:color="auto"/>
        <w:bottom w:val="none" w:sz="0" w:space="0" w:color="auto"/>
        <w:right w:val="none" w:sz="0" w:space="0" w:color="auto"/>
      </w:divBdr>
      <w:divsChild>
        <w:div w:id="323052984">
          <w:marLeft w:val="0"/>
          <w:marRight w:val="0"/>
          <w:marTop w:val="0"/>
          <w:marBottom w:val="0"/>
          <w:divBdr>
            <w:top w:val="none" w:sz="0" w:space="0" w:color="auto"/>
            <w:left w:val="none" w:sz="0" w:space="0" w:color="auto"/>
            <w:bottom w:val="none" w:sz="0" w:space="0" w:color="auto"/>
            <w:right w:val="none" w:sz="0" w:space="0" w:color="auto"/>
          </w:divBdr>
        </w:div>
        <w:div w:id="369649633">
          <w:marLeft w:val="0"/>
          <w:marRight w:val="0"/>
          <w:marTop w:val="0"/>
          <w:marBottom w:val="0"/>
          <w:divBdr>
            <w:top w:val="none" w:sz="0" w:space="0" w:color="auto"/>
            <w:left w:val="none" w:sz="0" w:space="0" w:color="auto"/>
            <w:bottom w:val="none" w:sz="0" w:space="0" w:color="auto"/>
            <w:right w:val="none" w:sz="0" w:space="0" w:color="auto"/>
          </w:divBdr>
        </w:div>
        <w:div w:id="509875607">
          <w:marLeft w:val="0"/>
          <w:marRight w:val="0"/>
          <w:marTop w:val="0"/>
          <w:marBottom w:val="0"/>
          <w:divBdr>
            <w:top w:val="none" w:sz="0" w:space="0" w:color="auto"/>
            <w:left w:val="none" w:sz="0" w:space="0" w:color="auto"/>
            <w:bottom w:val="none" w:sz="0" w:space="0" w:color="auto"/>
            <w:right w:val="none" w:sz="0" w:space="0" w:color="auto"/>
          </w:divBdr>
        </w:div>
        <w:div w:id="927039110">
          <w:marLeft w:val="0"/>
          <w:marRight w:val="0"/>
          <w:marTop w:val="0"/>
          <w:marBottom w:val="0"/>
          <w:divBdr>
            <w:top w:val="none" w:sz="0" w:space="0" w:color="auto"/>
            <w:left w:val="none" w:sz="0" w:space="0" w:color="auto"/>
            <w:bottom w:val="none" w:sz="0" w:space="0" w:color="auto"/>
            <w:right w:val="none" w:sz="0" w:space="0" w:color="auto"/>
          </w:divBdr>
        </w:div>
        <w:div w:id="1151870632">
          <w:marLeft w:val="0"/>
          <w:marRight w:val="0"/>
          <w:marTop w:val="0"/>
          <w:marBottom w:val="0"/>
          <w:divBdr>
            <w:top w:val="none" w:sz="0" w:space="0" w:color="auto"/>
            <w:left w:val="none" w:sz="0" w:space="0" w:color="auto"/>
            <w:bottom w:val="none" w:sz="0" w:space="0" w:color="auto"/>
            <w:right w:val="none" w:sz="0" w:space="0" w:color="auto"/>
          </w:divBdr>
        </w:div>
        <w:div w:id="1927498347">
          <w:marLeft w:val="0"/>
          <w:marRight w:val="0"/>
          <w:marTop w:val="0"/>
          <w:marBottom w:val="0"/>
          <w:divBdr>
            <w:top w:val="none" w:sz="0" w:space="0" w:color="auto"/>
            <w:left w:val="none" w:sz="0" w:space="0" w:color="auto"/>
            <w:bottom w:val="none" w:sz="0" w:space="0" w:color="auto"/>
            <w:right w:val="none" w:sz="0" w:space="0" w:color="auto"/>
          </w:divBdr>
        </w:div>
        <w:div w:id="1991055542">
          <w:marLeft w:val="0"/>
          <w:marRight w:val="0"/>
          <w:marTop w:val="0"/>
          <w:marBottom w:val="0"/>
          <w:divBdr>
            <w:top w:val="none" w:sz="0" w:space="0" w:color="auto"/>
            <w:left w:val="none" w:sz="0" w:space="0" w:color="auto"/>
            <w:bottom w:val="none" w:sz="0" w:space="0" w:color="auto"/>
            <w:right w:val="none" w:sz="0" w:space="0" w:color="auto"/>
          </w:divBdr>
        </w:div>
        <w:div w:id="2117291864">
          <w:marLeft w:val="0"/>
          <w:marRight w:val="0"/>
          <w:marTop w:val="0"/>
          <w:marBottom w:val="0"/>
          <w:divBdr>
            <w:top w:val="none" w:sz="0" w:space="0" w:color="auto"/>
            <w:left w:val="none" w:sz="0" w:space="0" w:color="auto"/>
            <w:bottom w:val="none" w:sz="0" w:space="0" w:color="auto"/>
            <w:right w:val="none" w:sz="0" w:space="0" w:color="auto"/>
          </w:divBdr>
        </w:div>
      </w:divsChild>
    </w:div>
    <w:div w:id="1396002335">
      <w:bodyDiv w:val="1"/>
      <w:marLeft w:val="0"/>
      <w:marRight w:val="0"/>
      <w:marTop w:val="0"/>
      <w:marBottom w:val="0"/>
      <w:divBdr>
        <w:top w:val="none" w:sz="0" w:space="0" w:color="auto"/>
        <w:left w:val="none" w:sz="0" w:space="0" w:color="auto"/>
        <w:bottom w:val="none" w:sz="0" w:space="0" w:color="auto"/>
        <w:right w:val="none" w:sz="0" w:space="0" w:color="auto"/>
      </w:divBdr>
    </w:div>
    <w:div w:id="1451583891">
      <w:bodyDiv w:val="1"/>
      <w:marLeft w:val="0"/>
      <w:marRight w:val="0"/>
      <w:marTop w:val="0"/>
      <w:marBottom w:val="0"/>
      <w:divBdr>
        <w:top w:val="none" w:sz="0" w:space="0" w:color="auto"/>
        <w:left w:val="none" w:sz="0" w:space="0" w:color="auto"/>
        <w:bottom w:val="none" w:sz="0" w:space="0" w:color="auto"/>
        <w:right w:val="none" w:sz="0" w:space="0" w:color="auto"/>
      </w:divBdr>
    </w:div>
    <w:div w:id="1516580117">
      <w:bodyDiv w:val="1"/>
      <w:marLeft w:val="0"/>
      <w:marRight w:val="0"/>
      <w:marTop w:val="0"/>
      <w:marBottom w:val="0"/>
      <w:divBdr>
        <w:top w:val="none" w:sz="0" w:space="0" w:color="auto"/>
        <w:left w:val="none" w:sz="0" w:space="0" w:color="auto"/>
        <w:bottom w:val="none" w:sz="0" w:space="0" w:color="auto"/>
        <w:right w:val="none" w:sz="0" w:space="0" w:color="auto"/>
      </w:divBdr>
      <w:divsChild>
        <w:div w:id="934367620">
          <w:marLeft w:val="0"/>
          <w:marRight w:val="0"/>
          <w:marTop w:val="0"/>
          <w:marBottom w:val="0"/>
          <w:divBdr>
            <w:top w:val="none" w:sz="0" w:space="0" w:color="auto"/>
            <w:left w:val="none" w:sz="0" w:space="0" w:color="auto"/>
            <w:bottom w:val="none" w:sz="0" w:space="0" w:color="auto"/>
            <w:right w:val="none" w:sz="0" w:space="0" w:color="auto"/>
          </w:divBdr>
        </w:div>
        <w:div w:id="1166045857">
          <w:marLeft w:val="0"/>
          <w:marRight w:val="0"/>
          <w:marTop w:val="0"/>
          <w:marBottom w:val="0"/>
          <w:divBdr>
            <w:top w:val="none" w:sz="0" w:space="0" w:color="auto"/>
            <w:left w:val="none" w:sz="0" w:space="0" w:color="auto"/>
            <w:bottom w:val="none" w:sz="0" w:space="0" w:color="auto"/>
            <w:right w:val="none" w:sz="0" w:space="0" w:color="auto"/>
          </w:divBdr>
        </w:div>
      </w:divsChild>
    </w:div>
    <w:div w:id="1683358301">
      <w:bodyDiv w:val="1"/>
      <w:marLeft w:val="0"/>
      <w:marRight w:val="0"/>
      <w:marTop w:val="0"/>
      <w:marBottom w:val="0"/>
      <w:divBdr>
        <w:top w:val="none" w:sz="0" w:space="0" w:color="auto"/>
        <w:left w:val="none" w:sz="0" w:space="0" w:color="auto"/>
        <w:bottom w:val="none" w:sz="0" w:space="0" w:color="auto"/>
        <w:right w:val="none" w:sz="0" w:space="0" w:color="auto"/>
      </w:divBdr>
    </w:div>
    <w:div w:id="1697340959">
      <w:bodyDiv w:val="1"/>
      <w:marLeft w:val="0"/>
      <w:marRight w:val="0"/>
      <w:marTop w:val="0"/>
      <w:marBottom w:val="0"/>
      <w:divBdr>
        <w:top w:val="none" w:sz="0" w:space="0" w:color="auto"/>
        <w:left w:val="none" w:sz="0" w:space="0" w:color="auto"/>
        <w:bottom w:val="none" w:sz="0" w:space="0" w:color="auto"/>
        <w:right w:val="none" w:sz="0" w:space="0" w:color="auto"/>
      </w:divBdr>
    </w:div>
    <w:div w:id="1723863036">
      <w:bodyDiv w:val="1"/>
      <w:marLeft w:val="0"/>
      <w:marRight w:val="0"/>
      <w:marTop w:val="0"/>
      <w:marBottom w:val="0"/>
      <w:divBdr>
        <w:top w:val="none" w:sz="0" w:space="0" w:color="auto"/>
        <w:left w:val="none" w:sz="0" w:space="0" w:color="auto"/>
        <w:bottom w:val="none" w:sz="0" w:space="0" w:color="auto"/>
        <w:right w:val="none" w:sz="0" w:space="0" w:color="auto"/>
      </w:divBdr>
      <w:divsChild>
        <w:div w:id="626547226">
          <w:marLeft w:val="0"/>
          <w:marRight w:val="0"/>
          <w:marTop w:val="0"/>
          <w:marBottom w:val="0"/>
          <w:divBdr>
            <w:top w:val="none" w:sz="0" w:space="0" w:color="auto"/>
            <w:left w:val="none" w:sz="0" w:space="0" w:color="auto"/>
            <w:bottom w:val="none" w:sz="0" w:space="0" w:color="auto"/>
            <w:right w:val="none" w:sz="0" w:space="0" w:color="auto"/>
          </w:divBdr>
        </w:div>
        <w:div w:id="696077352">
          <w:marLeft w:val="0"/>
          <w:marRight w:val="0"/>
          <w:marTop w:val="0"/>
          <w:marBottom w:val="0"/>
          <w:divBdr>
            <w:top w:val="none" w:sz="0" w:space="0" w:color="auto"/>
            <w:left w:val="none" w:sz="0" w:space="0" w:color="auto"/>
            <w:bottom w:val="none" w:sz="0" w:space="0" w:color="auto"/>
            <w:right w:val="none" w:sz="0" w:space="0" w:color="auto"/>
          </w:divBdr>
        </w:div>
        <w:div w:id="770900456">
          <w:marLeft w:val="0"/>
          <w:marRight w:val="0"/>
          <w:marTop w:val="0"/>
          <w:marBottom w:val="0"/>
          <w:divBdr>
            <w:top w:val="none" w:sz="0" w:space="0" w:color="auto"/>
            <w:left w:val="none" w:sz="0" w:space="0" w:color="auto"/>
            <w:bottom w:val="none" w:sz="0" w:space="0" w:color="auto"/>
            <w:right w:val="none" w:sz="0" w:space="0" w:color="auto"/>
          </w:divBdr>
        </w:div>
        <w:div w:id="816411262">
          <w:marLeft w:val="0"/>
          <w:marRight w:val="0"/>
          <w:marTop w:val="0"/>
          <w:marBottom w:val="0"/>
          <w:divBdr>
            <w:top w:val="none" w:sz="0" w:space="0" w:color="auto"/>
            <w:left w:val="none" w:sz="0" w:space="0" w:color="auto"/>
            <w:bottom w:val="none" w:sz="0" w:space="0" w:color="auto"/>
            <w:right w:val="none" w:sz="0" w:space="0" w:color="auto"/>
          </w:divBdr>
        </w:div>
        <w:div w:id="1009480214">
          <w:marLeft w:val="0"/>
          <w:marRight w:val="0"/>
          <w:marTop w:val="0"/>
          <w:marBottom w:val="0"/>
          <w:divBdr>
            <w:top w:val="none" w:sz="0" w:space="0" w:color="auto"/>
            <w:left w:val="none" w:sz="0" w:space="0" w:color="auto"/>
            <w:bottom w:val="none" w:sz="0" w:space="0" w:color="auto"/>
            <w:right w:val="none" w:sz="0" w:space="0" w:color="auto"/>
          </w:divBdr>
        </w:div>
        <w:div w:id="1506555497">
          <w:marLeft w:val="0"/>
          <w:marRight w:val="0"/>
          <w:marTop w:val="0"/>
          <w:marBottom w:val="0"/>
          <w:divBdr>
            <w:top w:val="none" w:sz="0" w:space="0" w:color="auto"/>
            <w:left w:val="none" w:sz="0" w:space="0" w:color="auto"/>
            <w:bottom w:val="none" w:sz="0" w:space="0" w:color="auto"/>
            <w:right w:val="none" w:sz="0" w:space="0" w:color="auto"/>
          </w:divBdr>
        </w:div>
        <w:div w:id="1563246295">
          <w:marLeft w:val="0"/>
          <w:marRight w:val="0"/>
          <w:marTop w:val="0"/>
          <w:marBottom w:val="0"/>
          <w:divBdr>
            <w:top w:val="none" w:sz="0" w:space="0" w:color="auto"/>
            <w:left w:val="none" w:sz="0" w:space="0" w:color="auto"/>
            <w:bottom w:val="none" w:sz="0" w:space="0" w:color="auto"/>
            <w:right w:val="none" w:sz="0" w:space="0" w:color="auto"/>
          </w:divBdr>
        </w:div>
        <w:div w:id="1691948992">
          <w:marLeft w:val="0"/>
          <w:marRight w:val="0"/>
          <w:marTop w:val="0"/>
          <w:marBottom w:val="0"/>
          <w:divBdr>
            <w:top w:val="none" w:sz="0" w:space="0" w:color="auto"/>
            <w:left w:val="none" w:sz="0" w:space="0" w:color="auto"/>
            <w:bottom w:val="none" w:sz="0" w:space="0" w:color="auto"/>
            <w:right w:val="none" w:sz="0" w:space="0" w:color="auto"/>
          </w:divBdr>
        </w:div>
      </w:divsChild>
    </w:div>
    <w:div w:id="1733000770">
      <w:bodyDiv w:val="1"/>
      <w:marLeft w:val="0"/>
      <w:marRight w:val="0"/>
      <w:marTop w:val="0"/>
      <w:marBottom w:val="0"/>
      <w:divBdr>
        <w:top w:val="none" w:sz="0" w:space="0" w:color="auto"/>
        <w:left w:val="none" w:sz="0" w:space="0" w:color="auto"/>
        <w:bottom w:val="none" w:sz="0" w:space="0" w:color="auto"/>
        <w:right w:val="none" w:sz="0" w:space="0" w:color="auto"/>
      </w:divBdr>
    </w:div>
    <w:div w:id="1798984612">
      <w:bodyDiv w:val="1"/>
      <w:marLeft w:val="0"/>
      <w:marRight w:val="0"/>
      <w:marTop w:val="0"/>
      <w:marBottom w:val="0"/>
      <w:divBdr>
        <w:top w:val="none" w:sz="0" w:space="0" w:color="auto"/>
        <w:left w:val="none" w:sz="0" w:space="0" w:color="auto"/>
        <w:bottom w:val="none" w:sz="0" w:space="0" w:color="auto"/>
        <w:right w:val="none" w:sz="0" w:space="0" w:color="auto"/>
      </w:divBdr>
      <w:divsChild>
        <w:div w:id="120538313">
          <w:marLeft w:val="0"/>
          <w:marRight w:val="0"/>
          <w:marTop w:val="0"/>
          <w:marBottom w:val="0"/>
          <w:divBdr>
            <w:top w:val="none" w:sz="0" w:space="0" w:color="auto"/>
            <w:left w:val="none" w:sz="0" w:space="0" w:color="auto"/>
            <w:bottom w:val="none" w:sz="0" w:space="0" w:color="auto"/>
            <w:right w:val="none" w:sz="0" w:space="0" w:color="auto"/>
          </w:divBdr>
          <w:divsChild>
            <w:div w:id="999238132">
              <w:marLeft w:val="0"/>
              <w:marRight w:val="0"/>
              <w:marTop w:val="0"/>
              <w:marBottom w:val="0"/>
              <w:divBdr>
                <w:top w:val="none" w:sz="0" w:space="0" w:color="auto"/>
                <w:left w:val="none" w:sz="0" w:space="0" w:color="auto"/>
                <w:bottom w:val="none" w:sz="0" w:space="0" w:color="auto"/>
                <w:right w:val="none" w:sz="0" w:space="0" w:color="auto"/>
              </w:divBdr>
              <w:divsChild>
                <w:div w:id="199130092">
                  <w:marLeft w:val="0"/>
                  <w:marRight w:val="0"/>
                  <w:marTop w:val="0"/>
                  <w:marBottom w:val="0"/>
                  <w:divBdr>
                    <w:top w:val="none" w:sz="0" w:space="0" w:color="auto"/>
                    <w:left w:val="none" w:sz="0" w:space="0" w:color="auto"/>
                    <w:bottom w:val="none" w:sz="0" w:space="0" w:color="auto"/>
                    <w:right w:val="none" w:sz="0" w:space="0" w:color="auto"/>
                  </w:divBdr>
                  <w:divsChild>
                    <w:div w:id="270169023">
                      <w:marLeft w:val="0"/>
                      <w:marRight w:val="0"/>
                      <w:marTop w:val="0"/>
                      <w:marBottom w:val="0"/>
                      <w:divBdr>
                        <w:top w:val="none" w:sz="0" w:space="0" w:color="auto"/>
                        <w:left w:val="none" w:sz="0" w:space="0" w:color="auto"/>
                        <w:bottom w:val="none" w:sz="0" w:space="0" w:color="auto"/>
                        <w:right w:val="none" w:sz="0" w:space="0" w:color="auto"/>
                      </w:divBdr>
                      <w:divsChild>
                        <w:div w:id="1436755424">
                          <w:marLeft w:val="0"/>
                          <w:marRight w:val="0"/>
                          <w:marTop w:val="0"/>
                          <w:marBottom w:val="0"/>
                          <w:divBdr>
                            <w:top w:val="none" w:sz="0" w:space="0" w:color="auto"/>
                            <w:left w:val="none" w:sz="0" w:space="0" w:color="auto"/>
                            <w:bottom w:val="none" w:sz="0" w:space="0" w:color="auto"/>
                            <w:right w:val="none" w:sz="0" w:space="0" w:color="auto"/>
                          </w:divBdr>
                          <w:divsChild>
                            <w:div w:id="1214778074">
                              <w:marLeft w:val="360"/>
                              <w:marRight w:val="360"/>
                              <w:marTop w:val="0"/>
                              <w:marBottom w:val="0"/>
                              <w:divBdr>
                                <w:top w:val="none" w:sz="0" w:space="0" w:color="auto"/>
                                <w:left w:val="none" w:sz="0" w:space="0" w:color="auto"/>
                                <w:bottom w:val="none" w:sz="0" w:space="0" w:color="auto"/>
                                <w:right w:val="none" w:sz="0" w:space="0" w:color="auto"/>
                              </w:divBdr>
                              <w:divsChild>
                                <w:div w:id="1781951391">
                                  <w:marLeft w:val="0"/>
                                  <w:marRight w:val="0"/>
                                  <w:marTop w:val="0"/>
                                  <w:marBottom w:val="0"/>
                                  <w:divBdr>
                                    <w:top w:val="none" w:sz="0" w:space="0" w:color="auto"/>
                                    <w:left w:val="none" w:sz="0" w:space="0" w:color="auto"/>
                                    <w:bottom w:val="none" w:sz="0" w:space="0" w:color="auto"/>
                                    <w:right w:val="none" w:sz="0" w:space="0" w:color="auto"/>
                                  </w:divBdr>
                                  <w:divsChild>
                                    <w:div w:id="468865873">
                                      <w:marLeft w:val="0"/>
                                      <w:marRight w:val="0"/>
                                      <w:marTop w:val="0"/>
                                      <w:marBottom w:val="300"/>
                                      <w:divBdr>
                                        <w:top w:val="none" w:sz="0" w:space="0" w:color="auto"/>
                                        <w:left w:val="none" w:sz="0" w:space="0" w:color="auto"/>
                                        <w:bottom w:val="none" w:sz="0" w:space="0" w:color="auto"/>
                                        <w:right w:val="none" w:sz="0" w:space="0" w:color="auto"/>
                                      </w:divBdr>
                                      <w:divsChild>
                                        <w:div w:id="680820519">
                                          <w:marLeft w:val="0"/>
                                          <w:marRight w:val="0"/>
                                          <w:marTop w:val="0"/>
                                          <w:marBottom w:val="0"/>
                                          <w:divBdr>
                                            <w:top w:val="none" w:sz="0" w:space="0" w:color="auto"/>
                                            <w:left w:val="none" w:sz="0" w:space="0" w:color="auto"/>
                                            <w:bottom w:val="none" w:sz="0" w:space="0" w:color="auto"/>
                                            <w:right w:val="none" w:sz="0" w:space="0" w:color="auto"/>
                                          </w:divBdr>
                                          <w:divsChild>
                                            <w:div w:id="174256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7212183">
      <w:bodyDiv w:val="1"/>
      <w:marLeft w:val="0"/>
      <w:marRight w:val="0"/>
      <w:marTop w:val="0"/>
      <w:marBottom w:val="0"/>
      <w:divBdr>
        <w:top w:val="none" w:sz="0" w:space="0" w:color="auto"/>
        <w:left w:val="none" w:sz="0" w:space="0" w:color="auto"/>
        <w:bottom w:val="none" w:sz="0" w:space="0" w:color="auto"/>
        <w:right w:val="none" w:sz="0" w:space="0" w:color="auto"/>
      </w:divBdr>
    </w:div>
    <w:div w:id="1831486722">
      <w:marLeft w:val="0"/>
      <w:marRight w:val="0"/>
      <w:marTop w:val="0"/>
      <w:marBottom w:val="0"/>
      <w:divBdr>
        <w:top w:val="none" w:sz="0" w:space="0" w:color="auto"/>
        <w:left w:val="none" w:sz="0" w:space="0" w:color="auto"/>
        <w:bottom w:val="none" w:sz="0" w:space="0" w:color="auto"/>
        <w:right w:val="none" w:sz="0" w:space="0" w:color="auto"/>
      </w:divBdr>
    </w:div>
    <w:div w:id="1865827818">
      <w:bodyDiv w:val="1"/>
      <w:marLeft w:val="0"/>
      <w:marRight w:val="0"/>
      <w:marTop w:val="0"/>
      <w:marBottom w:val="0"/>
      <w:divBdr>
        <w:top w:val="none" w:sz="0" w:space="0" w:color="auto"/>
        <w:left w:val="none" w:sz="0" w:space="0" w:color="auto"/>
        <w:bottom w:val="none" w:sz="0" w:space="0" w:color="auto"/>
        <w:right w:val="none" w:sz="0" w:space="0" w:color="auto"/>
      </w:divBdr>
    </w:div>
    <w:div w:id="1924756596">
      <w:bodyDiv w:val="1"/>
      <w:marLeft w:val="0"/>
      <w:marRight w:val="0"/>
      <w:marTop w:val="0"/>
      <w:marBottom w:val="0"/>
      <w:divBdr>
        <w:top w:val="none" w:sz="0" w:space="0" w:color="auto"/>
        <w:left w:val="none" w:sz="0" w:space="0" w:color="auto"/>
        <w:bottom w:val="none" w:sz="0" w:space="0" w:color="auto"/>
        <w:right w:val="none" w:sz="0" w:space="0" w:color="auto"/>
      </w:divBdr>
    </w:div>
    <w:div w:id="1930968131">
      <w:bodyDiv w:val="1"/>
      <w:marLeft w:val="0"/>
      <w:marRight w:val="0"/>
      <w:marTop w:val="0"/>
      <w:marBottom w:val="0"/>
      <w:divBdr>
        <w:top w:val="none" w:sz="0" w:space="0" w:color="auto"/>
        <w:left w:val="none" w:sz="0" w:space="0" w:color="auto"/>
        <w:bottom w:val="none" w:sz="0" w:space="0" w:color="auto"/>
        <w:right w:val="none" w:sz="0" w:space="0" w:color="auto"/>
      </w:divBdr>
    </w:div>
    <w:div w:id="1934972420">
      <w:bodyDiv w:val="1"/>
      <w:marLeft w:val="0"/>
      <w:marRight w:val="0"/>
      <w:marTop w:val="0"/>
      <w:marBottom w:val="0"/>
      <w:divBdr>
        <w:top w:val="none" w:sz="0" w:space="0" w:color="auto"/>
        <w:left w:val="none" w:sz="0" w:space="0" w:color="auto"/>
        <w:bottom w:val="none" w:sz="0" w:space="0" w:color="auto"/>
        <w:right w:val="none" w:sz="0" w:space="0" w:color="auto"/>
      </w:divBdr>
    </w:div>
    <w:div w:id="1959139430">
      <w:bodyDiv w:val="1"/>
      <w:marLeft w:val="0"/>
      <w:marRight w:val="0"/>
      <w:marTop w:val="0"/>
      <w:marBottom w:val="0"/>
      <w:divBdr>
        <w:top w:val="none" w:sz="0" w:space="0" w:color="auto"/>
        <w:left w:val="none" w:sz="0" w:space="0" w:color="auto"/>
        <w:bottom w:val="none" w:sz="0" w:space="0" w:color="auto"/>
        <w:right w:val="none" w:sz="0" w:space="0" w:color="auto"/>
      </w:divBdr>
      <w:divsChild>
        <w:div w:id="135269902">
          <w:marLeft w:val="0"/>
          <w:marRight w:val="0"/>
          <w:marTop w:val="0"/>
          <w:marBottom w:val="0"/>
          <w:divBdr>
            <w:top w:val="none" w:sz="0" w:space="0" w:color="auto"/>
            <w:left w:val="none" w:sz="0" w:space="0" w:color="auto"/>
            <w:bottom w:val="none" w:sz="0" w:space="0" w:color="auto"/>
            <w:right w:val="none" w:sz="0" w:space="0" w:color="auto"/>
          </w:divBdr>
        </w:div>
        <w:div w:id="245306015">
          <w:marLeft w:val="0"/>
          <w:marRight w:val="0"/>
          <w:marTop w:val="0"/>
          <w:marBottom w:val="0"/>
          <w:divBdr>
            <w:top w:val="none" w:sz="0" w:space="0" w:color="auto"/>
            <w:left w:val="none" w:sz="0" w:space="0" w:color="auto"/>
            <w:bottom w:val="none" w:sz="0" w:space="0" w:color="auto"/>
            <w:right w:val="none" w:sz="0" w:space="0" w:color="auto"/>
          </w:divBdr>
        </w:div>
        <w:div w:id="759566723">
          <w:marLeft w:val="0"/>
          <w:marRight w:val="0"/>
          <w:marTop w:val="0"/>
          <w:marBottom w:val="0"/>
          <w:divBdr>
            <w:top w:val="none" w:sz="0" w:space="0" w:color="auto"/>
            <w:left w:val="none" w:sz="0" w:space="0" w:color="auto"/>
            <w:bottom w:val="none" w:sz="0" w:space="0" w:color="auto"/>
            <w:right w:val="none" w:sz="0" w:space="0" w:color="auto"/>
          </w:divBdr>
        </w:div>
        <w:div w:id="994453468">
          <w:marLeft w:val="0"/>
          <w:marRight w:val="0"/>
          <w:marTop w:val="0"/>
          <w:marBottom w:val="0"/>
          <w:divBdr>
            <w:top w:val="none" w:sz="0" w:space="0" w:color="auto"/>
            <w:left w:val="none" w:sz="0" w:space="0" w:color="auto"/>
            <w:bottom w:val="none" w:sz="0" w:space="0" w:color="auto"/>
            <w:right w:val="none" w:sz="0" w:space="0" w:color="auto"/>
          </w:divBdr>
        </w:div>
        <w:div w:id="1021009474">
          <w:marLeft w:val="0"/>
          <w:marRight w:val="0"/>
          <w:marTop w:val="0"/>
          <w:marBottom w:val="0"/>
          <w:divBdr>
            <w:top w:val="none" w:sz="0" w:space="0" w:color="auto"/>
            <w:left w:val="none" w:sz="0" w:space="0" w:color="auto"/>
            <w:bottom w:val="none" w:sz="0" w:space="0" w:color="auto"/>
            <w:right w:val="none" w:sz="0" w:space="0" w:color="auto"/>
          </w:divBdr>
        </w:div>
        <w:div w:id="1112282656">
          <w:marLeft w:val="0"/>
          <w:marRight w:val="0"/>
          <w:marTop w:val="0"/>
          <w:marBottom w:val="0"/>
          <w:divBdr>
            <w:top w:val="none" w:sz="0" w:space="0" w:color="auto"/>
            <w:left w:val="none" w:sz="0" w:space="0" w:color="auto"/>
            <w:bottom w:val="none" w:sz="0" w:space="0" w:color="auto"/>
            <w:right w:val="none" w:sz="0" w:space="0" w:color="auto"/>
          </w:divBdr>
        </w:div>
        <w:div w:id="1644315090">
          <w:marLeft w:val="0"/>
          <w:marRight w:val="0"/>
          <w:marTop w:val="0"/>
          <w:marBottom w:val="0"/>
          <w:divBdr>
            <w:top w:val="none" w:sz="0" w:space="0" w:color="auto"/>
            <w:left w:val="none" w:sz="0" w:space="0" w:color="auto"/>
            <w:bottom w:val="none" w:sz="0" w:space="0" w:color="auto"/>
            <w:right w:val="none" w:sz="0" w:space="0" w:color="auto"/>
          </w:divBdr>
        </w:div>
        <w:div w:id="1914973698">
          <w:marLeft w:val="0"/>
          <w:marRight w:val="0"/>
          <w:marTop w:val="0"/>
          <w:marBottom w:val="0"/>
          <w:divBdr>
            <w:top w:val="none" w:sz="0" w:space="0" w:color="auto"/>
            <w:left w:val="none" w:sz="0" w:space="0" w:color="auto"/>
            <w:bottom w:val="none" w:sz="0" w:space="0" w:color="auto"/>
            <w:right w:val="none" w:sz="0" w:space="0" w:color="auto"/>
          </w:divBdr>
        </w:div>
      </w:divsChild>
    </w:div>
    <w:div w:id="1984264696">
      <w:bodyDiv w:val="1"/>
      <w:marLeft w:val="0"/>
      <w:marRight w:val="0"/>
      <w:marTop w:val="0"/>
      <w:marBottom w:val="0"/>
      <w:divBdr>
        <w:top w:val="none" w:sz="0" w:space="0" w:color="auto"/>
        <w:left w:val="none" w:sz="0" w:space="0" w:color="auto"/>
        <w:bottom w:val="none" w:sz="0" w:space="0" w:color="auto"/>
        <w:right w:val="none" w:sz="0" w:space="0" w:color="auto"/>
      </w:divBdr>
    </w:div>
    <w:div w:id="2007130972">
      <w:bodyDiv w:val="1"/>
      <w:marLeft w:val="0"/>
      <w:marRight w:val="0"/>
      <w:marTop w:val="0"/>
      <w:marBottom w:val="0"/>
      <w:divBdr>
        <w:top w:val="none" w:sz="0" w:space="0" w:color="auto"/>
        <w:left w:val="none" w:sz="0" w:space="0" w:color="auto"/>
        <w:bottom w:val="none" w:sz="0" w:space="0" w:color="auto"/>
        <w:right w:val="none" w:sz="0" w:space="0" w:color="auto"/>
      </w:divBdr>
    </w:div>
    <w:div w:id="205318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image" Target="media/image16.emf"/><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emf"/><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chart" Target="charts/chart1.xml"/><Relationship Id="rId27" Type="http://schemas.openxmlformats.org/officeDocument/2006/relationships/image" Target="media/image17.png"/><Relationship Id="rId30" Type="http://schemas.openxmlformats.org/officeDocument/2006/relationships/image" Target="media/image20.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collinsbj.CORE\AppData\Local\Microsoft\Windows\Temporary%20Internet%20Files\Content.IE5\B4T7NO6L\eg%20social%20costs%20of%20ecstasy%20us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'[eg social costs of ecstasy use.xlsx]Sheet1'!$B$4</c:f>
              <c:strCache>
                <c:ptCount val="1"/>
                <c:pt idx="0">
                  <c:v>ecstasy specific hospital costs</c:v>
                </c:pt>
              </c:strCache>
            </c:strRef>
          </c:tx>
          <c:invertIfNegative val="0"/>
          <c:dLbls>
            <c:dLbl>
              <c:idx val="0"/>
              <c:layout>
                <c:manualLayout>
                  <c:x val="1.7032638362065207E-2"/>
                  <c:y val="-0.29474212598425198"/>
                </c:manualLayout>
              </c:layout>
              <c:tx>
                <c:rich>
                  <a:bodyPr wrap="square" lIns="38100" tIns="19050" rIns="38100" bIns="19050" anchor="ctr" anchorCtr="0">
                    <a:spAutoFit/>
                  </a:bodyPr>
                  <a:lstStyle/>
                  <a:p>
                    <a:pPr algn="ctr">
                      <a:defRPr/>
                    </a:pPr>
                    <a:r>
                      <a:rPr lang="en-US">
                        <a:solidFill>
                          <a:schemeClr val="accent1"/>
                        </a:solidFill>
                      </a:rPr>
                      <a:t>ecstasy specific hospital costs (A&amp;E, admissions &amp; deaths) £1.60</a:t>
                    </a:r>
                  </a:p>
                </c:rich>
              </c:tx>
              <c:spPr>
                <a:noFill/>
                <a:ln>
                  <a:noFill/>
                </a:ln>
                <a:effectLst/>
              </c:spP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E667-49B9-90C4-7CFC1A510381}"/>
                </c:ext>
                <c:ext xmlns:c15="http://schemas.microsoft.com/office/drawing/2012/chart" uri="{CE6537A1-D6FC-4f65-9D91-7224C49458BB}"/>
              </c:extLst>
            </c:dLbl>
            <c:spPr>
              <a:noFill/>
              <a:ln>
                <a:noFill/>
              </a:ln>
              <a:effectLst/>
            </c:spPr>
            <c:showLegendKey val="0"/>
            <c:showVal val="1"/>
            <c:showCatName val="0"/>
            <c:showSerName val="1"/>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'[eg social costs of ecstasy use.xlsx]Sheet1'!$B$5</c:f>
              <c:numCache>
                <c:formatCode>"£"#,##0.00</c:formatCode>
                <c:ptCount val="1"/>
                <c:pt idx="0">
                  <c:v>1.6</c:v>
                </c:pt>
              </c:numCache>
            </c:numRef>
          </c:val>
          <c:extLst xmlns:c16r2="http://schemas.microsoft.com/office/drawing/2015/06/chart">
            <c:ext xmlns:c16="http://schemas.microsoft.com/office/drawing/2014/chart" uri="{C3380CC4-5D6E-409C-BE32-E72D297353CC}">
              <c16:uniqueId val="{00000001-E667-49B9-90C4-7CFC1A510381}"/>
            </c:ext>
          </c:extLst>
        </c:ser>
        <c:ser>
          <c:idx val="1"/>
          <c:order val="1"/>
          <c:tx>
            <c:strRef>
              <c:f>'[eg social costs of ecstasy use.xlsx]Sheet1'!$C$4</c:f>
              <c:strCache>
                <c:ptCount val="1"/>
                <c:pt idx="0">
                  <c:v>Drug treatment costs</c:v>
                </c:pt>
              </c:strCache>
            </c:strRef>
          </c:tx>
          <c:invertIfNegative val="0"/>
          <c:dLbls>
            <c:dLbl>
              <c:idx val="0"/>
              <c:layout>
                <c:manualLayout>
                  <c:x val="1.1972228969922494E-2"/>
                  <c:y val="0.24738492405422982"/>
                </c:manualLayout>
              </c:layout>
              <c:tx>
                <c:rich>
                  <a:bodyPr/>
                  <a:lstStyle/>
                  <a:p>
                    <a:r>
                      <a:rPr lang="en-US">
                        <a:solidFill>
                          <a:srgbClr val="FF0000"/>
                        </a:solidFill>
                      </a:rPr>
                      <a:t>Drug</a:t>
                    </a:r>
                    <a:r>
                      <a:rPr lang="en-US" baseline="0">
                        <a:solidFill>
                          <a:srgbClr val="FF0000"/>
                        </a:solidFill>
                      </a:rPr>
                      <a:t> treatment costs </a:t>
                    </a:r>
                  </a:p>
                  <a:p>
                    <a:r>
                      <a:rPr lang="en-US" baseline="0">
                        <a:solidFill>
                          <a:srgbClr val="FF0000"/>
                        </a:solidFill>
                      </a:rPr>
                      <a:t>£1.78</a:t>
                    </a:r>
                    <a:endParaRPr lang="en-US">
                      <a:solidFill>
                        <a:srgbClr val="FF0000"/>
                      </a:solidFill>
                    </a:endParaRPr>
                  </a:p>
                </c:rich>
              </c:tx>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E667-49B9-90C4-7CFC1A510381}"/>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'[eg social costs of ecstasy use.xlsx]Sheet1'!$C$5</c:f>
              <c:numCache>
                <c:formatCode>"£"#,##0.00</c:formatCode>
                <c:ptCount val="1"/>
                <c:pt idx="0">
                  <c:v>1.78</c:v>
                </c:pt>
              </c:numCache>
            </c:numRef>
          </c:val>
          <c:extLst xmlns:c16r2="http://schemas.microsoft.com/office/drawing/2015/06/chart">
            <c:ext xmlns:c16="http://schemas.microsoft.com/office/drawing/2014/chart" uri="{C3380CC4-5D6E-409C-BE32-E72D297353CC}">
              <c16:uniqueId val="{00000003-E667-49B9-90C4-7CFC1A510381}"/>
            </c:ext>
          </c:extLst>
        </c:ser>
        <c:ser>
          <c:idx val="2"/>
          <c:order val="2"/>
          <c:tx>
            <c:strRef>
              <c:f>'[eg social costs of ecstasy use.xlsx]Sheet1'!$D$4</c:f>
              <c:strCache>
                <c:ptCount val="1"/>
                <c:pt idx="0">
                  <c:v>Crime costs</c:v>
                </c:pt>
              </c:strCache>
            </c:strRef>
          </c:tx>
          <c:invertIfNegative val="0"/>
          <c:dLbls>
            <c:dLbl>
              <c:idx val="0"/>
              <c:layout>
                <c:manualLayout>
                  <c:x val="-5.5531242445535833E-17"/>
                  <c:y val="-1.819008900825916E-2"/>
                </c:manualLayout>
              </c:layout>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4-E667-49B9-90C4-7CFC1A510381}"/>
                </c:ext>
                <c:ext xmlns:c15="http://schemas.microsoft.com/office/drawing/2012/chart" uri="{CE6537A1-D6FC-4f65-9D91-7224C49458BB}"/>
              </c:extLst>
            </c:dLbl>
            <c:spPr>
              <a:noFill/>
              <a:ln>
                <a:noFill/>
              </a:ln>
              <a:effectLst/>
            </c:spPr>
            <c:showLegendKey val="0"/>
            <c:showVal val="1"/>
            <c:showCatName val="0"/>
            <c:showSerName val="1"/>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'[eg social costs of ecstasy use.xlsx]Sheet1'!$D$5</c:f>
              <c:numCache>
                <c:formatCode>"£"#,##0.00</c:formatCode>
                <c:ptCount val="1"/>
                <c:pt idx="0">
                  <c:v>6.44</c:v>
                </c:pt>
              </c:numCache>
            </c:numRef>
          </c:val>
          <c:extLst xmlns:c16r2="http://schemas.microsoft.com/office/drawing/2015/06/chart">
            <c:ext xmlns:c16="http://schemas.microsoft.com/office/drawing/2014/chart" uri="{C3380CC4-5D6E-409C-BE32-E72D297353CC}">
              <c16:uniqueId val="{00000005-E667-49B9-90C4-7CFC1A510381}"/>
            </c:ext>
          </c:extLst>
        </c:ser>
        <c:ser>
          <c:idx val="3"/>
          <c:order val="3"/>
          <c:tx>
            <c:strRef>
              <c:f>Sheet1!#REF!</c:f>
              <c:strCache>
                <c:ptCount val="1"/>
                <c:pt idx="0">
                  <c:v>#REF!</c:v>
                </c:pt>
              </c:strCache>
            </c:strRef>
          </c:tx>
          <c:invertIfNegative val="0"/>
          <c:dLbls>
            <c:dLbl>
              <c:idx val="0"/>
              <c:layout>
                <c:manualLayout>
                  <c:x val="-0.16978982831584685"/>
                  <c:y val="-1.4552071206607394E-2"/>
                </c:manualLayout>
              </c:layout>
              <c:tx>
                <c:rich>
                  <a:bodyPr/>
                  <a:lstStyle/>
                  <a:p>
                    <a:r>
                      <a:rPr lang="en-US"/>
                      <a:t>QALY losses £16.55</a:t>
                    </a:r>
                  </a:p>
                </c:rich>
              </c:tx>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6-E667-49B9-90C4-7CFC1A510381}"/>
                </c:ext>
                <c:ext xmlns:c15="http://schemas.microsoft.com/office/drawing/2012/chart" uri="{CE6537A1-D6FC-4f65-9D91-7224C49458BB}"/>
              </c:extLst>
            </c:dLbl>
            <c:spPr>
              <a:noFill/>
              <a:ln>
                <a:noFill/>
              </a:ln>
              <a:effectLst/>
            </c:spPr>
            <c:showLegendKey val="0"/>
            <c:showVal val="1"/>
            <c:showCatName val="0"/>
            <c:showSerName val="1"/>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'[eg social costs of ecstasy use.xlsx]Sheet1'!$E$5</c:f>
              <c:numCache>
                <c:formatCode>"£"#,##0.00</c:formatCode>
                <c:ptCount val="1"/>
                <c:pt idx="0">
                  <c:v>16.55</c:v>
                </c:pt>
              </c:numCache>
            </c:numRef>
          </c:val>
          <c:extLst xmlns:c16r2="http://schemas.microsoft.com/office/drawing/2015/06/chart">
            <c:ext xmlns:c16="http://schemas.microsoft.com/office/drawing/2014/chart" uri="{C3380CC4-5D6E-409C-BE32-E72D297353CC}">
              <c16:uniqueId val="{00000007-E667-49B9-90C4-7CFC1A510381}"/>
            </c:ext>
          </c:extLst>
        </c:ser>
        <c:ser>
          <c:idx val="4"/>
          <c:order val="4"/>
          <c:tx>
            <c:strRef>
              <c:f>'[eg social costs of ecstasy use.xlsx]Sheet1'!$E$4</c:f>
              <c:strCache>
                <c:ptCount val="1"/>
                <c:pt idx="0">
                  <c:v>value of lost QALYs from dependence and death</c:v>
                </c:pt>
              </c:strCache>
            </c:strRef>
          </c:tx>
          <c:invertIfNegative val="0"/>
          <c:dLbls>
            <c:dLbl>
              <c:idx val="0"/>
              <c:layout>
                <c:manualLayout>
                  <c:x val="-4.8248753536198081E-3"/>
                  <c:y val="0"/>
                </c:manualLayout>
              </c:layout>
              <c:dLblPos val="ctr"/>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8-E667-49B9-90C4-7CFC1A510381}"/>
                </c:ext>
                <c:ext xmlns:c15="http://schemas.microsoft.com/office/drawing/2012/chart" uri="{CE6537A1-D6FC-4f65-9D91-7224C49458BB}"/>
              </c:extLst>
            </c:dLbl>
            <c:spPr>
              <a:noFill/>
              <a:ln>
                <a:noFill/>
              </a:ln>
              <a:effectLst/>
            </c:spPr>
            <c:dLblPos val="inBase"/>
            <c:showLegendKey val="0"/>
            <c:showVal val="1"/>
            <c:showCatName val="0"/>
            <c:showSerName val="1"/>
            <c:showPercent val="0"/>
            <c:showBubbleSize val="0"/>
            <c:showLeaderLines val="0"/>
            <c:extLst xmlns:c16r2="http://schemas.microsoft.com/office/drawing/2015/06/chart">
              <c:ext xmlns:c15="http://schemas.microsoft.com/office/drawing/2012/chart" uri="{CE6537A1-D6FC-4f65-9D91-7224C49458BB}">
                <c15:showLeaderLines val="0"/>
              </c:ext>
            </c:extLst>
          </c:dLbls>
          <c:val>
            <c:numRef>
              <c:f>'C:\Users\Simon\Downloads\[model summaries_SL.xlsx]Martin model assumptions table'!$G$9</c:f>
              <c:numCache>
                <c:formatCode>General</c:formatCode>
                <c:ptCount val="1"/>
                <c:pt idx="0">
                  <c:v>16.55</c:v>
                </c:pt>
              </c:numCache>
            </c:numRef>
          </c:val>
          <c:extLst xmlns:c16r2="http://schemas.microsoft.com/office/drawing/2015/06/chart">
            <c:ext xmlns:c16="http://schemas.microsoft.com/office/drawing/2014/chart" uri="{C3380CC4-5D6E-409C-BE32-E72D297353CC}">
              <c16:uniqueId val="{00000009-E667-49B9-90C4-7CFC1A510381}"/>
            </c:ext>
          </c:extLst>
        </c:ser>
        <c:dLbls>
          <c:showLegendKey val="0"/>
          <c:showVal val="0"/>
          <c:showCatName val="0"/>
          <c:showSerName val="0"/>
          <c:showPercent val="0"/>
          <c:showBubbleSize val="0"/>
        </c:dLbls>
        <c:gapWidth val="150"/>
        <c:overlap val="100"/>
        <c:axId val="25752704"/>
        <c:axId val="25754240"/>
      </c:barChart>
      <c:catAx>
        <c:axId val="25752704"/>
        <c:scaling>
          <c:orientation val="minMax"/>
        </c:scaling>
        <c:delete val="1"/>
        <c:axPos val="l"/>
        <c:majorTickMark val="out"/>
        <c:minorTickMark val="none"/>
        <c:tickLblPos val="nextTo"/>
        <c:crossAx val="25754240"/>
        <c:crosses val="autoZero"/>
        <c:auto val="1"/>
        <c:lblAlgn val="ctr"/>
        <c:lblOffset val="100"/>
        <c:noMultiLvlLbl val="0"/>
      </c:catAx>
      <c:valAx>
        <c:axId val="25754240"/>
        <c:scaling>
          <c:orientation val="minMax"/>
          <c:max val="20"/>
        </c:scaling>
        <c:delete val="0"/>
        <c:axPos val="b"/>
        <c:numFmt formatCode="&quot;£&quot;#,##0.00" sourceLinked="1"/>
        <c:majorTickMark val="out"/>
        <c:minorTickMark val="none"/>
        <c:tickLblPos val="nextTo"/>
        <c:crossAx val="2575270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70EB1E-C004-4F47-B850-D23B1EFC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F3671C9D</Template>
  <TotalTime>0</TotalTime>
  <Pages>101</Pages>
  <Words>77950</Words>
  <Characters>444315</Characters>
  <Application>Microsoft Office Word</Application>
  <DocSecurity>0</DocSecurity>
  <Lines>3702</Lines>
  <Paragraphs>1042</Paragraphs>
  <ScaleCrop>false</ScaleCrop>
  <HeadingPairs>
    <vt:vector size="2" baseType="variant">
      <vt:variant>
        <vt:lpstr>Title</vt:lpstr>
      </vt:variant>
      <vt:variant>
        <vt:i4>1</vt:i4>
      </vt:variant>
    </vt:vector>
  </HeadingPairs>
  <TitlesOfParts>
    <vt:vector size="1" baseType="lpstr">
      <vt:lpstr>NICE Drug Misuse Prevention:</vt:lpstr>
    </vt:vector>
  </TitlesOfParts>
  <Company>Liverpool Health Economics</Company>
  <LinksUpToDate>false</LinksUpToDate>
  <CharactersWithSpaces>521223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Drug Misuse Prevention:</dc:title>
  <dc:subject>Economic Modelling Report</dc:subject>
  <dc:creator>Brendan Collins, Simon Leigh, Fatemeh Behzadnejad, Antony P. Martin, Alan Haycox, Harry Sumnall, Geoff Bates.</dc:creator>
  <cp:lastModifiedBy>Rukshana Begum</cp:lastModifiedBy>
  <cp:revision>2</cp:revision>
  <dcterms:created xsi:type="dcterms:W3CDTF">2016-06-13T12:04:00Z</dcterms:created>
  <dcterms:modified xsi:type="dcterms:W3CDTF">2016-06-13T12:04:00Z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antonymartin01@hotmail.com@www.mendeley.com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