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3022B" w:rsidR="0004302C" w:rsidP="4611F8EC" w:rsidRDefault="0004302C" w14:paraId="5F36C1A4" w14:textId="75D5155E">
      <w:pPr>
        <w:rPr>
          <w:rFonts w:cs="Arial"/>
        </w:rPr>
      </w:pPr>
      <w:r w:rsidRPr="4611F8EC" w:rsidR="0004302C">
        <w:rPr>
          <w:rFonts w:cs="Arial"/>
        </w:rPr>
        <w:t>Sent by e-mail onl</w:t>
      </w:r>
      <w:r w:rsidRPr="4611F8EC" w:rsidR="5FB0614B">
        <w:rPr>
          <w:rFonts w:cs="Arial"/>
        </w:rPr>
        <w:t xml:space="preserve">y </w:t>
      </w:r>
      <w:r w:rsidRPr="4611F8EC" w:rsidR="5FB0614B">
        <w:rPr>
          <w:rFonts w:cs="Arial"/>
          <w:color w:val="auto"/>
          <w:highlight w:val="black"/>
        </w:rPr>
        <w:t>XXXXXXXXXXXXXXXXXXXXX</w:t>
      </w:r>
    </w:p>
    <w:p w:rsidR="006C5A0C" w:rsidP="00280C27" w:rsidRDefault="0004302C" w14:paraId="6267AA23" w14:textId="1724BE18">
      <w:pPr>
        <w:spacing w:after="0" w:line="240" w:lineRule="auto"/>
        <w:jc w:val="both"/>
        <w:rPr>
          <w:rFonts w:cs="Arial"/>
        </w:rPr>
      </w:pPr>
      <w:r w:rsidRPr="4611F8EC" w:rsidR="0004302C">
        <w:rPr>
          <w:rFonts w:cs="Arial"/>
        </w:rPr>
        <w:t xml:space="preserve">FAO </w:t>
      </w:r>
      <w:r w:rsidRPr="4611F8EC" w:rsidR="26406D09">
        <w:rPr>
          <w:rFonts w:cs="Arial"/>
          <w:color w:val="auto"/>
          <w:highlight w:val="black"/>
        </w:rPr>
        <w:t>XXXXXXXXXXXXXXXX</w:t>
      </w:r>
    </w:p>
    <w:p w:rsidR="00280C27" w:rsidP="00280C27" w:rsidRDefault="00280C27" w14:paraId="6642BD2A" w14:textId="525FC251">
      <w:pPr>
        <w:spacing w:after="0" w:line="240" w:lineRule="auto"/>
        <w:jc w:val="both"/>
        <w:rPr>
          <w:rFonts w:cs="Arial"/>
        </w:rPr>
      </w:pPr>
      <w:r>
        <w:rPr>
          <w:rFonts w:cs="Arial"/>
        </w:rPr>
        <w:t>BioMarin</w:t>
      </w:r>
    </w:p>
    <w:p w:rsidR="00280C27" w:rsidP="00280C27" w:rsidRDefault="00280C27" w14:paraId="489AA0EC" w14:textId="7762B209">
      <w:pPr>
        <w:spacing w:after="0" w:line="240" w:lineRule="auto"/>
        <w:jc w:val="both"/>
        <w:rPr>
          <w:rFonts w:cs="Arial"/>
        </w:rPr>
      </w:pPr>
      <w:r>
        <w:rPr>
          <w:rFonts w:cs="Arial"/>
        </w:rPr>
        <w:t>10 Bloomsbury Way</w:t>
      </w:r>
    </w:p>
    <w:p w:rsidR="00280C27" w:rsidP="00280C27" w:rsidRDefault="00280C27" w14:paraId="750C11D0" w14:textId="137C20A6">
      <w:pPr>
        <w:spacing w:after="0" w:line="240" w:lineRule="auto"/>
        <w:jc w:val="both"/>
        <w:rPr>
          <w:rFonts w:cs="Arial"/>
        </w:rPr>
      </w:pPr>
      <w:r>
        <w:rPr>
          <w:rFonts w:cs="Arial"/>
        </w:rPr>
        <w:t>London</w:t>
      </w:r>
    </w:p>
    <w:p w:rsidR="00280C27" w:rsidP="00280C27" w:rsidRDefault="00280C27" w14:paraId="5F5307D0" w14:textId="601180B9">
      <w:pPr>
        <w:spacing w:after="0" w:line="240" w:lineRule="auto"/>
        <w:jc w:val="both"/>
        <w:rPr>
          <w:rFonts w:cs="Arial"/>
        </w:rPr>
      </w:pPr>
      <w:r>
        <w:rPr>
          <w:rFonts w:cs="Arial"/>
        </w:rPr>
        <w:t xml:space="preserve">WC1A 2SL </w:t>
      </w:r>
    </w:p>
    <w:p w:rsidRPr="0043022B" w:rsidR="0004302C" w:rsidP="0004302C" w:rsidRDefault="0004302C" w14:paraId="78445498" w14:textId="77777777">
      <w:pPr>
        <w:rPr>
          <w:rFonts w:cs="Arial"/>
        </w:rPr>
      </w:pPr>
    </w:p>
    <w:p w:rsidRPr="0043022B" w:rsidR="0004302C" w:rsidP="0004302C" w:rsidRDefault="00B729F7" w14:paraId="51088EB9" w14:textId="357E56B3">
      <w:pPr>
        <w:rPr>
          <w:rFonts w:cs="Arial"/>
        </w:rPr>
      </w:pPr>
      <w:r>
        <w:rPr>
          <w:rFonts w:cs="Arial"/>
        </w:rPr>
        <w:t>5</w:t>
      </w:r>
      <w:r w:rsidRPr="20FFD92F" w:rsidR="006C5A0C">
        <w:rPr>
          <w:rFonts w:cs="Arial"/>
        </w:rPr>
        <w:t xml:space="preserve"> </w:t>
      </w:r>
      <w:r w:rsidRPr="20FFD92F" w:rsidR="00280C27">
        <w:rPr>
          <w:rFonts w:cs="Arial"/>
        </w:rPr>
        <w:t>September</w:t>
      </w:r>
      <w:r w:rsidRPr="20FFD92F" w:rsidR="006C5A0C">
        <w:rPr>
          <w:rFonts w:cs="Arial"/>
        </w:rPr>
        <w:t xml:space="preserve"> 2025</w:t>
      </w:r>
    </w:p>
    <w:p w:rsidRPr="0043022B" w:rsidR="0004302C" w:rsidP="4611F8EC" w:rsidRDefault="0004302C" w14:paraId="6392A75B" w14:textId="1956851A">
      <w:pPr>
        <w:ind w:left="426" w:right="468" w:hanging="426"/>
        <w:jc w:val="both"/>
        <w:rPr>
          <w:rFonts w:cs="Arial"/>
          <w:noProof/>
          <w:spacing w:val="-3"/>
          <w:lang w:eastAsia="en-GB"/>
        </w:rPr>
      </w:pPr>
      <w:bookmarkStart w:name="deartext" w:id="0"/>
      <w:r w:rsidRPr="4611F8EC" w:rsidR="0004302C">
        <w:rPr>
          <w:rFonts w:cs="Arial"/>
        </w:rPr>
        <w:t>Dear</w:t>
      </w:r>
      <w:bookmarkEnd w:id="0"/>
      <w:r w:rsidRPr="4611F8EC" w:rsidR="0004302C">
        <w:rPr>
          <w:rFonts w:cs="Arial"/>
          <w:color w:val="auto"/>
        </w:rPr>
        <w:t xml:space="preserve"> </w:t>
      </w:r>
      <w:bookmarkStart w:name="Sal" w:id="1"/>
      <w:bookmarkEnd w:id="1"/>
      <w:r w:rsidRPr="4611F8EC" w:rsidR="1C172542">
        <w:rPr>
          <w:rFonts w:cs="Arial"/>
          <w:color w:val="auto"/>
          <w:highlight w:val="black"/>
        </w:rPr>
        <w:t>XXXXXXXXXXXXX</w:t>
      </w:r>
    </w:p>
    <w:p w:rsidRPr="0043022B" w:rsidR="0004302C" w:rsidP="0004302C" w:rsidRDefault="0004302C" w14:paraId="0C2B27E7" w14:textId="21861E03">
      <w:pPr>
        <w:ind w:left="426" w:right="468" w:hanging="426"/>
        <w:jc w:val="both"/>
        <w:rPr>
          <w:rFonts w:cs="Arial"/>
          <w:b/>
        </w:rPr>
      </w:pPr>
      <w:r w:rsidRPr="0043022B">
        <w:rPr>
          <w:rFonts w:cs="Arial"/>
          <w:noProof/>
          <w:lang w:eastAsia="en-GB"/>
        </w:rPr>
        <mc:AlternateContent>
          <mc:Choice Requires="wps">
            <w:drawing>
              <wp:anchor distT="4294967294" distB="4294967294" distL="114300" distR="114300" simplePos="0" relativeHeight="251658240" behindDoc="0" locked="0" layoutInCell="1" allowOverlap="1" wp14:anchorId="6EA67439" wp14:editId="02C5AE77">
                <wp:simplePos x="0" y="0"/>
                <wp:positionH relativeFrom="column">
                  <wp:posOffset>-805815</wp:posOffset>
                </wp:positionH>
                <wp:positionV relativeFrom="paragraph">
                  <wp:posOffset>255270</wp:posOffset>
                </wp:positionV>
                <wp:extent cx="81915" cy="0"/>
                <wp:effectExtent l="0" t="0" r="3238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Straight Connector 2"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spid="_x0000_s1026" strokecolor="#505050" strokeweight=".25pt" from="-63.45pt,20.1pt" to="-5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kzrwEAAFIDAAAOAAAAZHJzL2Uyb0RvYy54bWysU8tu2zAQvBfoPxC815RSpE0FyznESC9B&#10;GyBN72uKlIjyBS5ryX/fJe04aXsLAgPEkrsezgxH6+vFWbZXCU3wPW9XDWfKyzAYP/b88cfthyvO&#10;MIMfwAaven5QyK8379+t59ipizAFO6jECMRjN8eeTznHTgiUk3KAqxCVp6YOyUGmbRrFkGAmdGfF&#10;RdN8EnNIQ0xBKkQ63R6bfFPxtVYyf9caVWa258Qt1zXVdVdWsVlDNyaIk5EnGvAKFg6Mp0vPUFvI&#10;wH4n8x+UMzIFDDqvZHAiaG2kqhpITdv8o+ZhgqiqFjIH49kmfDtY+W1/4+9ToS4X/xDvgvyFZIqY&#10;I3bnZtlgPI4tOjmmrYk/6b2rZlLBlmrp4WypWjKTdHjVfmkvOZNPHQFdASj3xYT5qwqOlaLn1vii&#10;FTrY32EuFJ5HyrEPt8ba+l7Ws7nnH9vPBRkoNdpCptLFoefoR87AjhRHmVNFxGDNUP5dcDCNuxub&#10;2B4oEpdN+ZUU0G1/jRVSW8DpOFdbpzHrC4yq4ToxffanVLswHO7Tk4n0cBX9FLKSjJd7ql9+Cps/&#10;AAAA//8DAFBLAwQUAAYACAAAACEA2X1V2eAAAAALAQAADwAAAGRycy9kb3ducmV2LnhtbEyPwUrD&#10;QBCG74LvsIzgLd0klKAxmyKioB60toX2uM2OSWh2Nuxu2/j2jnjQ48x8/PP91WKygzihD70jBdks&#10;BYHUONNTq2CzfkpuQISoyejBESr4wgCL+vKi0qVxZ/rA0yq2gkMolFpBF+NYShmaDq0OMzci8e3T&#10;easjj76Vxuszh9tB5mlaSKt74g+dHvGhw+awOloFb6+7x/fG2UPhafmyzfvlevfcKnV9Nd3fgYg4&#10;xT8YfvRZHWp22rsjmSAGBUmWF7fMKpinOQgmkiybc73970bWlfzfof4GAAD//wMAUEsBAi0AFAAG&#10;AAgAAAAhALaDOJL+AAAA4QEAABMAAAAAAAAAAAAAAAAAAAAAAFtDb250ZW50X1R5cGVzXS54bWxQ&#10;SwECLQAUAAYACAAAACEAOP0h/9YAAACUAQAACwAAAAAAAAAAAAAAAAAvAQAAX3JlbHMvLnJlbHNQ&#10;SwECLQAUAAYACAAAACEAycI5M68BAABSAwAADgAAAAAAAAAAAAAAAAAuAgAAZHJzL2Uyb0RvYy54&#10;bWxQSwECLQAUAAYACAAAACEA2X1V2eAAAAALAQAADwAAAAAAAAAAAAAAAAAJBAAAZHJzL2Rvd25y&#10;ZXYueG1sUEsFBgAAAAAEAAQA8wAAABYFAAAAAA==&#10;" w14:anchorId="31E450BA">
                <o:lock v:ext="edit" shapetype="f"/>
              </v:line>
            </w:pict>
          </mc:Fallback>
        </mc:AlternateContent>
      </w:r>
      <w:r w:rsidRPr="0043022B">
        <w:rPr>
          <w:rFonts w:cs="Arial"/>
          <w:b/>
          <w:spacing w:val="-3"/>
        </w:rPr>
        <w:t xml:space="preserve">Re: </w:t>
      </w:r>
      <w:r w:rsidRPr="0043022B">
        <w:rPr>
          <w:rFonts w:cs="Arial"/>
          <w:b/>
        </w:rPr>
        <w:t xml:space="preserve">Final </w:t>
      </w:r>
      <w:r w:rsidR="006C5A0C">
        <w:rPr>
          <w:rFonts w:cs="Arial"/>
          <w:b/>
        </w:rPr>
        <w:t xml:space="preserve">Draft Guidance – </w:t>
      </w:r>
      <w:proofErr w:type="spellStart"/>
      <w:r w:rsidR="00280C27">
        <w:rPr>
          <w:rFonts w:cs="Arial"/>
          <w:b/>
        </w:rPr>
        <w:t>Cerliponase</w:t>
      </w:r>
      <w:proofErr w:type="spellEnd"/>
      <w:r w:rsidR="00280C27">
        <w:rPr>
          <w:rFonts w:cs="Arial"/>
          <w:b/>
        </w:rPr>
        <w:t xml:space="preserve"> alfa for treating neuronal ceroid lipofuscinosis type 2 (MA review of HST12) [ID6145]</w:t>
      </w:r>
    </w:p>
    <w:p w:rsidRPr="00C31456" w:rsidR="00003026" w:rsidP="00413F89" w:rsidRDefault="000223BD" w14:paraId="7414DC3E" w14:textId="3D315048">
      <w:pPr>
        <w:jc w:val="both"/>
        <w:rPr>
          <w:rFonts w:cs="Arial"/>
          <w:color w:val="auto"/>
        </w:rPr>
      </w:pPr>
      <w:r w:rsidRPr="00C31456">
        <w:rPr>
          <w:rFonts w:cs="Arial"/>
          <w:color w:val="auto"/>
        </w:rPr>
        <w:t xml:space="preserve">Thank you for your letter of </w:t>
      </w:r>
      <w:r w:rsidR="00280C27">
        <w:rPr>
          <w:rFonts w:cs="Arial"/>
          <w:color w:val="auto"/>
        </w:rPr>
        <w:t>28 July</w:t>
      </w:r>
      <w:r w:rsidRPr="00C31456" w:rsidR="006C5A0C">
        <w:rPr>
          <w:rFonts w:cs="Arial"/>
          <w:color w:val="auto"/>
        </w:rPr>
        <w:t xml:space="preserve"> 2025</w:t>
      </w:r>
      <w:r w:rsidRPr="00C31456">
        <w:rPr>
          <w:rFonts w:cs="Arial"/>
          <w:color w:val="auto"/>
        </w:rPr>
        <w:t xml:space="preserve">, lodging </w:t>
      </w:r>
      <w:r w:rsidRPr="00C31456" w:rsidR="00F4296D">
        <w:rPr>
          <w:rFonts w:cs="Arial"/>
          <w:color w:val="auto"/>
        </w:rPr>
        <w:t>an</w:t>
      </w:r>
      <w:r w:rsidRPr="00C31456">
        <w:rPr>
          <w:rFonts w:cs="Arial"/>
          <w:color w:val="auto"/>
        </w:rPr>
        <w:t xml:space="preserve"> appeal against the above Final </w:t>
      </w:r>
      <w:r w:rsidRPr="00C31456" w:rsidR="006C5A0C">
        <w:rPr>
          <w:rFonts w:cs="Arial"/>
          <w:color w:val="auto"/>
        </w:rPr>
        <w:t>Draft Guidance</w:t>
      </w:r>
      <w:r w:rsidRPr="00C31456">
        <w:rPr>
          <w:rFonts w:cs="Arial"/>
          <w:color w:val="auto"/>
        </w:rPr>
        <w:t xml:space="preserve"> (</w:t>
      </w:r>
      <w:r w:rsidRPr="00C31456" w:rsidR="006C5A0C">
        <w:rPr>
          <w:rFonts w:cs="Arial"/>
          <w:color w:val="auto"/>
        </w:rPr>
        <w:t>"</w:t>
      </w:r>
      <w:r w:rsidRPr="00C31456" w:rsidR="006C5A0C">
        <w:rPr>
          <w:rFonts w:cs="Arial"/>
          <w:b/>
          <w:bCs/>
          <w:color w:val="auto"/>
        </w:rPr>
        <w:t>FDG</w:t>
      </w:r>
      <w:r w:rsidRPr="00C31456" w:rsidR="006C5A0C">
        <w:rPr>
          <w:rFonts w:cs="Arial"/>
          <w:color w:val="auto"/>
        </w:rPr>
        <w:t>"</w:t>
      </w:r>
      <w:r w:rsidRPr="00C31456">
        <w:rPr>
          <w:rFonts w:cs="Arial"/>
          <w:color w:val="auto"/>
        </w:rPr>
        <w:t xml:space="preserve">). </w:t>
      </w:r>
      <w:r w:rsidRPr="00C31456" w:rsidR="00262058">
        <w:rPr>
          <w:rFonts w:cs="Arial"/>
          <w:color w:val="auto"/>
        </w:rPr>
        <w:t xml:space="preserve"> </w:t>
      </w:r>
    </w:p>
    <w:p w:rsidRPr="00C31456" w:rsidR="00C70019" w:rsidP="00413F89" w:rsidRDefault="00C70019" w14:paraId="5F523C58" w14:textId="77777777">
      <w:pPr>
        <w:jc w:val="both"/>
        <w:rPr>
          <w:rFonts w:cs="Arial"/>
          <w:color w:val="auto"/>
        </w:rPr>
      </w:pPr>
      <w:r w:rsidRPr="00C31456">
        <w:rPr>
          <w:rFonts w:cs="Arial"/>
          <w:color w:val="auto"/>
          <w:u w:val="single"/>
        </w:rPr>
        <w:t>Introduction</w:t>
      </w:r>
      <w:r w:rsidRPr="00C31456">
        <w:rPr>
          <w:rFonts w:cs="Arial"/>
          <w:color w:val="auto"/>
        </w:rPr>
        <w:t xml:space="preserve"> </w:t>
      </w:r>
    </w:p>
    <w:p w:rsidRPr="00C31456" w:rsidR="00C70019" w:rsidP="00413F89" w:rsidRDefault="00C70019" w14:paraId="70E1E5B1" w14:textId="2DBAE3FD">
      <w:pPr>
        <w:jc w:val="both"/>
        <w:rPr>
          <w:rFonts w:cs="Arial"/>
          <w:color w:val="auto"/>
        </w:rPr>
      </w:pPr>
      <w:r w:rsidRPr="00C31456">
        <w:rPr>
          <w:rFonts w:cs="Arial"/>
          <w:color w:val="auto"/>
        </w:rPr>
        <w:t xml:space="preserve">The Institute's appeal procedures provide for an initial scrutiny of points that an appellant wishes to raise, to </w:t>
      </w:r>
      <w:r w:rsidRPr="00C31456" w:rsidR="006B6C22">
        <w:rPr>
          <w:rFonts w:cs="Arial"/>
          <w:color w:val="auto"/>
        </w:rPr>
        <w:t>provide an initial view on whether</w:t>
      </w:r>
      <w:r w:rsidRPr="00C31456">
        <w:rPr>
          <w:rFonts w:cs="Arial"/>
          <w:color w:val="auto"/>
        </w:rPr>
        <w:t xml:space="preserve"> they are within the permitted grounds of appeal ("valid")</w:t>
      </w:r>
      <w:r w:rsidRPr="00C31456" w:rsidR="006B6C22">
        <w:rPr>
          <w:rFonts w:cs="Arial"/>
          <w:color w:val="auto"/>
        </w:rPr>
        <w:t xml:space="preserve"> and are at least arguable</w:t>
      </w:r>
      <w:r w:rsidRPr="00C31456">
        <w:rPr>
          <w:rFonts w:cs="Arial"/>
          <w:color w:val="auto"/>
        </w:rPr>
        <w:t xml:space="preserve">. The permitted grounds of appeal are: </w:t>
      </w:r>
    </w:p>
    <w:p w:rsidRPr="00C31456" w:rsidR="00C70019" w:rsidP="00413F89" w:rsidRDefault="00C70019" w14:paraId="25359C75" w14:textId="77777777">
      <w:pPr>
        <w:numPr>
          <w:ilvl w:val="0"/>
          <w:numId w:val="2"/>
        </w:numPr>
        <w:shd w:val="clear" w:color="auto" w:fill="FFFFFF"/>
        <w:spacing w:before="240" w:after="240" w:line="240" w:lineRule="auto"/>
        <w:jc w:val="both"/>
        <w:rPr>
          <w:rFonts w:cs="Arial"/>
          <w:color w:val="auto"/>
        </w:rPr>
      </w:pPr>
      <w:r w:rsidRPr="00C31456">
        <w:rPr>
          <w:rFonts w:cs="Arial"/>
          <w:color w:val="auto"/>
        </w:rPr>
        <w:t xml:space="preserve">1(a) NICE has failed to act fairly, or </w:t>
      </w:r>
    </w:p>
    <w:p w:rsidRPr="00C31456" w:rsidR="00C70019" w:rsidP="00413F89" w:rsidRDefault="00C70019" w14:paraId="14BFF060" w14:textId="77777777">
      <w:pPr>
        <w:numPr>
          <w:ilvl w:val="0"/>
          <w:numId w:val="2"/>
        </w:numPr>
        <w:shd w:val="clear" w:color="auto" w:fill="FFFFFF"/>
        <w:spacing w:before="240" w:after="240" w:line="240" w:lineRule="auto"/>
        <w:jc w:val="both"/>
        <w:rPr>
          <w:rFonts w:cs="Arial"/>
          <w:color w:val="auto"/>
        </w:rPr>
      </w:pPr>
      <w:r w:rsidRPr="00C31456">
        <w:rPr>
          <w:rFonts w:cs="Arial"/>
          <w:color w:val="auto"/>
        </w:rPr>
        <w:t xml:space="preserve">1(b) NICE has exceeded </w:t>
      </w:r>
      <w:proofErr w:type="gramStart"/>
      <w:r w:rsidRPr="00C31456">
        <w:rPr>
          <w:rFonts w:cs="Arial"/>
          <w:color w:val="auto"/>
        </w:rPr>
        <w:t>powers;</w:t>
      </w:r>
      <w:proofErr w:type="gramEnd"/>
    </w:p>
    <w:p w:rsidRPr="00C31456" w:rsidR="00C70019" w:rsidP="00413F89" w:rsidRDefault="00C70019" w14:paraId="22754B60" w14:textId="77777777">
      <w:pPr>
        <w:numPr>
          <w:ilvl w:val="0"/>
          <w:numId w:val="2"/>
        </w:numPr>
        <w:shd w:val="clear" w:color="auto" w:fill="FFFFFF"/>
        <w:spacing w:before="240" w:after="240" w:line="240" w:lineRule="auto"/>
        <w:jc w:val="both"/>
        <w:rPr>
          <w:rFonts w:cs="Arial"/>
          <w:color w:val="auto"/>
        </w:rPr>
      </w:pPr>
      <w:r w:rsidRPr="00C31456">
        <w:rPr>
          <w:rFonts w:cs="Arial"/>
          <w:color w:val="auto"/>
        </w:rPr>
        <w:t>(2) the recommendation is unreasonable in the light of the evidence submitted to NICE</w:t>
      </w:r>
      <w:r w:rsidRPr="00C31456" w:rsidR="006347AD">
        <w:rPr>
          <w:rFonts w:cs="Arial"/>
          <w:color w:val="auto"/>
        </w:rPr>
        <w:t>.</w:t>
      </w:r>
    </w:p>
    <w:p w:rsidRPr="00C31456" w:rsidR="00C70019" w:rsidP="00413F89" w:rsidRDefault="00C70019" w14:paraId="08D953B5" w14:textId="25297E74">
      <w:pPr>
        <w:jc w:val="both"/>
        <w:rPr>
          <w:rFonts w:cs="Arial"/>
          <w:color w:val="auto"/>
        </w:rPr>
      </w:pPr>
      <w:r w:rsidRPr="00C31456">
        <w:rPr>
          <w:rFonts w:cs="Arial"/>
          <w:color w:val="auto"/>
        </w:rPr>
        <w:t>This letter sets out my initial view of the points of appeal you have raised: principally whether they fall within any of the grounds of appeal, or whether further clarification is required of any point. Only if I am satisfied that your points contain the necessary information</w:t>
      </w:r>
      <w:r w:rsidRPr="00C31456" w:rsidR="00F41597">
        <w:rPr>
          <w:rFonts w:cs="Arial"/>
          <w:color w:val="auto"/>
        </w:rPr>
        <w:t>, are arguable, and</w:t>
      </w:r>
      <w:r w:rsidRPr="00C31456">
        <w:rPr>
          <w:rFonts w:cs="Arial"/>
          <w:color w:val="auto"/>
        </w:rPr>
        <w:t xml:space="preserve"> fall within any one of the grounds will your appeal be referred to the Appeal Panel. </w:t>
      </w:r>
    </w:p>
    <w:p w:rsidRPr="00C31456" w:rsidR="00A4155C" w:rsidP="00413F89" w:rsidRDefault="00A4155C" w14:paraId="797C6F4A" w14:textId="059EAF25">
      <w:pPr>
        <w:jc w:val="both"/>
        <w:rPr>
          <w:rFonts w:cs="Arial"/>
          <w:color w:val="auto"/>
        </w:rPr>
      </w:pPr>
      <w:r w:rsidRPr="00C31456">
        <w:rPr>
          <w:rFonts w:cs="Arial"/>
          <w:color w:val="auto"/>
        </w:rPr>
        <w:t xml:space="preserve">You </w:t>
      </w:r>
      <w:proofErr w:type="gramStart"/>
      <w:r w:rsidRPr="00C31456">
        <w:rPr>
          <w:rFonts w:cs="Arial"/>
          <w:color w:val="auto"/>
        </w:rPr>
        <w:t>have the opportunity to</w:t>
      </w:r>
      <w:proofErr w:type="gramEnd"/>
      <w:r w:rsidRPr="00C31456">
        <w:rPr>
          <w:rFonts w:cs="Arial"/>
          <w:color w:val="auto"/>
        </w:rPr>
        <w:t xml:space="preserve"> comment on this letter </w:t>
      </w:r>
      <w:proofErr w:type="gramStart"/>
      <w:r w:rsidRPr="00C31456">
        <w:rPr>
          <w:rFonts w:cs="Arial"/>
          <w:color w:val="auto"/>
        </w:rPr>
        <w:t>in order to</w:t>
      </w:r>
      <w:proofErr w:type="gramEnd"/>
      <w:r w:rsidRPr="00C31456">
        <w:rPr>
          <w:rFonts w:cs="Arial"/>
          <w:color w:val="auto"/>
        </w:rPr>
        <w:t xml:space="preserve"> elaborate on or clarify any of the points raised before I make my final decision as to whether each appeal point should be referred to the Appeal Panel. Your response to this letter must not contain new points of appeal. Responses must deal only with requested clarifications, arguments or comments about my initial views. Your response to this letter will usually be the last opportunity to elaborate or provide clarification to the appeal, unless you are specifically invited to submit material </w:t>
      </w:r>
      <w:proofErr w:type="gramStart"/>
      <w:r w:rsidRPr="00C31456">
        <w:rPr>
          <w:rFonts w:cs="Arial"/>
          <w:color w:val="auto"/>
        </w:rPr>
        <w:t>at a later date</w:t>
      </w:r>
      <w:proofErr w:type="gramEnd"/>
      <w:r w:rsidRPr="00C31456">
        <w:rPr>
          <w:rFonts w:cs="Arial"/>
          <w:color w:val="auto"/>
        </w:rPr>
        <w:t xml:space="preserve">. Any uninvited material submitted after your response to this letter will be rejected. </w:t>
      </w:r>
    </w:p>
    <w:p w:rsidRPr="00C31456" w:rsidR="00C70019" w:rsidP="00413F89" w:rsidRDefault="00C70019" w14:paraId="3294E8F2" w14:textId="77777777">
      <w:pPr>
        <w:jc w:val="both"/>
        <w:rPr>
          <w:rFonts w:cs="Arial"/>
          <w:color w:val="auto"/>
          <w:u w:val="single"/>
        </w:rPr>
      </w:pPr>
      <w:r w:rsidRPr="00C31456">
        <w:rPr>
          <w:rFonts w:cs="Arial"/>
          <w:color w:val="auto"/>
          <w:u w:val="single"/>
        </w:rPr>
        <w:t>Initial View</w:t>
      </w:r>
    </w:p>
    <w:p w:rsidRPr="00C31456" w:rsidR="00262058" w:rsidP="00413F89" w:rsidRDefault="00BB43EC" w14:paraId="15B951E6" w14:textId="4A8D7BE4">
      <w:pPr>
        <w:jc w:val="both"/>
        <w:rPr>
          <w:rFonts w:cs="Arial"/>
          <w:color w:val="auto"/>
        </w:rPr>
      </w:pPr>
      <w:r w:rsidRPr="00C31456">
        <w:rPr>
          <w:rFonts w:cs="Arial"/>
          <w:color w:val="auto"/>
        </w:rPr>
        <w:t>I</w:t>
      </w:r>
      <w:r w:rsidRPr="00C31456" w:rsidR="00C70019">
        <w:rPr>
          <w:rFonts w:cs="Arial"/>
          <w:color w:val="auto"/>
        </w:rPr>
        <w:t xml:space="preserve"> assess each of your </w:t>
      </w:r>
      <w:r w:rsidRPr="00C31456" w:rsidR="00B36320">
        <w:rPr>
          <w:rFonts w:cs="Arial"/>
          <w:color w:val="auto"/>
        </w:rPr>
        <w:t xml:space="preserve">points </w:t>
      </w:r>
      <w:r w:rsidRPr="00C31456" w:rsidR="00C70019">
        <w:rPr>
          <w:rFonts w:cs="Arial"/>
          <w:color w:val="auto"/>
        </w:rPr>
        <w:t xml:space="preserve">in turn.  </w:t>
      </w:r>
    </w:p>
    <w:p w:rsidRPr="00C31456" w:rsidR="00E87F1E" w:rsidP="00E87F1E" w:rsidRDefault="00E87F1E" w14:paraId="7ADCDE98" w14:textId="77777777">
      <w:pPr>
        <w:spacing w:before="120" w:after="0" w:line="240" w:lineRule="auto"/>
        <w:rPr>
          <w:rFonts w:cs="Arial"/>
          <w:b/>
          <w:i/>
          <w:lang w:eastAsia="en-GB"/>
        </w:rPr>
      </w:pPr>
      <w:r w:rsidRPr="00C31456">
        <w:rPr>
          <w:rFonts w:cs="Arial"/>
          <w:b/>
          <w:i/>
          <w:lang w:eastAsia="en-GB"/>
        </w:rPr>
        <w:t>Ground 1(a): In making the assessment that preceded the recommendation, NICE has failed to act fairly</w:t>
      </w:r>
    </w:p>
    <w:p w:rsidRPr="00C31456" w:rsidR="00280C27" w:rsidP="007A7F07" w:rsidRDefault="00B62869" w14:paraId="02DDDF5C" w14:textId="14CE8718">
      <w:pPr>
        <w:spacing w:before="240" w:after="240" w:line="276" w:lineRule="auto"/>
        <w:jc w:val="both"/>
        <w:rPr>
          <w:rFonts w:cs="Arial"/>
          <w:b/>
          <w:color w:val="auto"/>
          <w:u w:val="single"/>
        </w:rPr>
      </w:pPr>
      <w:r w:rsidRPr="00C31456">
        <w:rPr>
          <w:rFonts w:cs="Arial"/>
          <w:b/>
          <w:color w:val="auto"/>
          <w:u w:val="single"/>
        </w:rPr>
        <w:t xml:space="preserve">Appeal </w:t>
      </w:r>
      <w:proofErr w:type="gramStart"/>
      <w:r w:rsidRPr="00C31456">
        <w:rPr>
          <w:rFonts w:cs="Arial"/>
          <w:b/>
          <w:color w:val="auto"/>
          <w:u w:val="single"/>
        </w:rPr>
        <w:t>point</w:t>
      </w:r>
      <w:proofErr w:type="gramEnd"/>
      <w:r w:rsidRPr="00C31456">
        <w:rPr>
          <w:rFonts w:cs="Arial"/>
          <w:b/>
          <w:color w:val="auto"/>
          <w:u w:val="single"/>
        </w:rPr>
        <w:t xml:space="preserve"> 1(a).1</w:t>
      </w:r>
      <w:r w:rsidRPr="00C31456" w:rsidR="007A7F07">
        <w:rPr>
          <w:rFonts w:cs="Arial"/>
          <w:b/>
          <w:color w:val="auto"/>
          <w:u w:val="single"/>
        </w:rPr>
        <w:t xml:space="preserve">: </w:t>
      </w:r>
      <w:r w:rsidR="00280C27">
        <w:rPr>
          <w:rFonts w:cs="Arial"/>
          <w:b/>
          <w:color w:val="auto"/>
          <w:u w:val="single"/>
        </w:rPr>
        <w:t>The Committee process did not ensure adequate capture of the clinical and lived-experience perspectives necessary to understand this rare disease in real-world practice</w:t>
      </w:r>
    </w:p>
    <w:p w:rsidRPr="00B9765B" w:rsidR="00E15BA7" w:rsidP="00E87F1E" w:rsidRDefault="00E87F1E" w14:paraId="133053A7" w14:textId="5AC6D76A">
      <w:pPr>
        <w:pStyle w:val="BodyText"/>
        <w:jc w:val="both"/>
        <w:rPr>
          <w:rFonts w:cs="Arial"/>
          <w:color w:val="auto"/>
        </w:rPr>
      </w:pPr>
      <w:r w:rsidRPr="00B9765B">
        <w:rPr>
          <w:rFonts w:cs="Arial"/>
          <w:color w:val="auto"/>
        </w:rPr>
        <w:t xml:space="preserve">I </w:t>
      </w:r>
      <w:r w:rsidRPr="00B9765B" w:rsidR="00B3017E">
        <w:rPr>
          <w:rFonts w:cs="Arial"/>
          <w:color w:val="auto"/>
        </w:rPr>
        <w:t xml:space="preserve">am not currently minded </w:t>
      </w:r>
      <w:proofErr w:type="gramStart"/>
      <w:r w:rsidRPr="00B9765B" w:rsidR="00B3017E">
        <w:rPr>
          <w:rFonts w:cs="Arial"/>
          <w:color w:val="auto"/>
        </w:rPr>
        <w:t>to refer</w:t>
      </w:r>
      <w:proofErr w:type="gramEnd"/>
      <w:r w:rsidRPr="00B9765B" w:rsidR="00B3017E">
        <w:rPr>
          <w:rFonts w:cs="Arial"/>
          <w:color w:val="auto"/>
        </w:rPr>
        <w:t xml:space="preserve"> this appeal </w:t>
      </w:r>
      <w:proofErr w:type="gramStart"/>
      <w:r w:rsidRPr="00B9765B" w:rsidR="00B3017E">
        <w:rPr>
          <w:rFonts w:cs="Arial"/>
          <w:color w:val="auto"/>
        </w:rPr>
        <w:t>point</w:t>
      </w:r>
      <w:proofErr w:type="gramEnd"/>
      <w:r w:rsidRPr="00B9765B" w:rsidR="00B3017E">
        <w:rPr>
          <w:rFonts w:cs="Arial"/>
          <w:color w:val="auto"/>
        </w:rPr>
        <w:t xml:space="preserve"> to the Appeal Panel.</w:t>
      </w:r>
      <w:r w:rsidRPr="00B9765B">
        <w:rPr>
          <w:rFonts w:cs="Arial"/>
          <w:color w:val="auto"/>
        </w:rPr>
        <w:t xml:space="preserve"> </w:t>
      </w:r>
    </w:p>
    <w:p w:rsidR="001E2F07" w:rsidP="00E87F1E" w:rsidRDefault="00B9765B" w14:paraId="41C0E5E8" w14:textId="3E747011">
      <w:pPr>
        <w:pStyle w:val="BodyText"/>
        <w:jc w:val="both"/>
        <w:rPr>
          <w:rFonts w:cs="Arial"/>
          <w:color w:val="auto"/>
        </w:rPr>
      </w:pPr>
      <w:r w:rsidRPr="00B9765B">
        <w:rPr>
          <w:rFonts w:cs="Arial"/>
          <w:color w:val="auto"/>
        </w:rPr>
        <w:t xml:space="preserve">I note that </w:t>
      </w:r>
      <w:proofErr w:type="spellStart"/>
      <w:r w:rsidRPr="00B9765B">
        <w:rPr>
          <w:rFonts w:cs="Arial"/>
          <w:color w:val="auto"/>
        </w:rPr>
        <w:t>cerliponase</w:t>
      </w:r>
      <w:proofErr w:type="spellEnd"/>
      <w:r w:rsidRPr="00B9765B">
        <w:rPr>
          <w:rFonts w:cs="Arial"/>
          <w:color w:val="auto"/>
        </w:rPr>
        <w:t xml:space="preserve"> alfa has been considered at four committee meetings during this appraisal process</w:t>
      </w:r>
      <w:r>
        <w:rPr>
          <w:rFonts w:cs="Arial"/>
          <w:color w:val="auto"/>
        </w:rPr>
        <w:t xml:space="preserve">. Although I recognise that in rare diseases such as CLN2, there is a need to give </w:t>
      </w:r>
      <w:proofErr w:type="gramStart"/>
      <w:r>
        <w:rPr>
          <w:rFonts w:cs="Arial"/>
          <w:color w:val="auto"/>
        </w:rPr>
        <w:t>particular weight</w:t>
      </w:r>
      <w:proofErr w:type="gramEnd"/>
      <w:r>
        <w:rPr>
          <w:rFonts w:cs="Arial"/>
          <w:color w:val="auto"/>
        </w:rPr>
        <w:t xml:space="preserve"> to clinical expert input, I also recognise that in scheduling committee meetings NICE is tasked with balancing </w:t>
      </w:r>
      <w:r w:rsidR="001E2F07">
        <w:rPr>
          <w:rFonts w:cs="Arial"/>
          <w:color w:val="auto"/>
        </w:rPr>
        <w:t xml:space="preserve">the availability of </w:t>
      </w:r>
      <w:r>
        <w:rPr>
          <w:rFonts w:cs="Arial"/>
          <w:color w:val="auto"/>
        </w:rPr>
        <w:t>numerous experts, clinicians, committee members</w:t>
      </w:r>
      <w:r w:rsidR="001E2F07">
        <w:rPr>
          <w:rFonts w:cs="Arial"/>
          <w:color w:val="auto"/>
        </w:rPr>
        <w:t xml:space="preserve"> and</w:t>
      </w:r>
      <w:r>
        <w:rPr>
          <w:rFonts w:cs="Arial"/>
          <w:color w:val="auto"/>
        </w:rPr>
        <w:t xml:space="preserve"> patient representative. I therefore do not consider it procedurally unfair per se for the second committee meeting to have been arranged at a time at which Dr Ram was unavailable</w:t>
      </w:r>
      <w:r w:rsidR="001E2F07">
        <w:rPr>
          <w:rFonts w:cs="Arial"/>
          <w:color w:val="auto"/>
        </w:rPr>
        <w:t xml:space="preserve">. This is especially the case given that this was the second of four committee meetings. </w:t>
      </w:r>
    </w:p>
    <w:p w:rsidR="001E2F07" w:rsidP="00E87F1E" w:rsidRDefault="001E2F07" w14:paraId="436D1711" w14:textId="537AAE0E">
      <w:pPr>
        <w:pStyle w:val="BodyText"/>
        <w:jc w:val="both"/>
        <w:rPr>
          <w:rFonts w:cs="Arial"/>
          <w:color w:val="auto"/>
        </w:rPr>
      </w:pPr>
      <w:r>
        <w:rPr>
          <w:rFonts w:cs="Arial"/>
          <w:color w:val="auto"/>
        </w:rPr>
        <w:t xml:space="preserve">I understand that the fourth committee meeting was scheduled to start at </w:t>
      </w:r>
      <w:proofErr w:type="gramStart"/>
      <w:r>
        <w:rPr>
          <w:rFonts w:cs="Arial"/>
          <w:color w:val="auto"/>
        </w:rPr>
        <w:t>12pm, but</w:t>
      </w:r>
      <w:proofErr w:type="gramEnd"/>
      <w:r>
        <w:rPr>
          <w:rFonts w:cs="Arial"/>
          <w:color w:val="auto"/>
        </w:rPr>
        <w:t xml:space="preserve"> did not start until 3pm – and that consequently Dr Ram was unavailable for the fourth meeting</w:t>
      </w:r>
      <w:r w:rsidR="00D15CC1">
        <w:rPr>
          <w:rFonts w:cs="Arial"/>
          <w:color w:val="auto"/>
        </w:rPr>
        <w:t>, having been available at the scheduled start time</w:t>
      </w:r>
      <w:r>
        <w:rPr>
          <w:rFonts w:cs="Arial"/>
          <w:color w:val="auto"/>
        </w:rPr>
        <w:t xml:space="preserve">. </w:t>
      </w:r>
    </w:p>
    <w:p w:rsidR="001E2F07" w:rsidP="00E87F1E" w:rsidRDefault="001E2F07" w14:paraId="523284B4" w14:textId="411576E8">
      <w:pPr>
        <w:pStyle w:val="BodyText"/>
        <w:jc w:val="both"/>
        <w:rPr>
          <w:rFonts w:cs="Arial"/>
          <w:color w:val="auto"/>
        </w:rPr>
      </w:pPr>
      <w:r>
        <w:rPr>
          <w:rFonts w:cs="Arial"/>
          <w:color w:val="auto"/>
        </w:rPr>
        <w:t xml:space="preserve">As above, given the extensive opportunity for clinical expert input in previous committee meetings, I do not consider it inherently procedurally unfair for the fourth committee meeting to have started later than the scheduled start time. However, </w:t>
      </w:r>
      <w:r w:rsidR="00D15CC1">
        <w:rPr>
          <w:rFonts w:cs="Arial"/>
          <w:color w:val="auto"/>
        </w:rPr>
        <w:t xml:space="preserve">if the Company is minded to pursue this appeal point, </w:t>
      </w:r>
      <w:r>
        <w:rPr>
          <w:rFonts w:cs="Arial"/>
          <w:color w:val="auto"/>
        </w:rPr>
        <w:t xml:space="preserve">I would invite </w:t>
      </w:r>
      <w:r w:rsidR="00D15CC1">
        <w:rPr>
          <w:rFonts w:cs="Arial"/>
          <w:color w:val="auto"/>
        </w:rPr>
        <w:t>you</w:t>
      </w:r>
      <w:r>
        <w:rPr>
          <w:rFonts w:cs="Arial"/>
          <w:color w:val="auto"/>
        </w:rPr>
        <w:t xml:space="preserve"> to explain </w:t>
      </w:r>
      <w:r w:rsidR="00D15CC1">
        <w:rPr>
          <w:rFonts w:cs="Arial"/>
          <w:color w:val="auto"/>
        </w:rPr>
        <w:t xml:space="preserve">in response to this letter </w:t>
      </w:r>
      <w:r>
        <w:rPr>
          <w:rFonts w:cs="Arial"/>
          <w:color w:val="auto"/>
        </w:rPr>
        <w:t xml:space="preserve">whether </w:t>
      </w:r>
      <w:r w:rsidR="00D15CC1">
        <w:rPr>
          <w:rFonts w:cs="Arial"/>
          <w:color w:val="auto"/>
        </w:rPr>
        <w:t>you</w:t>
      </w:r>
      <w:r>
        <w:rPr>
          <w:rFonts w:cs="Arial"/>
          <w:color w:val="auto"/>
        </w:rPr>
        <w:t xml:space="preserve"> consider there to have been material omissions in the evidence and expertise available to the committee as a result of </w:t>
      </w:r>
      <w:r w:rsidR="00D15CC1">
        <w:rPr>
          <w:rFonts w:cs="Arial"/>
          <w:color w:val="auto"/>
        </w:rPr>
        <w:t>Dr Ram's absence and if so, what these were and whether the Company took any steps following ACM 4 to seek to remedy the omissions</w:t>
      </w:r>
      <w:r>
        <w:rPr>
          <w:rFonts w:cs="Arial"/>
          <w:color w:val="auto"/>
        </w:rPr>
        <w:t xml:space="preserve">. </w:t>
      </w:r>
    </w:p>
    <w:p w:rsidRPr="00ED57C9" w:rsidR="006C5A0C" w:rsidP="006C5A0C" w:rsidRDefault="006C5A0C" w14:paraId="0F99F163" w14:textId="32667A04">
      <w:pPr>
        <w:spacing w:before="240" w:after="240" w:line="276" w:lineRule="auto"/>
        <w:jc w:val="both"/>
        <w:rPr>
          <w:rFonts w:cs="Arial"/>
          <w:b/>
          <w:color w:val="auto"/>
          <w:u w:val="single"/>
        </w:rPr>
      </w:pPr>
      <w:r w:rsidRPr="00C31456">
        <w:rPr>
          <w:rFonts w:cs="Arial"/>
          <w:b/>
          <w:color w:val="auto"/>
          <w:u w:val="single"/>
        </w:rPr>
        <w:t xml:space="preserve">Appeal </w:t>
      </w:r>
      <w:proofErr w:type="gramStart"/>
      <w:r w:rsidRPr="00C31456">
        <w:rPr>
          <w:rFonts w:cs="Arial"/>
          <w:b/>
          <w:color w:val="auto"/>
          <w:u w:val="single"/>
        </w:rPr>
        <w:t>point</w:t>
      </w:r>
      <w:proofErr w:type="gramEnd"/>
      <w:r w:rsidRPr="00C31456">
        <w:rPr>
          <w:rFonts w:cs="Arial"/>
          <w:b/>
          <w:color w:val="auto"/>
          <w:u w:val="single"/>
        </w:rPr>
        <w:t xml:space="preserve"> 1(a).2: </w:t>
      </w:r>
      <w:r w:rsidR="00280C27">
        <w:rPr>
          <w:rFonts w:cs="Arial"/>
          <w:b/>
          <w:color w:val="auto"/>
          <w:u w:val="single"/>
        </w:rPr>
        <w:t xml:space="preserve">The Committee process included an extended and insufficiently transparent delay in issuing draft guidance </w:t>
      </w:r>
      <w:r w:rsidRPr="00ED57C9">
        <w:rPr>
          <w:rFonts w:cs="Arial"/>
          <w:b/>
          <w:color w:val="auto"/>
          <w:u w:val="single"/>
        </w:rPr>
        <w:t xml:space="preserve"> </w:t>
      </w:r>
    </w:p>
    <w:p w:rsidRPr="001E2F07" w:rsidR="00ED57C9" w:rsidP="006C5A0C" w:rsidRDefault="001E2F07" w14:paraId="63B7BBE4" w14:textId="2C44F343">
      <w:pPr>
        <w:pStyle w:val="BodyText"/>
        <w:jc w:val="both"/>
        <w:rPr>
          <w:rFonts w:cs="Arial"/>
          <w:color w:val="auto"/>
        </w:rPr>
      </w:pPr>
      <w:r w:rsidRPr="001E2F07">
        <w:rPr>
          <w:rFonts w:cs="Arial"/>
          <w:color w:val="auto"/>
        </w:rPr>
        <w:t xml:space="preserve">I am not currently minded </w:t>
      </w:r>
      <w:proofErr w:type="gramStart"/>
      <w:r w:rsidRPr="001E2F07">
        <w:rPr>
          <w:rFonts w:cs="Arial"/>
          <w:color w:val="auto"/>
        </w:rPr>
        <w:t>to refer</w:t>
      </w:r>
      <w:proofErr w:type="gramEnd"/>
      <w:r w:rsidRPr="001E2F07">
        <w:rPr>
          <w:rFonts w:cs="Arial"/>
          <w:color w:val="auto"/>
        </w:rPr>
        <w:t xml:space="preserve"> this appeal </w:t>
      </w:r>
      <w:proofErr w:type="gramStart"/>
      <w:r w:rsidRPr="001E2F07">
        <w:rPr>
          <w:rFonts w:cs="Arial"/>
          <w:color w:val="auto"/>
        </w:rPr>
        <w:t>point</w:t>
      </w:r>
      <w:proofErr w:type="gramEnd"/>
      <w:r w:rsidRPr="001E2F07">
        <w:rPr>
          <w:rFonts w:cs="Arial"/>
          <w:color w:val="auto"/>
        </w:rPr>
        <w:t xml:space="preserve"> to the Appeal Panel. That is because I do not consider the intervals between issuing draft guidance in this appraisal to give rise to any inherent procedural unfairness. Although NICE has a broad objective to conclude appraisals expeditiously, it is important that sufficient time is given in between publication of draft guidance to enable managed access agreement discussions. It is not clear in your appeal letter what </w:t>
      </w:r>
      <w:proofErr w:type="gramStart"/>
      <w:r w:rsidRPr="001E2F07">
        <w:rPr>
          <w:rFonts w:cs="Arial"/>
          <w:color w:val="auto"/>
        </w:rPr>
        <w:t>period of time</w:t>
      </w:r>
      <w:proofErr w:type="gramEnd"/>
      <w:r w:rsidRPr="001E2F07">
        <w:rPr>
          <w:rFonts w:cs="Arial"/>
          <w:color w:val="auto"/>
        </w:rPr>
        <w:t xml:space="preserve"> during the intervals between publications of draft guidance was occupied by managed access discussions. </w:t>
      </w:r>
    </w:p>
    <w:p w:rsidRPr="001E2F07" w:rsidR="001E2F07" w:rsidP="006C5A0C" w:rsidRDefault="001E2F07" w14:paraId="4A6267F3" w14:textId="233E0A3F">
      <w:pPr>
        <w:pStyle w:val="BodyText"/>
        <w:jc w:val="both"/>
        <w:rPr>
          <w:rFonts w:cs="Arial"/>
          <w:color w:val="auto"/>
        </w:rPr>
      </w:pPr>
      <w:r w:rsidRPr="001E2F07">
        <w:rPr>
          <w:rFonts w:cs="Arial"/>
          <w:color w:val="auto"/>
        </w:rPr>
        <w:t xml:space="preserve">Further, there is no fixed </w:t>
      </w:r>
      <w:proofErr w:type="gramStart"/>
      <w:r w:rsidRPr="001E2F07">
        <w:rPr>
          <w:rFonts w:cs="Arial"/>
          <w:color w:val="auto"/>
        </w:rPr>
        <w:t>time period</w:t>
      </w:r>
      <w:proofErr w:type="gramEnd"/>
      <w:r w:rsidRPr="001E2F07">
        <w:rPr>
          <w:rFonts w:cs="Arial"/>
          <w:color w:val="auto"/>
        </w:rPr>
        <w:t xml:space="preserve"> for the publication of draft guidance, </w:t>
      </w:r>
      <w:r w:rsidR="00B04E6E">
        <w:rPr>
          <w:rFonts w:cs="Arial"/>
          <w:color w:val="auto"/>
        </w:rPr>
        <w:t>which</w:t>
      </w:r>
      <w:r w:rsidRPr="001E2F07">
        <w:rPr>
          <w:rFonts w:cs="Arial"/>
          <w:color w:val="auto"/>
        </w:rPr>
        <w:t xml:space="preserve"> varies between each appraisal for numerous reasons. I do not consider there to have been delay amounting to procedural fairness in this appraisal, and consequently I am not minded </w:t>
      </w:r>
      <w:proofErr w:type="gramStart"/>
      <w:r w:rsidRPr="001E2F07">
        <w:rPr>
          <w:rFonts w:cs="Arial"/>
          <w:color w:val="auto"/>
        </w:rPr>
        <w:t>to refer</w:t>
      </w:r>
      <w:proofErr w:type="gramEnd"/>
      <w:r w:rsidRPr="001E2F07">
        <w:rPr>
          <w:rFonts w:cs="Arial"/>
          <w:color w:val="auto"/>
        </w:rPr>
        <w:t xml:space="preserve"> this appeal </w:t>
      </w:r>
      <w:proofErr w:type="gramStart"/>
      <w:r w:rsidRPr="001E2F07">
        <w:rPr>
          <w:rFonts w:cs="Arial"/>
          <w:color w:val="auto"/>
        </w:rPr>
        <w:t>point</w:t>
      </w:r>
      <w:proofErr w:type="gramEnd"/>
      <w:r w:rsidRPr="001E2F07">
        <w:rPr>
          <w:rFonts w:cs="Arial"/>
          <w:color w:val="auto"/>
        </w:rPr>
        <w:t xml:space="preserve"> to the Appeal Panel. </w:t>
      </w:r>
    </w:p>
    <w:p w:rsidR="006C5A0C" w:rsidP="006C5A0C" w:rsidRDefault="006C5A0C" w14:paraId="4DA48C23" w14:textId="0DFD0CE8">
      <w:pPr>
        <w:spacing w:before="240" w:after="240" w:line="276" w:lineRule="auto"/>
        <w:jc w:val="both"/>
        <w:rPr>
          <w:rFonts w:cs="Arial"/>
          <w:b/>
          <w:color w:val="auto"/>
          <w:u w:val="single"/>
        </w:rPr>
      </w:pPr>
      <w:r w:rsidRPr="00C31456">
        <w:rPr>
          <w:rFonts w:cs="Arial"/>
          <w:b/>
          <w:color w:val="auto"/>
          <w:u w:val="single"/>
        </w:rPr>
        <w:t xml:space="preserve">Appeal </w:t>
      </w:r>
      <w:proofErr w:type="gramStart"/>
      <w:r w:rsidRPr="00C31456">
        <w:rPr>
          <w:rFonts w:cs="Arial"/>
          <w:b/>
          <w:color w:val="auto"/>
          <w:u w:val="single"/>
        </w:rPr>
        <w:t>point</w:t>
      </w:r>
      <w:proofErr w:type="gramEnd"/>
      <w:r w:rsidRPr="00C31456">
        <w:rPr>
          <w:rFonts w:cs="Arial"/>
          <w:b/>
          <w:color w:val="auto"/>
          <w:u w:val="single"/>
        </w:rPr>
        <w:t xml:space="preserve"> 1(a).3: </w:t>
      </w:r>
      <w:r w:rsidR="00280C27">
        <w:rPr>
          <w:rFonts w:cs="Arial"/>
          <w:b/>
          <w:color w:val="auto"/>
          <w:u w:val="single"/>
        </w:rPr>
        <w:t>Failure to consider that lack of treatment access may jeopardise the implementation of newborn screening for CLN2</w:t>
      </w:r>
      <w:r w:rsidRPr="00C31456" w:rsidR="00C31456">
        <w:rPr>
          <w:rFonts w:cs="Arial"/>
          <w:b/>
          <w:color w:val="auto"/>
          <w:u w:val="single"/>
        </w:rPr>
        <w:t xml:space="preserve"> </w:t>
      </w:r>
    </w:p>
    <w:p w:rsidR="00B04E6E" w:rsidP="006C5A0C" w:rsidRDefault="00B04E6E" w14:paraId="2DEB800D" w14:textId="6F7947F9">
      <w:pPr>
        <w:spacing w:before="240" w:after="240" w:line="276" w:lineRule="auto"/>
        <w:jc w:val="both"/>
        <w:rPr>
          <w:rFonts w:cs="Arial"/>
          <w:bCs/>
          <w:color w:val="auto"/>
        </w:rPr>
      </w:pPr>
      <w:r>
        <w:rPr>
          <w:rFonts w:cs="Arial"/>
          <w:bCs/>
          <w:color w:val="auto"/>
        </w:rPr>
        <w:t xml:space="preserve">I am not currently minded </w:t>
      </w:r>
      <w:proofErr w:type="gramStart"/>
      <w:r>
        <w:rPr>
          <w:rFonts w:cs="Arial"/>
          <w:bCs/>
          <w:color w:val="auto"/>
        </w:rPr>
        <w:t>to refer</w:t>
      </w:r>
      <w:proofErr w:type="gramEnd"/>
      <w:r>
        <w:rPr>
          <w:rFonts w:cs="Arial"/>
          <w:bCs/>
          <w:color w:val="auto"/>
        </w:rPr>
        <w:t xml:space="preserve"> this appeal </w:t>
      </w:r>
      <w:proofErr w:type="gramStart"/>
      <w:r>
        <w:rPr>
          <w:rFonts w:cs="Arial"/>
          <w:bCs/>
          <w:color w:val="auto"/>
        </w:rPr>
        <w:t>point</w:t>
      </w:r>
      <w:proofErr w:type="gramEnd"/>
      <w:r>
        <w:rPr>
          <w:rFonts w:cs="Arial"/>
          <w:bCs/>
          <w:color w:val="auto"/>
        </w:rPr>
        <w:t xml:space="preserve"> to the Appeal Panel.</w:t>
      </w:r>
    </w:p>
    <w:p w:rsidR="00B04E6E" w:rsidP="006C5A0C" w:rsidRDefault="00B04E6E" w14:paraId="7CFC739F" w14:textId="23FE1B26">
      <w:pPr>
        <w:spacing w:before="240" w:after="240" w:line="276" w:lineRule="auto"/>
        <w:jc w:val="both"/>
        <w:rPr>
          <w:rFonts w:cs="Arial"/>
          <w:bCs/>
          <w:color w:val="auto"/>
        </w:rPr>
      </w:pPr>
      <w:r>
        <w:rPr>
          <w:rFonts w:cs="Arial"/>
          <w:bCs/>
          <w:color w:val="auto"/>
        </w:rPr>
        <w:t>Paragraph 3.7 of the FDG notes that NHS England is "uncertain whether it [the Generation Study] will result in NBS for CL2 becoming routinely available".</w:t>
      </w:r>
      <w:r w:rsidR="00815FBA">
        <w:rPr>
          <w:rFonts w:cs="Arial"/>
          <w:bCs/>
          <w:color w:val="auto"/>
        </w:rPr>
        <w:t xml:space="preserve"> As you will be aware, the Committee will only </w:t>
      </w:r>
      <w:proofErr w:type="gramStart"/>
      <w:r w:rsidR="00815FBA">
        <w:rPr>
          <w:rFonts w:cs="Arial"/>
          <w:bCs/>
          <w:color w:val="auto"/>
        </w:rPr>
        <w:t>take into account</w:t>
      </w:r>
      <w:proofErr w:type="gramEnd"/>
      <w:r w:rsidR="00815FBA">
        <w:rPr>
          <w:rFonts w:cs="Arial"/>
          <w:bCs/>
          <w:color w:val="auto"/>
        </w:rPr>
        <w:t xml:space="preserve"> the evidence available to it at the time of the appraisal. The Committee cannot be expected to attribute quantitative weight to developments which may affect the technology in the future. I</w:t>
      </w:r>
      <w:r w:rsidR="00D15CC1">
        <w:rPr>
          <w:rFonts w:cs="Arial"/>
          <w:bCs/>
          <w:color w:val="auto"/>
        </w:rPr>
        <w:t>t would be outside the Committee's remit to make a positive recommendation for a technology that is otherwise not considered clinically and cost effective for use on the NHS, because doing so would have a bearing on the NHS's adoption or otherwise of a screening programme for the disease that the technology addresses,</w:t>
      </w:r>
    </w:p>
    <w:p w:rsidR="00815FBA" w:rsidP="006C5A0C" w:rsidRDefault="00815FBA" w14:paraId="275A48B4" w14:textId="30D78087">
      <w:pPr>
        <w:spacing w:before="240" w:after="240" w:line="276" w:lineRule="auto"/>
        <w:jc w:val="both"/>
        <w:rPr>
          <w:rFonts w:cs="Arial"/>
          <w:bCs/>
          <w:color w:val="auto"/>
        </w:rPr>
      </w:pPr>
      <w:r>
        <w:rPr>
          <w:rFonts w:cs="Arial"/>
          <w:bCs/>
          <w:color w:val="auto"/>
        </w:rPr>
        <w:t xml:space="preserve">However, the Committee has recognised in the FDG the possibility of newborn screening in the future, and </w:t>
      </w:r>
      <w:r w:rsidR="00D15CC1">
        <w:rPr>
          <w:rFonts w:cs="Arial"/>
          <w:bCs/>
          <w:color w:val="auto"/>
        </w:rPr>
        <w:t xml:space="preserve">I </w:t>
      </w:r>
      <w:r>
        <w:rPr>
          <w:rFonts w:cs="Arial"/>
          <w:bCs/>
          <w:color w:val="auto"/>
        </w:rPr>
        <w:t>consider that it has taken this into account in its decision making.</w:t>
      </w:r>
    </w:p>
    <w:p w:rsidRPr="00B04E6E" w:rsidR="00815FBA" w:rsidP="006C5A0C" w:rsidRDefault="00815FBA" w14:paraId="1AAF9AA1" w14:textId="57AEDD6C">
      <w:pPr>
        <w:spacing w:before="240" w:after="240" w:line="276" w:lineRule="auto"/>
        <w:jc w:val="both"/>
        <w:rPr>
          <w:rFonts w:cs="Arial"/>
          <w:bCs/>
          <w:color w:val="auto"/>
        </w:rPr>
      </w:pPr>
      <w:r>
        <w:rPr>
          <w:rFonts w:cs="Arial"/>
          <w:bCs/>
          <w:color w:val="auto"/>
        </w:rPr>
        <w:t xml:space="preserve">I would remind the Company of </w:t>
      </w:r>
      <w:r w:rsidR="000F07E1">
        <w:rPr>
          <w:rFonts w:cs="Arial"/>
          <w:bCs/>
          <w:color w:val="auto"/>
        </w:rPr>
        <w:t xml:space="preserve">the availability of </w:t>
      </w:r>
      <w:r>
        <w:rPr>
          <w:rFonts w:cs="Arial"/>
          <w:bCs/>
          <w:color w:val="auto"/>
        </w:rPr>
        <w:t xml:space="preserve">NICE's surveillance review process, which considers new evidence that may affect the recommendation (see Section 8 of the Manual for further detail).  </w:t>
      </w:r>
    </w:p>
    <w:p w:rsidR="006C5A0C" w:rsidP="006C5A0C" w:rsidRDefault="006C5A0C" w14:paraId="0F9DF273" w14:textId="1C2DCB5A">
      <w:pPr>
        <w:spacing w:before="240" w:after="240" w:line="276" w:lineRule="auto"/>
        <w:jc w:val="both"/>
        <w:rPr>
          <w:rFonts w:cs="Arial"/>
          <w:b/>
          <w:color w:val="auto"/>
          <w:u w:val="single"/>
        </w:rPr>
      </w:pPr>
      <w:r w:rsidRPr="00047083">
        <w:rPr>
          <w:rFonts w:cs="Arial"/>
          <w:b/>
          <w:color w:val="auto"/>
          <w:u w:val="single"/>
        </w:rPr>
        <w:t xml:space="preserve">Appeal </w:t>
      </w:r>
      <w:proofErr w:type="gramStart"/>
      <w:r w:rsidRPr="00047083">
        <w:rPr>
          <w:rFonts w:cs="Arial"/>
          <w:b/>
          <w:color w:val="auto"/>
          <w:u w:val="single"/>
        </w:rPr>
        <w:t>point</w:t>
      </w:r>
      <w:proofErr w:type="gramEnd"/>
      <w:r w:rsidRPr="00047083">
        <w:rPr>
          <w:rFonts w:cs="Arial"/>
          <w:b/>
          <w:color w:val="auto"/>
          <w:u w:val="single"/>
        </w:rPr>
        <w:t xml:space="preserve"> 1(a).4: </w:t>
      </w:r>
      <w:r w:rsidRPr="00047083" w:rsidR="00280C27">
        <w:rPr>
          <w:rFonts w:cs="Arial"/>
          <w:b/>
          <w:color w:val="auto"/>
          <w:u w:val="single"/>
        </w:rPr>
        <w:t>The Committee failed to properly discharge its Equality Act duty</w:t>
      </w:r>
      <w:r w:rsidR="00280C27">
        <w:rPr>
          <w:rFonts w:cs="Arial"/>
          <w:b/>
          <w:color w:val="auto"/>
          <w:u w:val="single"/>
        </w:rPr>
        <w:t xml:space="preserve"> </w:t>
      </w:r>
    </w:p>
    <w:p w:rsidR="00815FBA" w:rsidP="006C5A0C" w:rsidRDefault="00815FBA" w14:paraId="2055670F" w14:textId="25B4056F">
      <w:pPr>
        <w:spacing w:before="240" w:after="240" w:line="276" w:lineRule="auto"/>
        <w:jc w:val="both"/>
        <w:rPr>
          <w:rFonts w:cs="Arial"/>
          <w:bCs/>
          <w:color w:val="auto"/>
        </w:rPr>
      </w:pPr>
      <w:r>
        <w:rPr>
          <w:rFonts w:cs="Arial"/>
          <w:bCs/>
          <w:color w:val="auto"/>
        </w:rPr>
        <w:t xml:space="preserve">First, I note that appeal points relating to the Committee's application of the Equality Act 2010 are properly brought under Ground 1(b), and I have considered this appeal point as such. </w:t>
      </w:r>
    </w:p>
    <w:p w:rsidR="000F07E1" w:rsidP="006C5A0C" w:rsidRDefault="000F07E1" w14:paraId="1C998435" w14:textId="787C93CF">
      <w:pPr>
        <w:spacing w:before="240" w:after="240" w:line="276" w:lineRule="auto"/>
        <w:jc w:val="both"/>
        <w:rPr>
          <w:rFonts w:cs="Arial"/>
          <w:bCs/>
          <w:color w:val="auto"/>
        </w:rPr>
      </w:pPr>
      <w:r>
        <w:rPr>
          <w:rFonts w:cs="Arial"/>
          <w:bCs/>
          <w:color w:val="auto"/>
        </w:rPr>
        <w:t xml:space="preserve">I understand your appeal point to be that the decision not to recommend </w:t>
      </w:r>
      <w:proofErr w:type="spellStart"/>
      <w:r>
        <w:rPr>
          <w:rFonts w:cs="Arial"/>
          <w:bCs/>
          <w:color w:val="auto"/>
        </w:rPr>
        <w:t>cerliponase</w:t>
      </w:r>
      <w:proofErr w:type="spellEnd"/>
      <w:r>
        <w:rPr>
          <w:rFonts w:cs="Arial"/>
          <w:bCs/>
          <w:color w:val="auto"/>
        </w:rPr>
        <w:t xml:space="preserve"> alfa will have a greater effect on </w:t>
      </w:r>
      <w:r w:rsidR="004F3A37">
        <w:rPr>
          <w:rFonts w:cs="Arial"/>
          <w:bCs/>
          <w:color w:val="auto"/>
        </w:rPr>
        <w:t xml:space="preserve">people with CLN2 who do not currently receive the technology under the Managed Access Agreement than on those who do currently receive the technology under the Managed Access Agreement and will continue to do so.  You say that those in the first group are typically younger than those in the second, and </w:t>
      </w:r>
      <w:r>
        <w:rPr>
          <w:rFonts w:cs="Arial"/>
          <w:bCs/>
          <w:color w:val="auto"/>
        </w:rPr>
        <w:t xml:space="preserve">that those younger children (i.e. sharing the protected characteristic of age) are at a particular disadvantage because of the negative recommendation. </w:t>
      </w:r>
    </w:p>
    <w:p w:rsidR="000F07E1" w:rsidP="006C5A0C" w:rsidRDefault="000F07E1" w14:paraId="57969ACD" w14:textId="0A793AE5">
      <w:pPr>
        <w:spacing w:before="240" w:after="240" w:line="276" w:lineRule="auto"/>
        <w:jc w:val="both"/>
        <w:rPr>
          <w:rFonts w:cs="Arial"/>
          <w:bCs/>
          <w:i/>
          <w:iCs/>
          <w:color w:val="auto"/>
        </w:rPr>
      </w:pPr>
      <w:r>
        <w:rPr>
          <w:rFonts w:cs="Arial"/>
          <w:bCs/>
          <w:color w:val="auto"/>
        </w:rPr>
        <w:t xml:space="preserve">In any decision not to recommend a treatment for routine use in NHS, there </w:t>
      </w:r>
      <w:r w:rsidR="00275F60">
        <w:rPr>
          <w:rFonts w:cs="Arial"/>
          <w:bCs/>
          <w:color w:val="auto"/>
        </w:rPr>
        <w:t xml:space="preserve">may </w:t>
      </w:r>
      <w:r>
        <w:rPr>
          <w:rFonts w:cs="Arial"/>
          <w:bCs/>
          <w:color w:val="auto"/>
        </w:rPr>
        <w:t xml:space="preserve">be </w:t>
      </w:r>
      <w:r w:rsidR="00275F60">
        <w:rPr>
          <w:rFonts w:cs="Arial"/>
          <w:bCs/>
          <w:color w:val="auto"/>
        </w:rPr>
        <w:t xml:space="preserve">certain </w:t>
      </w:r>
      <w:r>
        <w:rPr>
          <w:rFonts w:cs="Arial"/>
          <w:bCs/>
          <w:color w:val="auto"/>
        </w:rPr>
        <w:t>patients who remain on or eligible for the treatment – whether through a managed access agreement, compassionate use or enrolment in a clinical trial. The FDG is clear at paragraph 1.2 that "</w:t>
      </w:r>
      <w:r>
        <w:rPr>
          <w:rFonts w:cs="Arial"/>
          <w:bCs/>
          <w:i/>
          <w:iCs/>
          <w:color w:val="auto"/>
        </w:rPr>
        <w:t xml:space="preserve">People already having </w:t>
      </w:r>
      <w:proofErr w:type="spellStart"/>
      <w:r>
        <w:rPr>
          <w:rFonts w:cs="Arial"/>
          <w:bCs/>
          <w:i/>
          <w:iCs/>
          <w:color w:val="auto"/>
        </w:rPr>
        <w:t>cerliponase</w:t>
      </w:r>
      <w:proofErr w:type="spellEnd"/>
      <w:r>
        <w:rPr>
          <w:rFonts w:cs="Arial"/>
          <w:bCs/>
          <w:i/>
          <w:iCs/>
          <w:color w:val="auto"/>
        </w:rPr>
        <w:t xml:space="preserve"> alfa for treating CLN2, or who start </w:t>
      </w:r>
      <w:proofErr w:type="spellStart"/>
      <w:r>
        <w:rPr>
          <w:rFonts w:cs="Arial"/>
          <w:bCs/>
          <w:i/>
          <w:iCs/>
          <w:color w:val="auto"/>
        </w:rPr>
        <w:t>cerliponase</w:t>
      </w:r>
      <w:proofErr w:type="spellEnd"/>
      <w:r>
        <w:rPr>
          <w:rFonts w:cs="Arial"/>
          <w:bCs/>
          <w:i/>
          <w:iCs/>
          <w:color w:val="auto"/>
        </w:rPr>
        <w:t xml:space="preserve"> alfa before the end of the managed access period can continue with treatment until they and their NHS healthcare professional consider it appropriate to stop". </w:t>
      </w:r>
    </w:p>
    <w:p w:rsidR="005227FC" w:rsidP="006C5A0C" w:rsidRDefault="005227FC" w14:paraId="7A4E4BC7" w14:textId="7B2EBBDA">
      <w:pPr>
        <w:spacing w:before="240" w:after="240" w:line="276" w:lineRule="auto"/>
        <w:jc w:val="both"/>
        <w:rPr>
          <w:rFonts w:cs="Arial"/>
          <w:bCs/>
          <w:color w:val="auto"/>
        </w:rPr>
      </w:pPr>
      <w:r>
        <w:rPr>
          <w:rFonts w:cs="Arial"/>
          <w:bCs/>
          <w:color w:val="auto"/>
        </w:rPr>
        <w:t xml:space="preserve">It is implicit by the nature of NICE guidance that those who were eligible for the treatment before the FDG is published (and may have been eligible for the treatment under the </w:t>
      </w:r>
      <w:proofErr w:type="gramStart"/>
      <w:r>
        <w:rPr>
          <w:rFonts w:cs="Arial"/>
          <w:bCs/>
          <w:color w:val="auto"/>
        </w:rPr>
        <w:t>aforementioned schemes</w:t>
      </w:r>
      <w:proofErr w:type="gramEnd"/>
      <w:r>
        <w:rPr>
          <w:rFonts w:cs="Arial"/>
          <w:bCs/>
          <w:color w:val="auto"/>
        </w:rPr>
        <w:t xml:space="preserve">) will be older than those who later become eligible for treatment which was not recommended by NICE as it was not considered cost-effective. </w:t>
      </w:r>
    </w:p>
    <w:p w:rsidR="005227FC" w:rsidP="006C5A0C" w:rsidRDefault="00275F60" w14:paraId="1CD4DC5B" w14:textId="39FE7E64">
      <w:pPr>
        <w:spacing w:before="240" w:after="240" w:line="276" w:lineRule="auto"/>
        <w:jc w:val="both"/>
        <w:rPr>
          <w:rFonts w:cs="Arial"/>
          <w:bCs/>
          <w:color w:val="auto"/>
        </w:rPr>
      </w:pPr>
      <w:r>
        <w:rPr>
          <w:rFonts w:cs="Arial"/>
          <w:bCs/>
          <w:color w:val="auto"/>
        </w:rPr>
        <w:t>Further, i</w:t>
      </w:r>
      <w:r w:rsidRPr="00275F60">
        <w:rPr>
          <w:rFonts w:cs="Arial"/>
          <w:bCs/>
          <w:color w:val="auto"/>
        </w:rPr>
        <w:t xml:space="preserve">n almost all NICE evaluations, a negative recommendation will impact some patients sharing a protected characteristic more than other patients not sharing that protected characteristic.  </w:t>
      </w:r>
      <w:r>
        <w:rPr>
          <w:rFonts w:cs="Arial"/>
          <w:bCs/>
          <w:color w:val="auto"/>
        </w:rPr>
        <w:t xml:space="preserve">For the purposes of this initial scrutiny letter, I am content to proceed on the basis that the impact you have identified may arguably amount to indirect discrimination.  However, as you will be aware, </w:t>
      </w:r>
      <w:r w:rsidRPr="00275F60">
        <w:rPr>
          <w:rFonts w:cs="Arial"/>
          <w:bCs/>
          <w:color w:val="auto"/>
        </w:rPr>
        <w:t xml:space="preserve">indirect discrimination can be objectively justified as a proportionate means of meeting a legitimate aim.  The legitimate aim of a NICE evaluation is that of only recommending technologies which </w:t>
      </w:r>
      <w:proofErr w:type="gramStart"/>
      <w:r w:rsidRPr="00275F60">
        <w:rPr>
          <w:rFonts w:cs="Arial"/>
          <w:bCs/>
          <w:color w:val="auto"/>
        </w:rPr>
        <w:t>are considered to be</w:t>
      </w:r>
      <w:proofErr w:type="gramEnd"/>
      <w:r w:rsidRPr="00275F60">
        <w:rPr>
          <w:rFonts w:cs="Arial"/>
          <w:bCs/>
          <w:color w:val="auto"/>
        </w:rPr>
        <w:t xml:space="preserve"> both clinically and cost effective.  </w:t>
      </w:r>
    </w:p>
    <w:p w:rsidR="005227FC" w:rsidP="006C5A0C" w:rsidRDefault="00275F60" w14:paraId="7D6773F3" w14:textId="6D568599">
      <w:pPr>
        <w:spacing w:before="240" w:after="240" w:line="276" w:lineRule="auto"/>
        <w:jc w:val="both"/>
        <w:rPr>
          <w:rFonts w:cs="Arial"/>
          <w:bCs/>
          <w:color w:val="auto"/>
        </w:rPr>
      </w:pPr>
      <w:r>
        <w:rPr>
          <w:rFonts w:cs="Arial"/>
          <w:bCs/>
          <w:color w:val="auto"/>
        </w:rPr>
        <w:t xml:space="preserve">I do not consider it arguable that there could be any </w:t>
      </w:r>
      <w:r w:rsidR="005227FC">
        <w:rPr>
          <w:rFonts w:cs="Arial"/>
          <w:bCs/>
          <w:color w:val="auto"/>
        </w:rPr>
        <w:t xml:space="preserve">indirect discrimination </w:t>
      </w:r>
      <w:r>
        <w:rPr>
          <w:rFonts w:cs="Arial"/>
          <w:bCs/>
          <w:color w:val="auto"/>
        </w:rPr>
        <w:t xml:space="preserve">in this case that is not </w:t>
      </w:r>
      <w:r w:rsidR="005227FC">
        <w:rPr>
          <w:rFonts w:cs="Arial"/>
          <w:bCs/>
          <w:color w:val="auto"/>
        </w:rPr>
        <w:t>objectively justified</w:t>
      </w:r>
      <w:r w:rsidR="00047083">
        <w:rPr>
          <w:rFonts w:cs="Arial"/>
          <w:bCs/>
          <w:color w:val="auto"/>
        </w:rPr>
        <w:t xml:space="preserve">. </w:t>
      </w:r>
      <w:r>
        <w:rPr>
          <w:rFonts w:cs="Arial"/>
          <w:bCs/>
          <w:color w:val="auto"/>
        </w:rPr>
        <w:t xml:space="preserve">Any </w:t>
      </w:r>
      <w:r w:rsidR="00047083">
        <w:rPr>
          <w:rFonts w:cs="Arial"/>
          <w:bCs/>
          <w:color w:val="auto"/>
        </w:rPr>
        <w:t xml:space="preserve">indirect discrimination that may be caused to younger people </w:t>
      </w:r>
      <w:proofErr w:type="gramStart"/>
      <w:r w:rsidR="00047083">
        <w:rPr>
          <w:rFonts w:cs="Arial"/>
          <w:bCs/>
          <w:color w:val="auto"/>
        </w:rPr>
        <w:t>as a result of</w:t>
      </w:r>
      <w:proofErr w:type="gramEnd"/>
      <w:r w:rsidR="00047083">
        <w:rPr>
          <w:rFonts w:cs="Arial"/>
          <w:bCs/>
          <w:color w:val="auto"/>
        </w:rPr>
        <w:t xml:space="preserve"> the negative recommendation of </w:t>
      </w:r>
      <w:proofErr w:type="spellStart"/>
      <w:r w:rsidR="00047083">
        <w:rPr>
          <w:rFonts w:cs="Arial"/>
          <w:bCs/>
          <w:color w:val="auto"/>
        </w:rPr>
        <w:t>cerliponase</w:t>
      </w:r>
      <w:proofErr w:type="spellEnd"/>
      <w:r w:rsidR="00047083">
        <w:rPr>
          <w:rFonts w:cs="Arial"/>
          <w:bCs/>
          <w:color w:val="auto"/>
        </w:rPr>
        <w:t xml:space="preserve"> alfa </w:t>
      </w:r>
      <w:r>
        <w:rPr>
          <w:rFonts w:cs="Arial"/>
          <w:bCs/>
          <w:color w:val="auto"/>
        </w:rPr>
        <w:t>would be a</w:t>
      </w:r>
      <w:r w:rsidR="00047083">
        <w:rPr>
          <w:rFonts w:cs="Arial"/>
          <w:bCs/>
          <w:color w:val="auto"/>
        </w:rPr>
        <w:t xml:space="preserve"> proportionate means of achieving NICE's legitimate aim of focusing healthcare resource on interventions that have been proven to be cost effective.</w:t>
      </w:r>
    </w:p>
    <w:p w:rsidR="00047083" w:rsidP="006C5A0C" w:rsidRDefault="00047083" w14:paraId="2BC80F47" w14:textId="3A1CAC55">
      <w:pPr>
        <w:spacing w:before="240" w:after="240" w:line="276" w:lineRule="auto"/>
        <w:jc w:val="both"/>
        <w:rPr>
          <w:rFonts w:cs="Arial"/>
          <w:bCs/>
          <w:color w:val="auto"/>
        </w:rPr>
      </w:pPr>
      <w:r>
        <w:rPr>
          <w:rFonts w:cs="Arial"/>
          <w:bCs/>
          <w:color w:val="auto"/>
        </w:rPr>
        <w:t xml:space="preserve">In accordance with its public sector equality duty, it is clear to me </w:t>
      </w:r>
      <w:r w:rsidR="003D22B4">
        <w:rPr>
          <w:rFonts w:cs="Arial"/>
          <w:bCs/>
          <w:color w:val="auto"/>
        </w:rPr>
        <w:t xml:space="preserve">from the Committee Papers </w:t>
      </w:r>
      <w:r>
        <w:rPr>
          <w:rFonts w:cs="Arial"/>
          <w:bCs/>
          <w:color w:val="auto"/>
        </w:rPr>
        <w:t xml:space="preserve">that the Committee considered potential equality impacts of the recommendation in reaching its </w:t>
      </w:r>
      <w:proofErr w:type="gramStart"/>
      <w:r>
        <w:rPr>
          <w:rFonts w:cs="Arial"/>
          <w:bCs/>
          <w:color w:val="auto"/>
        </w:rPr>
        <w:t>decision, and</w:t>
      </w:r>
      <w:proofErr w:type="gramEnd"/>
      <w:r>
        <w:rPr>
          <w:rFonts w:cs="Arial"/>
          <w:bCs/>
          <w:color w:val="auto"/>
        </w:rPr>
        <w:t xml:space="preserve"> concluded that there were no equality impacts that would give rise to a decision modifier</w:t>
      </w:r>
      <w:r w:rsidR="003D22B4">
        <w:rPr>
          <w:rFonts w:cs="Arial"/>
          <w:bCs/>
          <w:color w:val="auto"/>
        </w:rPr>
        <w:t>.</w:t>
      </w:r>
    </w:p>
    <w:p w:rsidRPr="005227FC" w:rsidR="005227FC" w:rsidP="006C5A0C" w:rsidRDefault="005227FC" w14:paraId="49CE4F18" w14:textId="0AC9ACF1">
      <w:pPr>
        <w:spacing w:before="240" w:after="240" w:line="276" w:lineRule="auto"/>
        <w:jc w:val="both"/>
        <w:rPr>
          <w:rFonts w:cs="Arial"/>
          <w:bCs/>
          <w:color w:val="auto"/>
        </w:rPr>
      </w:pPr>
      <w:r>
        <w:rPr>
          <w:rFonts w:cs="Arial"/>
          <w:bCs/>
          <w:color w:val="auto"/>
        </w:rPr>
        <w:t xml:space="preserve">Consequently, I do not consider this to be a valid appeal point and am not currently minded </w:t>
      </w:r>
      <w:proofErr w:type="gramStart"/>
      <w:r>
        <w:rPr>
          <w:rFonts w:cs="Arial"/>
          <w:bCs/>
          <w:color w:val="auto"/>
        </w:rPr>
        <w:t>to refer</w:t>
      </w:r>
      <w:proofErr w:type="gramEnd"/>
      <w:r>
        <w:rPr>
          <w:rFonts w:cs="Arial"/>
          <w:bCs/>
          <w:color w:val="auto"/>
        </w:rPr>
        <w:t xml:space="preserve"> this to the Appeal Panel. </w:t>
      </w:r>
    </w:p>
    <w:p w:rsidR="006C5A0C" w:rsidP="006C5A0C" w:rsidRDefault="006C5A0C" w14:paraId="27A609D9" w14:textId="3518D909">
      <w:pPr>
        <w:spacing w:before="240" w:after="240" w:line="276" w:lineRule="auto"/>
        <w:jc w:val="both"/>
        <w:rPr>
          <w:rFonts w:cs="Arial"/>
          <w:b/>
          <w:color w:val="auto"/>
          <w:u w:val="single"/>
        </w:rPr>
      </w:pPr>
      <w:r w:rsidRPr="00C31456">
        <w:rPr>
          <w:rFonts w:cs="Arial"/>
          <w:b/>
          <w:color w:val="auto"/>
          <w:u w:val="single"/>
        </w:rPr>
        <w:t xml:space="preserve">Appeal </w:t>
      </w:r>
      <w:proofErr w:type="gramStart"/>
      <w:r w:rsidRPr="00C31456">
        <w:rPr>
          <w:rFonts w:cs="Arial"/>
          <w:b/>
          <w:color w:val="auto"/>
          <w:u w:val="single"/>
        </w:rPr>
        <w:t>point</w:t>
      </w:r>
      <w:proofErr w:type="gramEnd"/>
      <w:r w:rsidRPr="00C31456">
        <w:rPr>
          <w:rFonts w:cs="Arial"/>
          <w:b/>
          <w:color w:val="auto"/>
          <w:u w:val="single"/>
        </w:rPr>
        <w:t xml:space="preserve"> 1(a).5: </w:t>
      </w:r>
      <w:r w:rsidR="00280C27">
        <w:rPr>
          <w:rFonts w:cs="Arial"/>
          <w:b/>
          <w:color w:val="auto"/>
          <w:u w:val="single"/>
        </w:rPr>
        <w:t xml:space="preserve">The Committee process included inappropriate commentary based on misleading and incorrect assumptions from a committee member beyond the evidence and appraisal criteria. </w:t>
      </w:r>
    </w:p>
    <w:p w:rsidRPr="0092660F" w:rsidR="0092660F" w:rsidP="006C5A0C" w:rsidRDefault="0092660F" w14:paraId="5C804357" w14:textId="64808953">
      <w:pPr>
        <w:spacing w:before="240" w:after="240" w:line="276" w:lineRule="auto"/>
        <w:jc w:val="both"/>
        <w:rPr>
          <w:rFonts w:cs="Arial"/>
          <w:bCs/>
          <w:color w:val="auto"/>
        </w:rPr>
      </w:pPr>
      <w:r>
        <w:rPr>
          <w:rFonts w:cs="Arial"/>
          <w:bCs/>
          <w:color w:val="auto"/>
        </w:rPr>
        <w:t>I understand this appeal point to be a note for the record, rather than an arguable appeal point per se.</w:t>
      </w:r>
      <w:r w:rsidR="00723F27">
        <w:rPr>
          <w:rFonts w:cs="Arial"/>
          <w:bCs/>
          <w:color w:val="auto"/>
        </w:rPr>
        <w:t xml:space="preserve"> I will pass your comments onto the relevant team at NICE.</w:t>
      </w:r>
      <w:r>
        <w:rPr>
          <w:rFonts w:cs="Arial"/>
          <w:bCs/>
          <w:color w:val="auto"/>
        </w:rPr>
        <w:t xml:space="preserve"> </w:t>
      </w:r>
    </w:p>
    <w:p w:rsidRPr="00C31456" w:rsidR="00B62869" w:rsidP="00B62869" w:rsidRDefault="007A7F07" w14:paraId="25FB955A" w14:textId="4DC048D1">
      <w:pPr>
        <w:spacing w:before="240" w:after="240" w:line="276" w:lineRule="auto"/>
        <w:jc w:val="both"/>
        <w:rPr>
          <w:rFonts w:cs="Arial"/>
          <w:b/>
          <w:i/>
          <w:color w:val="auto"/>
        </w:rPr>
      </w:pPr>
      <w:r w:rsidRPr="00C31456">
        <w:rPr>
          <w:rFonts w:cs="Arial"/>
          <w:b/>
          <w:i/>
          <w:color w:val="auto"/>
        </w:rPr>
        <w:t>G</w:t>
      </w:r>
      <w:r w:rsidRPr="00C31456" w:rsidR="00491045">
        <w:rPr>
          <w:rFonts w:cs="Arial"/>
          <w:b/>
          <w:i/>
          <w:color w:val="auto"/>
        </w:rPr>
        <w:t xml:space="preserve">round 2: </w:t>
      </w:r>
      <w:r w:rsidRPr="00C31456" w:rsidR="00B62869">
        <w:rPr>
          <w:rFonts w:cs="Arial"/>
          <w:b/>
          <w:i/>
          <w:color w:val="auto"/>
        </w:rPr>
        <w:t>the recommendation is unreasonable in the light of the evidence submitted to NIC</w:t>
      </w:r>
    </w:p>
    <w:p w:rsidRPr="00B231DE" w:rsidR="00491045" w:rsidP="007A7F07" w:rsidRDefault="00B62869" w14:paraId="41564A14" w14:textId="2B502576">
      <w:pPr>
        <w:pStyle w:val="Paragraph"/>
        <w:numPr>
          <w:ilvl w:val="0"/>
          <w:numId w:val="0"/>
        </w:numPr>
        <w:jc w:val="both"/>
        <w:rPr>
          <w:rFonts w:cs="Arial"/>
          <w:b/>
          <w:sz w:val="20"/>
          <w:szCs w:val="20"/>
          <w:u w:val="single"/>
        </w:rPr>
      </w:pPr>
      <w:r w:rsidRPr="00B231DE">
        <w:rPr>
          <w:rFonts w:cs="Arial"/>
          <w:b/>
          <w:sz w:val="20"/>
          <w:szCs w:val="20"/>
          <w:u w:val="single"/>
        </w:rPr>
        <w:t xml:space="preserve">Appeal </w:t>
      </w:r>
      <w:proofErr w:type="gramStart"/>
      <w:r w:rsidRPr="00B231DE">
        <w:rPr>
          <w:rFonts w:cs="Arial"/>
          <w:b/>
          <w:sz w:val="20"/>
          <w:szCs w:val="20"/>
          <w:u w:val="single"/>
        </w:rPr>
        <w:t>point</w:t>
      </w:r>
      <w:proofErr w:type="gramEnd"/>
      <w:r w:rsidRPr="00B231DE">
        <w:rPr>
          <w:rFonts w:cs="Arial"/>
          <w:b/>
          <w:sz w:val="20"/>
          <w:szCs w:val="20"/>
          <w:u w:val="single"/>
        </w:rPr>
        <w:t xml:space="preserve"> 2.1: </w:t>
      </w:r>
      <w:r w:rsidRPr="00B231DE" w:rsidR="00280C27">
        <w:rPr>
          <w:rFonts w:cs="Arial"/>
          <w:b/>
          <w:bCs/>
          <w:sz w:val="20"/>
          <w:szCs w:val="20"/>
          <w:u w:val="single"/>
        </w:rPr>
        <w:t>The HST process does not adequately account for the severity of the condition.</w:t>
      </w:r>
    </w:p>
    <w:p w:rsidR="0024168D" w:rsidP="00491045" w:rsidRDefault="00723F27" w14:paraId="5A8D2760" w14:textId="77777777">
      <w:pPr>
        <w:pStyle w:val="BodyText"/>
        <w:jc w:val="both"/>
        <w:rPr>
          <w:rFonts w:cs="Arial"/>
          <w:color w:val="auto"/>
        </w:rPr>
      </w:pPr>
      <w:r w:rsidRPr="006620DC">
        <w:rPr>
          <w:rFonts w:cs="Arial"/>
          <w:color w:val="auto"/>
        </w:rPr>
        <w:t>I understand this appeal point to</w:t>
      </w:r>
      <w:r w:rsidR="00C9660A">
        <w:rPr>
          <w:rFonts w:cs="Arial"/>
          <w:color w:val="auto"/>
        </w:rPr>
        <w:t xml:space="preserve"> raise two distinct points.  The first point made is that, whilst the Committee has applied the </w:t>
      </w:r>
      <w:r w:rsidR="0024168D">
        <w:rPr>
          <w:rFonts w:cs="Arial"/>
          <w:color w:val="auto"/>
        </w:rPr>
        <w:t xml:space="preserve">maximum </w:t>
      </w:r>
      <w:r w:rsidR="00C9660A">
        <w:rPr>
          <w:rFonts w:cs="Arial"/>
          <w:color w:val="auto"/>
        </w:rPr>
        <w:t xml:space="preserve">QALY weighting permitted in the HST process, </w:t>
      </w:r>
      <w:r w:rsidR="0024168D">
        <w:rPr>
          <w:rFonts w:cs="Arial"/>
          <w:color w:val="auto"/>
        </w:rPr>
        <w:t>that process</w:t>
      </w:r>
      <w:r w:rsidR="00C9660A">
        <w:rPr>
          <w:rFonts w:cs="Arial"/>
          <w:color w:val="auto"/>
        </w:rPr>
        <w:t xml:space="preserve"> does not permit the Committee to apply a </w:t>
      </w:r>
      <w:r w:rsidR="0024168D">
        <w:rPr>
          <w:rFonts w:cs="Arial"/>
          <w:color w:val="auto"/>
        </w:rPr>
        <w:t xml:space="preserve">separate </w:t>
      </w:r>
      <w:r w:rsidR="00C9660A">
        <w:rPr>
          <w:rFonts w:cs="Arial"/>
          <w:color w:val="auto"/>
        </w:rPr>
        <w:t xml:space="preserve">severity weighting in the way that a committee conducting </w:t>
      </w:r>
      <w:proofErr w:type="gramStart"/>
      <w:r w:rsidR="00C9660A">
        <w:rPr>
          <w:rFonts w:cs="Arial"/>
          <w:color w:val="auto"/>
        </w:rPr>
        <w:t>an</w:t>
      </w:r>
      <w:proofErr w:type="gramEnd"/>
      <w:r w:rsidR="00C9660A">
        <w:rPr>
          <w:rFonts w:cs="Arial"/>
          <w:color w:val="auto"/>
        </w:rPr>
        <w:t xml:space="preserve"> single technology appraisal </w:t>
      </w:r>
      <w:proofErr w:type="gramStart"/>
      <w:r w:rsidR="00C9660A">
        <w:rPr>
          <w:rFonts w:cs="Arial"/>
          <w:color w:val="auto"/>
        </w:rPr>
        <w:t>is able to</w:t>
      </w:r>
      <w:proofErr w:type="gramEnd"/>
      <w:r w:rsidR="00C9660A">
        <w:rPr>
          <w:rFonts w:cs="Arial"/>
          <w:color w:val="auto"/>
        </w:rPr>
        <w:t xml:space="preserve"> do.  I am not minded </w:t>
      </w:r>
      <w:proofErr w:type="gramStart"/>
      <w:r w:rsidR="00C9660A">
        <w:rPr>
          <w:rFonts w:cs="Arial"/>
          <w:color w:val="auto"/>
        </w:rPr>
        <w:t>to refer</w:t>
      </w:r>
      <w:proofErr w:type="gramEnd"/>
      <w:r w:rsidR="00C9660A">
        <w:rPr>
          <w:rFonts w:cs="Arial"/>
          <w:color w:val="auto"/>
        </w:rPr>
        <w:t xml:space="preserve"> this point to the appeal panel.  </w:t>
      </w:r>
      <w:r w:rsidRPr="0024168D" w:rsidR="0024168D">
        <w:rPr>
          <w:rFonts w:cs="Arial"/>
          <w:color w:val="auto"/>
        </w:rPr>
        <w:t>An appeal can only relate to final draft guidance for a technology appraisal or highly specialised technologies evaluation, or the way that the evaluation was done.</w:t>
      </w:r>
      <w:r w:rsidR="0024168D">
        <w:rPr>
          <w:rFonts w:cs="Arial"/>
          <w:color w:val="auto"/>
        </w:rPr>
        <w:t xml:space="preserve"> I do not understand you to be arguing that the conclusions drawn by the Committee in this case were unreasonable </w:t>
      </w:r>
      <w:proofErr w:type="gramStart"/>
      <w:r w:rsidR="0024168D">
        <w:rPr>
          <w:rFonts w:cs="Arial"/>
          <w:color w:val="auto"/>
        </w:rPr>
        <w:t>in light of</w:t>
      </w:r>
      <w:proofErr w:type="gramEnd"/>
      <w:r w:rsidR="0024168D">
        <w:rPr>
          <w:rFonts w:cs="Arial"/>
          <w:color w:val="auto"/>
        </w:rPr>
        <w:t xml:space="preserve"> the requirements of the Manual, and those requirements cannot themselves be challenged by way of an appeal against a specific recommendation.</w:t>
      </w:r>
    </w:p>
    <w:p w:rsidR="0024168D" w:rsidP="00491045" w:rsidRDefault="0024168D" w14:paraId="7D351245" w14:textId="0A587488">
      <w:pPr>
        <w:pStyle w:val="BodyText"/>
        <w:jc w:val="both"/>
        <w:rPr>
          <w:rFonts w:cs="Arial"/>
          <w:color w:val="auto"/>
        </w:rPr>
      </w:pPr>
      <w:r>
        <w:rPr>
          <w:rFonts w:cs="Arial"/>
          <w:color w:val="auto"/>
        </w:rPr>
        <w:t xml:space="preserve">I understand the second point made to be that the Committee has calculated the appropriate QALY weighting </w:t>
      </w:r>
      <w:proofErr w:type="gramStart"/>
      <w:r>
        <w:rPr>
          <w:rFonts w:cs="Arial"/>
          <w:color w:val="auto"/>
        </w:rPr>
        <w:t>on the basis of</w:t>
      </w:r>
      <w:proofErr w:type="gramEnd"/>
      <w:r>
        <w:rPr>
          <w:rFonts w:cs="Arial"/>
          <w:color w:val="auto"/>
        </w:rPr>
        <w:t xml:space="preserve"> patient QALYs </w:t>
      </w:r>
      <w:proofErr w:type="gramStart"/>
      <w:r>
        <w:rPr>
          <w:rFonts w:cs="Arial"/>
          <w:color w:val="auto"/>
        </w:rPr>
        <w:t>only, and</w:t>
      </w:r>
      <w:proofErr w:type="gramEnd"/>
      <w:r>
        <w:rPr>
          <w:rFonts w:cs="Arial"/>
          <w:color w:val="auto"/>
        </w:rPr>
        <w:t xml:space="preserve"> has not also considered carer QALYs.  I am also not minded </w:t>
      </w:r>
      <w:proofErr w:type="gramStart"/>
      <w:r>
        <w:rPr>
          <w:rFonts w:cs="Arial"/>
          <w:color w:val="auto"/>
        </w:rPr>
        <w:t>to refer</w:t>
      </w:r>
      <w:proofErr w:type="gramEnd"/>
      <w:r>
        <w:rPr>
          <w:rFonts w:cs="Arial"/>
          <w:color w:val="auto"/>
        </w:rPr>
        <w:t xml:space="preserve"> this appeal </w:t>
      </w:r>
      <w:proofErr w:type="gramStart"/>
      <w:r>
        <w:rPr>
          <w:rFonts w:cs="Arial"/>
          <w:color w:val="auto"/>
        </w:rPr>
        <w:t>point</w:t>
      </w:r>
      <w:proofErr w:type="gramEnd"/>
      <w:r>
        <w:rPr>
          <w:rFonts w:cs="Arial"/>
          <w:color w:val="auto"/>
        </w:rPr>
        <w:t xml:space="preserve"> to the Appeal Panel, </w:t>
      </w:r>
      <w:proofErr w:type="gramStart"/>
      <w:r>
        <w:rPr>
          <w:rFonts w:cs="Arial"/>
          <w:color w:val="auto"/>
        </w:rPr>
        <w:t>on the basis of</w:t>
      </w:r>
      <w:proofErr w:type="gramEnd"/>
      <w:r>
        <w:rPr>
          <w:rFonts w:cs="Arial"/>
          <w:color w:val="auto"/>
        </w:rPr>
        <w:t xml:space="preserve"> my understanding that the Committee has applied the maximum QALY weight permissible under the HST process guide, and accordingly, additional consideration of carer QALYs could not have made any difference.</w:t>
      </w:r>
    </w:p>
    <w:p w:rsidR="00A816E8" w:rsidP="00491045" w:rsidRDefault="00A816E8" w14:paraId="5E69F33F" w14:textId="54BD4CB8">
      <w:pPr>
        <w:pStyle w:val="BodyText"/>
        <w:jc w:val="both"/>
        <w:rPr>
          <w:rFonts w:cs="Arial"/>
          <w:color w:val="auto"/>
        </w:rPr>
      </w:pPr>
      <w:r w:rsidRPr="006620DC">
        <w:rPr>
          <w:rFonts w:cs="Arial"/>
          <w:color w:val="auto"/>
        </w:rPr>
        <w:t xml:space="preserve">You will note that section 6.2.23 – 6.2.25 of the Manual </w:t>
      </w:r>
      <w:r w:rsidRPr="006620DC" w:rsidR="00382DA9">
        <w:rPr>
          <w:rFonts w:cs="Arial"/>
          <w:color w:val="auto"/>
        </w:rPr>
        <w:t xml:space="preserve">provides that depending on the number of QALYs gained over the lifetime of patients, when comparing the new technology with its relevant comparator(s), the committee will apply a weight between 1 and 3 using equal increments, for a range between 10 and 30 QALYs gained. </w:t>
      </w:r>
    </w:p>
    <w:p w:rsidR="006620DC" w:rsidP="00491045" w:rsidRDefault="006620DC" w14:paraId="510A6695" w14:textId="71A3DBF2">
      <w:pPr>
        <w:pStyle w:val="BodyText"/>
        <w:jc w:val="both"/>
        <w:rPr>
          <w:rFonts w:cs="Arial"/>
          <w:color w:val="auto"/>
        </w:rPr>
      </w:pPr>
      <w:r>
        <w:rPr>
          <w:rFonts w:cs="Arial"/>
          <w:color w:val="auto"/>
        </w:rPr>
        <w:t xml:space="preserve">Section 3.19 of the FDG considers whether </w:t>
      </w:r>
      <w:proofErr w:type="spellStart"/>
      <w:r>
        <w:rPr>
          <w:rFonts w:cs="Arial"/>
          <w:color w:val="auto"/>
        </w:rPr>
        <w:t>cerliponase</w:t>
      </w:r>
      <w:proofErr w:type="spellEnd"/>
      <w:r>
        <w:rPr>
          <w:rFonts w:cs="Arial"/>
          <w:color w:val="auto"/>
        </w:rPr>
        <w:t xml:space="preserve"> alfa qualifies for the criteria for applying a QALY weighting</w:t>
      </w:r>
      <w:r w:rsidR="00A51DC7">
        <w:rPr>
          <w:rFonts w:cs="Arial"/>
          <w:color w:val="auto"/>
        </w:rPr>
        <w:t>,</w:t>
      </w:r>
      <w:r>
        <w:rPr>
          <w:rFonts w:cs="Arial"/>
          <w:color w:val="auto"/>
        </w:rPr>
        <w:t xml:space="preserve"> and </w:t>
      </w:r>
      <w:r w:rsidR="00D0703D">
        <w:rPr>
          <w:rFonts w:cs="Arial"/>
          <w:color w:val="auto"/>
        </w:rPr>
        <w:t>I understand the Committee to have applied</w:t>
      </w:r>
      <w:r>
        <w:rPr>
          <w:rFonts w:cs="Arial"/>
          <w:color w:val="auto"/>
        </w:rPr>
        <w:t xml:space="preserve"> the full QALY weight (i.e. 3) should be applied. </w:t>
      </w:r>
    </w:p>
    <w:p w:rsidR="00A51DC7" w:rsidP="00491045" w:rsidRDefault="00A51DC7" w14:paraId="49898BB9" w14:textId="77777777">
      <w:pPr>
        <w:pStyle w:val="BodyText"/>
        <w:jc w:val="both"/>
        <w:rPr>
          <w:rFonts w:cs="Arial"/>
          <w:color w:val="auto"/>
        </w:rPr>
      </w:pPr>
      <w:r>
        <w:rPr>
          <w:rFonts w:cs="Arial"/>
          <w:color w:val="auto"/>
        </w:rPr>
        <w:t>Under section 6.2.34 the Manual also provides that:</w:t>
      </w:r>
    </w:p>
    <w:p w:rsidR="00A51DC7" w:rsidP="00A51DC7" w:rsidRDefault="00A51DC7" w14:paraId="1141F2C1" w14:textId="77777777">
      <w:pPr>
        <w:pStyle w:val="BodyText"/>
        <w:ind w:left="120"/>
        <w:jc w:val="both"/>
        <w:rPr>
          <w:rFonts w:cs="Arial"/>
          <w:i/>
          <w:iCs/>
          <w:color w:val="auto"/>
        </w:rPr>
      </w:pPr>
      <w:r>
        <w:rPr>
          <w:rFonts w:cs="Arial"/>
          <w:color w:val="auto"/>
        </w:rPr>
        <w:t>"</w:t>
      </w:r>
      <w:proofErr w:type="gramStart"/>
      <w:r>
        <w:rPr>
          <w:rFonts w:cs="Arial"/>
          <w:i/>
          <w:iCs/>
          <w:color w:val="auto"/>
        </w:rPr>
        <w:t>there</w:t>
      </w:r>
      <w:proofErr w:type="gramEnd"/>
      <w:r>
        <w:rPr>
          <w:rFonts w:cs="Arial"/>
          <w:i/>
          <w:iCs/>
          <w:color w:val="auto"/>
        </w:rPr>
        <w:t xml:space="preserve"> </w:t>
      </w:r>
      <w:r w:rsidRPr="00A51DC7">
        <w:rPr>
          <w:rFonts w:cs="Arial"/>
          <w:i/>
          <w:iCs/>
          <w:color w:val="auto"/>
        </w:rPr>
        <w:t>are certain technologies or populations for which evidence generation is particularly difficult because they are:</w:t>
      </w:r>
    </w:p>
    <w:p w:rsidR="00A51DC7" w:rsidP="00A51DC7" w:rsidRDefault="00A51DC7" w14:paraId="611BA067" w14:textId="7272380A">
      <w:pPr>
        <w:pStyle w:val="BodyText"/>
        <w:numPr>
          <w:ilvl w:val="0"/>
          <w:numId w:val="39"/>
        </w:numPr>
        <w:ind w:left="540"/>
        <w:jc w:val="both"/>
        <w:rPr>
          <w:rFonts w:cs="Arial"/>
          <w:i/>
          <w:iCs/>
          <w:color w:val="auto"/>
        </w:rPr>
      </w:pPr>
      <w:r w:rsidRPr="00A51DC7">
        <w:rPr>
          <w:rFonts w:cs="Arial"/>
          <w:i/>
          <w:iCs/>
          <w:color w:val="auto"/>
        </w:rPr>
        <w:t>rare diseases</w:t>
      </w:r>
    </w:p>
    <w:p w:rsidR="00A51DC7" w:rsidP="00A51DC7" w:rsidRDefault="00A51DC7" w14:paraId="1A2FC2B2" w14:textId="77FB45D1">
      <w:pPr>
        <w:pStyle w:val="BodyText"/>
        <w:numPr>
          <w:ilvl w:val="0"/>
          <w:numId w:val="39"/>
        </w:numPr>
        <w:ind w:left="540"/>
        <w:jc w:val="both"/>
        <w:rPr>
          <w:rFonts w:cs="Arial"/>
          <w:i/>
          <w:iCs/>
          <w:color w:val="auto"/>
        </w:rPr>
      </w:pPr>
      <w:r w:rsidRPr="00A51DC7">
        <w:rPr>
          <w:rFonts w:cs="Arial"/>
          <w:i/>
          <w:iCs/>
          <w:color w:val="auto"/>
        </w:rPr>
        <w:t xml:space="preserve">for use in a population that is predominantly children (under 18 years old) </w:t>
      </w:r>
    </w:p>
    <w:p w:rsidR="00A51DC7" w:rsidP="00A51DC7" w:rsidRDefault="00A51DC7" w14:paraId="528B121C" w14:textId="7DB25CE8">
      <w:pPr>
        <w:pStyle w:val="BodyText"/>
        <w:numPr>
          <w:ilvl w:val="0"/>
          <w:numId w:val="39"/>
        </w:numPr>
        <w:ind w:left="540"/>
        <w:jc w:val="both"/>
        <w:rPr>
          <w:rFonts w:cs="Arial"/>
          <w:i/>
          <w:iCs/>
          <w:color w:val="auto"/>
        </w:rPr>
      </w:pPr>
      <w:r w:rsidRPr="00A51DC7">
        <w:rPr>
          <w:rFonts w:cs="Arial"/>
          <w:i/>
          <w:iCs/>
          <w:color w:val="auto"/>
        </w:rPr>
        <w:t xml:space="preserve">innovative and complex technologies. </w:t>
      </w:r>
    </w:p>
    <w:p w:rsidRPr="00A51DC7" w:rsidR="00A51DC7" w:rsidP="00A51DC7" w:rsidRDefault="00A51DC7" w14:paraId="7517E7CD" w14:textId="35BDEF1E">
      <w:pPr>
        <w:pStyle w:val="BodyText"/>
        <w:ind w:left="120"/>
        <w:jc w:val="both"/>
        <w:rPr>
          <w:rFonts w:cs="Arial"/>
          <w:i/>
          <w:iCs/>
          <w:color w:val="auto"/>
        </w:rPr>
      </w:pPr>
      <w:r w:rsidRPr="00A51DC7">
        <w:rPr>
          <w:rFonts w:cs="Arial"/>
          <w:i/>
          <w:iCs/>
          <w:color w:val="auto"/>
        </w:rPr>
        <w:t>In these specific circumstances, the committee may be able to make recommendations accepting a higher degree of uncertainty. The committee will consider how the nature of the condition or technology(s) affects the ability to generate high-quality evidence before applying greater flexibility</w:t>
      </w:r>
    </w:p>
    <w:p w:rsidR="006620DC" w:rsidP="00491045" w:rsidRDefault="006620DC" w14:paraId="5BEF1843" w14:textId="44468A92">
      <w:pPr>
        <w:pStyle w:val="BodyText"/>
        <w:jc w:val="both"/>
        <w:rPr>
          <w:rFonts w:cs="Arial"/>
          <w:color w:val="auto"/>
        </w:rPr>
      </w:pPr>
      <w:r>
        <w:rPr>
          <w:rFonts w:cs="Arial"/>
          <w:color w:val="auto"/>
        </w:rPr>
        <w:t xml:space="preserve">Within the confines of the Manual and the HST Interim Process Guide, 3 is the maximum possible weighting that can be applied to HSTs. In the circumstances of this </w:t>
      </w:r>
      <w:proofErr w:type="gramStart"/>
      <w:r>
        <w:rPr>
          <w:rFonts w:cs="Arial"/>
          <w:color w:val="auto"/>
        </w:rPr>
        <w:t>appraisal, and</w:t>
      </w:r>
      <w:proofErr w:type="gramEnd"/>
      <w:r>
        <w:rPr>
          <w:rFonts w:cs="Arial"/>
          <w:color w:val="auto"/>
        </w:rPr>
        <w:t xml:space="preserve"> exercising its discretion</w:t>
      </w:r>
      <w:r w:rsidR="00A51DC7">
        <w:rPr>
          <w:rFonts w:cs="Arial"/>
          <w:color w:val="auto"/>
        </w:rPr>
        <w:t xml:space="preserve"> by reference to the criteria set out above</w:t>
      </w:r>
      <w:r>
        <w:rPr>
          <w:rFonts w:cs="Arial"/>
          <w:color w:val="auto"/>
        </w:rPr>
        <w:t xml:space="preserve">, to account for any outstanding uncertainty the Committee concluded that the QALY weighting should be increased by 0.2. </w:t>
      </w:r>
    </w:p>
    <w:p w:rsidR="006620DC" w:rsidP="00491045" w:rsidRDefault="006620DC" w14:paraId="527FDDB0" w14:textId="237ECDA7">
      <w:pPr>
        <w:pStyle w:val="BodyText"/>
        <w:jc w:val="both"/>
        <w:rPr>
          <w:rFonts w:cs="Arial"/>
          <w:color w:val="auto"/>
        </w:rPr>
      </w:pPr>
      <w:r>
        <w:rPr>
          <w:rFonts w:cs="Arial"/>
          <w:color w:val="auto"/>
        </w:rPr>
        <w:t xml:space="preserve">I consider that in doing so, the Committee clearly recognised the significant QALY gains that </w:t>
      </w:r>
      <w:proofErr w:type="spellStart"/>
      <w:r>
        <w:rPr>
          <w:rFonts w:cs="Arial"/>
          <w:color w:val="auto"/>
        </w:rPr>
        <w:t>cerliponase</w:t>
      </w:r>
      <w:proofErr w:type="spellEnd"/>
      <w:r>
        <w:rPr>
          <w:rFonts w:cs="Arial"/>
          <w:color w:val="auto"/>
        </w:rPr>
        <w:t xml:space="preserve"> alfa offers, but that even with this maximum possible weighting the plausible ICER was still not considered cost-effective at the price point offered by the Company.</w:t>
      </w:r>
    </w:p>
    <w:p w:rsidRPr="006620DC" w:rsidR="006620DC" w:rsidP="00491045" w:rsidRDefault="006620DC" w14:paraId="2D3E585E" w14:textId="4711C555">
      <w:pPr>
        <w:pStyle w:val="BodyText"/>
        <w:jc w:val="both"/>
        <w:rPr>
          <w:rFonts w:cs="Arial"/>
          <w:color w:val="auto"/>
        </w:rPr>
      </w:pPr>
      <w:r>
        <w:rPr>
          <w:rFonts w:cs="Arial"/>
          <w:color w:val="auto"/>
        </w:rPr>
        <w:t xml:space="preserve">For that reason, I do not consider this to be a valid appeal point. </w:t>
      </w:r>
    </w:p>
    <w:p w:rsidRPr="006620DC" w:rsidR="006C5A0C" w:rsidP="006C5A0C" w:rsidRDefault="006C5A0C" w14:paraId="4140D6BB" w14:textId="0A3BA5AE">
      <w:pPr>
        <w:pStyle w:val="Paragraph"/>
        <w:numPr>
          <w:ilvl w:val="0"/>
          <w:numId w:val="0"/>
        </w:numPr>
        <w:jc w:val="both"/>
        <w:rPr>
          <w:rFonts w:cs="Arial"/>
          <w:sz w:val="20"/>
          <w:szCs w:val="20"/>
        </w:rPr>
      </w:pPr>
      <w:r w:rsidRPr="00F301FF">
        <w:rPr>
          <w:rFonts w:cs="Arial"/>
          <w:b/>
          <w:sz w:val="20"/>
          <w:szCs w:val="20"/>
          <w:u w:val="single"/>
        </w:rPr>
        <w:t xml:space="preserve">Appeal </w:t>
      </w:r>
      <w:proofErr w:type="gramStart"/>
      <w:r w:rsidRPr="00F301FF">
        <w:rPr>
          <w:rFonts w:cs="Arial"/>
          <w:b/>
          <w:sz w:val="20"/>
          <w:szCs w:val="20"/>
          <w:u w:val="single"/>
        </w:rPr>
        <w:t>point</w:t>
      </w:r>
      <w:proofErr w:type="gramEnd"/>
      <w:r w:rsidRPr="00F301FF">
        <w:rPr>
          <w:rFonts w:cs="Arial"/>
          <w:b/>
          <w:sz w:val="20"/>
          <w:szCs w:val="20"/>
          <w:u w:val="single"/>
        </w:rPr>
        <w:t xml:space="preserve"> 2.2: </w:t>
      </w:r>
      <w:r w:rsidRPr="00F301FF" w:rsidR="00280C27">
        <w:rPr>
          <w:rFonts w:cs="Arial"/>
          <w:b/>
          <w:bCs/>
          <w:sz w:val="20"/>
          <w:szCs w:val="20"/>
          <w:u w:val="single"/>
        </w:rPr>
        <w:t>There was an inadequate justification for rejecting the most clinically relevant transition probability dataset.</w:t>
      </w:r>
      <w:r w:rsidR="00280C27">
        <w:rPr>
          <w:rFonts w:cs="Arial"/>
          <w:b/>
          <w:bCs/>
          <w:sz w:val="20"/>
          <w:szCs w:val="20"/>
          <w:u w:val="single"/>
        </w:rPr>
        <w:t xml:space="preserve"> </w:t>
      </w:r>
    </w:p>
    <w:p w:rsidR="0024168D" w:rsidP="006C5A0C" w:rsidRDefault="006620DC" w14:paraId="2C15CBDA" w14:textId="4CEF654E">
      <w:pPr>
        <w:pStyle w:val="Paragraph"/>
        <w:numPr>
          <w:ilvl w:val="0"/>
          <w:numId w:val="0"/>
        </w:numPr>
        <w:jc w:val="both"/>
        <w:rPr>
          <w:rFonts w:cs="Arial"/>
          <w:sz w:val="20"/>
          <w:szCs w:val="20"/>
        </w:rPr>
      </w:pPr>
      <w:r w:rsidRPr="006620DC">
        <w:rPr>
          <w:rFonts w:cs="Arial"/>
          <w:sz w:val="20"/>
          <w:szCs w:val="20"/>
        </w:rPr>
        <w:t>I understand this appeal point to advance two separate points</w:t>
      </w:r>
      <w:r w:rsidR="004F6D3B">
        <w:rPr>
          <w:rFonts w:cs="Arial"/>
          <w:sz w:val="20"/>
          <w:szCs w:val="20"/>
        </w:rPr>
        <w:t xml:space="preserve">, </w:t>
      </w:r>
      <w:r w:rsidR="0024168D">
        <w:rPr>
          <w:rFonts w:cs="Arial"/>
          <w:sz w:val="20"/>
          <w:szCs w:val="20"/>
        </w:rPr>
        <w:t xml:space="preserve">and </w:t>
      </w:r>
      <w:r w:rsidR="004F6D3B">
        <w:rPr>
          <w:rFonts w:cs="Arial"/>
          <w:sz w:val="20"/>
          <w:szCs w:val="20"/>
        </w:rPr>
        <w:t xml:space="preserve">I would invite the Company to divide these into two separate points should you be minded </w:t>
      </w:r>
      <w:proofErr w:type="gramStart"/>
      <w:r w:rsidR="004F6D3B">
        <w:rPr>
          <w:rFonts w:cs="Arial"/>
          <w:sz w:val="20"/>
          <w:szCs w:val="20"/>
        </w:rPr>
        <w:t xml:space="preserve">to </w:t>
      </w:r>
      <w:r w:rsidR="0024168D">
        <w:rPr>
          <w:rFonts w:cs="Arial"/>
          <w:sz w:val="20"/>
          <w:szCs w:val="20"/>
        </w:rPr>
        <w:t>pursue</w:t>
      </w:r>
      <w:proofErr w:type="gramEnd"/>
      <w:r w:rsidR="0024168D">
        <w:rPr>
          <w:rFonts w:cs="Arial"/>
          <w:sz w:val="20"/>
          <w:szCs w:val="20"/>
        </w:rPr>
        <w:t xml:space="preserve"> </w:t>
      </w:r>
      <w:proofErr w:type="gramStart"/>
      <w:r w:rsidR="0024168D">
        <w:rPr>
          <w:rFonts w:cs="Arial"/>
          <w:sz w:val="20"/>
          <w:szCs w:val="20"/>
        </w:rPr>
        <w:t xml:space="preserve">either </w:t>
      </w:r>
      <w:r w:rsidR="004F6D3B">
        <w:rPr>
          <w:rFonts w:cs="Arial"/>
          <w:sz w:val="20"/>
          <w:szCs w:val="20"/>
        </w:rPr>
        <w:t>further</w:t>
      </w:r>
      <w:proofErr w:type="gramEnd"/>
      <w:r w:rsidR="004F6D3B">
        <w:rPr>
          <w:rFonts w:cs="Arial"/>
          <w:sz w:val="20"/>
          <w:szCs w:val="20"/>
        </w:rPr>
        <w:t xml:space="preserve"> in response to this letter</w:t>
      </w:r>
      <w:r w:rsidRPr="006620DC">
        <w:rPr>
          <w:rFonts w:cs="Arial"/>
          <w:sz w:val="20"/>
          <w:szCs w:val="20"/>
        </w:rPr>
        <w:t xml:space="preserve">. </w:t>
      </w:r>
    </w:p>
    <w:p w:rsidR="006620DC" w:rsidP="006C5A0C" w:rsidRDefault="0024168D" w14:paraId="3C84F526" w14:textId="733EC1EB">
      <w:pPr>
        <w:pStyle w:val="Paragraph"/>
        <w:numPr>
          <w:ilvl w:val="0"/>
          <w:numId w:val="0"/>
        </w:numPr>
        <w:jc w:val="both"/>
        <w:rPr>
          <w:rFonts w:cs="Arial"/>
          <w:sz w:val="20"/>
          <w:szCs w:val="20"/>
        </w:rPr>
      </w:pPr>
      <w:r>
        <w:rPr>
          <w:rFonts w:cs="Arial"/>
          <w:sz w:val="20"/>
          <w:szCs w:val="20"/>
        </w:rPr>
        <w:t>I understand your first point to be</w:t>
      </w:r>
      <w:r w:rsidR="006620DC">
        <w:rPr>
          <w:rFonts w:cs="Arial"/>
          <w:sz w:val="20"/>
          <w:szCs w:val="20"/>
        </w:rPr>
        <w:t xml:space="preserve"> that there was inadequate justification provided for rejecting the </w:t>
      </w:r>
      <w:r w:rsidR="004F6D3B">
        <w:rPr>
          <w:rFonts w:cs="Arial"/>
          <w:sz w:val="20"/>
          <w:szCs w:val="20"/>
        </w:rPr>
        <w:t xml:space="preserve">transition </w:t>
      </w:r>
      <w:r w:rsidR="006620DC">
        <w:rPr>
          <w:rFonts w:cs="Arial"/>
          <w:sz w:val="20"/>
          <w:szCs w:val="20"/>
        </w:rPr>
        <w:t>probability dataset</w:t>
      </w:r>
      <w:r>
        <w:rPr>
          <w:rFonts w:cs="Arial"/>
          <w:sz w:val="20"/>
          <w:szCs w:val="20"/>
        </w:rPr>
        <w:t xml:space="preserve">.  I understand your </w:t>
      </w:r>
      <w:r w:rsidR="006620DC">
        <w:rPr>
          <w:rFonts w:cs="Arial"/>
          <w:sz w:val="20"/>
          <w:szCs w:val="20"/>
        </w:rPr>
        <w:t xml:space="preserve">second </w:t>
      </w:r>
      <w:r>
        <w:rPr>
          <w:rFonts w:cs="Arial"/>
          <w:sz w:val="20"/>
          <w:szCs w:val="20"/>
        </w:rPr>
        <w:t xml:space="preserve">point to be </w:t>
      </w:r>
      <w:r w:rsidR="006620DC">
        <w:rPr>
          <w:rFonts w:cs="Arial"/>
          <w:sz w:val="20"/>
          <w:szCs w:val="20"/>
        </w:rPr>
        <w:t xml:space="preserve">that it was unreasonable </w:t>
      </w:r>
      <w:r w:rsidR="004F6D3B">
        <w:rPr>
          <w:rFonts w:cs="Arial"/>
          <w:sz w:val="20"/>
          <w:szCs w:val="20"/>
        </w:rPr>
        <w:t xml:space="preserve">for the Committee to have dismissed the rationale for removing background care costs on the basis that lifetime cost effects are not unique to CLN2 disease and that the main cost drive was the acquisition of </w:t>
      </w:r>
      <w:proofErr w:type="spellStart"/>
      <w:r w:rsidR="004F6D3B">
        <w:rPr>
          <w:rFonts w:cs="Arial"/>
          <w:sz w:val="20"/>
          <w:szCs w:val="20"/>
        </w:rPr>
        <w:t>cerliponse</w:t>
      </w:r>
      <w:proofErr w:type="spellEnd"/>
      <w:r w:rsidR="004F6D3B">
        <w:rPr>
          <w:rFonts w:cs="Arial"/>
          <w:sz w:val="20"/>
          <w:szCs w:val="20"/>
        </w:rPr>
        <w:t xml:space="preserve"> alfa. I will address both in turn. </w:t>
      </w:r>
    </w:p>
    <w:p w:rsidR="004F6D3B" w:rsidP="006C5A0C" w:rsidRDefault="004F6D3B" w14:paraId="43861516" w14:textId="2DDD7C58">
      <w:pPr>
        <w:pStyle w:val="Paragraph"/>
        <w:numPr>
          <w:ilvl w:val="0"/>
          <w:numId w:val="0"/>
        </w:numPr>
        <w:jc w:val="both"/>
        <w:rPr>
          <w:rFonts w:cs="Arial"/>
          <w:sz w:val="20"/>
          <w:szCs w:val="20"/>
        </w:rPr>
      </w:pPr>
      <w:r>
        <w:rPr>
          <w:rFonts w:cs="Arial"/>
          <w:sz w:val="20"/>
          <w:szCs w:val="20"/>
        </w:rPr>
        <w:t xml:space="preserve">First, I do not consider it arguable that the Committee's </w:t>
      </w:r>
      <w:r w:rsidR="000F2591">
        <w:rPr>
          <w:rFonts w:cs="Arial"/>
          <w:sz w:val="20"/>
          <w:szCs w:val="20"/>
        </w:rPr>
        <w:t>decision to</w:t>
      </w:r>
      <w:r>
        <w:rPr>
          <w:rFonts w:cs="Arial"/>
          <w:sz w:val="20"/>
          <w:szCs w:val="20"/>
        </w:rPr>
        <w:t xml:space="preserve"> reject the probability dataset </w:t>
      </w:r>
      <w:r w:rsidR="000F2591">
        <w:rPr>
          <w:rFonts w:cs="Arial"/>
          <w:sz w:val="20"/>
          <w:szCs w:val="20"/>
        </w:rPr>
        <w:t>is</w:t>
      </w:r>
      <w:r>
        <w:rPr>
          <w:rFonts w:cs="Arial"/>
          <w:sz w:val="20"/>
          <w:szCs w:val="20"/>
        </w:rPr>
        <w:t xml:space="preserve"> unreasonable. </w:t>
      </w:r>
      <w:r w:rsidR="000F2591">
        <w:rPr>
          <w:rFonts w:cs="Arial"/>
          <w:sz w:val="20"/>
          <w:szCs w:val="20"/>
        </w:rPr>
        <w:t>I am reminded of</w:t>
      </w:r>
      <w:r>
        <w:rPr>
          <w:rFonts w:cs="Arial"/>
          <w:sz w:val="20"/>
          <w:szCs w:val="20"/>
        </w:rPr>
        <w:t xml:space="preserve"> the definition of a valid Ground 2 appeal point under the Guide to the technology appraisal and HST appeal process, "</w:t>
      </w:r>
      <w:r w:rsidRPr="004F6D3B">
        <w:rPr>
          <w:rFonts w:cs="Arial"/>
          <w:i/>
          <w:iCs/>
          <w:sz w:val="20"/>
          <w:szCs w:val="20"/>
        </w:rPr>
        <w:t>that the guidance is obviously and unarguably wrong, illogical or "does not add up".</w:t>
      </w:r>
      <w:r>
        <w:rPr>
          <w:rFonts w:cs="Arial"/>
          <w:sz w:val="20"/>
          <w:szCs w:val="20"/>
        </w:rPr>
        <w:t xml:space="preserve"> " </w:t>
      </w:r>
    </w:p>
    <w:p w:rsidR="004F6D3B" w:rsidP="006C5A0C" w:rsidRDefault="004F6D3B" w14:paraId="55D70D4D" w14:textId="536ECEA3">
      <w:pPr>
        <w:pStyle w:val="Paragraph"/>
        <w:numPr>
          <w:ilvl w:val="0"/>
          <w:numId w:val="0"/>
        </w:numPr>
        <w:jc w:val="both"/>
        <w:rPr>
          <w:rFonts w:cs="Arial"/>
          <w:sz w:val="20"/>
          <w:szCs w:val="20"/>
        </w:rPr>
      </w:pPr>
      <w:r>
        <w:rPr>
          <w:rFonts w:cs="Arial"/>
          <w:sz w:val="20"/>
          <w:szCs w:val="20"/>
        </w:rPr>
        <w:t xml:space="preserve">At section 3.10 of the FDG, there is detailed and extensive explanation as to why the Committee has rejected the transition probabilities dataset provided by the Company and considered the pooled data to be more plausible. The fact that the Company and the Committee prefer two different outcomes is not inherently indicative of unreasonableness. I consider that on the face of the FDG, the Committee has put forward plausible reasons for preferring the pooled data, and that there is no arguable unreasonableness. </w:t>
      </w:r>
    </w:p>
    <w:p w:rsidR="004F6D3B" w:rsidP="006C5A0C" w:rsidRDefault="004F6D3B" w14:paraId="239991F7" w14:textId="06DC1DB3">
      <w:pPr>
        <w:pStyle w:val="Paragraph"/>
        <w:numPr>
          <w:ilvl w:val="0"/>
          <w:numId w:val="0"/>
        </w:numPr>
        <w:jc w:val="both"/>
        <w:rPr>
          <w:rFonts w:cs="Arial"/>
          <w:sz w:val="20"/>
          <w:szCs w:val="20"/>
        </w:rPr>
      </w:pPr>
      <w:r>
        <w:rPr>
          <w:rFonts w:cs="Arial"/>
          <w:sz w:val="20"/>
          <w:szCs w:val="20"/>
        </w:rPr>
        <w:t xml:space="preserve">Secondly, </w:t>
      </w:r>
      <w:r w:rsidR="00F301FF">
        <w:rPr>
          <w:rFonts w:cs="Arial"/>
          <w:sz w:val="20"/>
          <w:szCs w:val="20"/>
        </w:rPr>
        <w:t>I have considered whether it was arguably unreasonable for the Committee to have removed the background costs from the non-reference case. Section 3.15 of the FDG concludes that "</w:t>
      </w:r>
      <w:r w:rsidRPr="00F301FF" w:rsidR="00F301FF">
        <w:rPr>
          <w:rFonts w:cs="Arial"/>
          <w:i/>
          <w:iCs/>
          <w:sz w:val="20"/>
          <w:szCs w:val="20"/>
        </w:rPr>
        <w:t>the Committee had not seen any evidence to change its preference that only the reference-case analyses should be used for decision making</w:t>
      </w:r>
      <w:r w:rsidR="00F301FF">
        <w:rPr>
          <w:rFonts w:cs="Arial"/>
          <w:sz w:val="20"/>
          <w:szCs w:val="20"/>
        </w:rPr>
        <w:t xml:space="preserve">".  You will note that the Manual provides at paragraph that in considering both reference and non-reference case, the Committee will consider the following: </w:t>
      </w:r>
    </w:p>
    <w:p w:rsidRPr="00F301FF" w:rsidR="00F301FF" w:rsidP="006C5A0C" w:rsidRDefault="00F301FF" w14:paraId="66525EF1" w14:textId="77777777">
      <w:pPr>
        <w:pStyle w:val="Paragraph"/>
        <w:numPr>
          <w:ilvl w:val="0"/>
          <w:numId w:val="0"/>
        </w:numPr>
        <w:jc w:val="both"/>
        <w:rPr>
          <w:rFonts w:cs="Arial"/>
          <w:i/>
          <w:iCs/>
          <w:sz w:val="20"/>
          <w:szCs w:val="20"/>
        </w:rPr>
      </w:pPr>
      <w:r>
        <w:rPr>
          <w:rFonts w:cs="Arial"/>
          <w:sz w:val="20"/>
          <w:szCs w:val="20"/>
        </w:rPr>
        <w:t>"</w:t>
      </w:r>
      <w:r w:rsidRPr="00F301FF">
        <w:rPr>
          <w:rFonts w:cs="Arial"/>
          <w:i/>
          <w:iCs/>
          <w:sz w:val="20"/>
          <w:szCs w:val="20"/>
        </w:rPr>
        <w:t>The committee will consider in its decision making both the reference-case and non-reference-case analyses, taking into account the nature of the specific circumstances of the evaluation including the population, care pathway and technology, as well as:</w:t>
      </w:r>
    </w:p>
    <w:p w:rsidRPr="00F301FF" w:rsidR="00F301FF" w:rsidP="00F301FF" w:rsidRDefault="00F301FF" w14:paraId="3E48329F" w14:textId="77777777">
      <w:pPr>
        <w:pStyle w:val="Paragraph"/>
        <w:numPr>
          <w:ilvl w:val="0"/>
          <w:numId w:val="37"/>
        </w:numPr>
        <w:jc w:val="both"/>
        <w:rPr>
          <w:rFonts w:cs="Arial"/>
          <w:i/>
          <w:iCs/>
          <w:sz w:val="20"/>
          <w:szCs w:val="20"/>
        </w:rPr>
      </w:pPr>
      <w:r w:rsidRPr="00F301FF">
        <w:rPr>
          <w:rFonts w:cs="Arial"/>
          <w:i/>
          <w:iCs/>
          <w:sz w:val="20"/>
          <w:szCs w:val="20"/>
        </w:rPr>
        <w:t>the extent to which the cost effectiveness of the technology is driven by factors outside its direct costs and benefits</w:t>
      </w:r>
    </w:p>
    <w:p w:rsidRPr="00F301FF" w:rsidR="00F301FF" w:rsidP="00F301FF" w:rsidRDefault="00F301FF" w14:paraId="4390AF07" w14:textId="77777777">
      <w:pPr>
        <w:pStyle w:val="Paragraph"/>
        <w:numPr>
          <w:ilvl w:val="0"/>
          <w:numId w:val="37"/>
        </w:numPr>
        <w:jc w:val="both"/>
        <w:rPr>
          <w:rFonts w:cs="Arial"/>
          <w:i/>
          <w:iCs/>
          <w:sz w:val="20"/>
          <w:szCs w:val="20"/>
        </w:rPr>
      </w:pPr>
      <w:r w:rsidRPr="00F301FF">
        <w:rPr>
          <w:rFonts w:cs="Arial"/>
          <w:i/>
          <w:iCs/>
          <w:sz w:val="20"/>
          <w:szCs w:val="20"/>
        </w:rPr>
        <w:t>if the NHS is already providing care that would not be considered cost effective at NICE's normal levels</w:t>
      </w:r>
    </w:p>
    <w:p w:rsidRPr="00F301FF" w:rsidR="00F301FF" w:rsidP="00F301FF" w:rsidRDefault="00F301FF" w14:paraId="7D18D7AA" w14:textId="77777777">
      <w:pPr>
        <w:pStyle w:val="Paragraph"/>
        <w:numPr>
          <w:ilvl w:val="0"/>
          <w:numId w:val="37"/>
        </w:numPr>
        <w:jc w:val="both"/>
        <w:rPr>
          <w:rFonts w:cs="Arial"/>
          <w:i/>
          <w:iCs/>
          <w:sz w:val="20"/>
          <w:szCs w:val="20"/>
        </w:rPr>
      </w:pPr>
      <w:r w:rsidRPr="00F301FF">
        <w:rPr>
          <w:rFonts w:cs="Arial"/>
          <w:i/>
          <w:iCs/>
          <w:sz w:val="20"/>
          <w:szCs w:val="20"/>
        </w:rPr>
        <w:t>if the high-cost care is separate from direct, intrinsic consequences of the technology (such as a side effect or administration cost)</w:t>
      </w:r>
    </w:p>
    <w:p w:rsidRPr="004F6D3B" w:rsidR="00F301FF" w:rsidP="00F301FF" w:rsidRDefault="00F301FF" w14:paraId="5BE0ED73" w14:textId="57449519">
      <w:pPr>
        <w:pStyle w:val="Paragraph"/>
        <w:numPr>
          <w:ilvl w:val="0"/>
          <w:numId w:val="37"/>
        </w:numPr>
        <w:jc w:val="both"/>
        <w:rPr>
          <w:rFonts w:cs="Arial"/>
          <w:sz w:val="20"/>
          <w:szCs w:val="20"/>
        </w:rPr>
      </w:pPr>
      <w:r w:rsidRPr="00F301FF">
        <w:rPr>
          <w:rFonts w:cs="Arial"/>
          <w:i/>
          <w:iCs/>
          <w:sz w:val="20"/>
          <w:szCs w:val="20"/>
        </w:rPr>
        <w:t>the extent to which commercial solutions would address the issue</w:t>
      </w:r>
      <w:r w:rsidRPr="00F301FF">
        <w:rPr>
          <w:rFonts w:cs="Arial"/>
          <w:sz w:val="20"/>
          <w:szCs w:val="20"/>
        </w:rPr>
        <w:t>.</w:t>
      </w:r>
      <w:r>
        <w:rPr>
          <w:rFonts w:cs="Arial"/>
          <w:sz w:val="20"/>
          <w:szCs w:val="20"/>
        </w:rPr>
        <w:t>"</w:t>
      </w:r>
    </w:p>
    <w:p w:rsidRPr="00F301FF" w:rsidR="006620DC" w:rsidP="00491045" w:rsidRDefault="00F301FF" w14:paraId="0064C2F4" w14:textId="7A95A057">
      <w:pPr>
        <w:pStyle w:val="BodyText"/>
        <w:jc w:val="both"/>
        <w:rPr>
          <w:rFonts w:cs="Arial"/>
          <w:color w:val="auto"/>
        </w:rPr>
      </w:pPr>
      <w:r w:rsidRPr="00F301FF">
        <w:rPr>
          <w:rFonts w:cs="Arial"/>
          <w:color w:val="auto"/>
        </w:rPr>
        <w:t xml:space="preserve">I </w:t>
      </w:r>
      <w:r w:rsidR="000F2591">
        <w:rPr>
          <w:rFonts w:cs="Arial"/>
          <w:color w:val="auto"/>
        </w:rPr>
        <w:t xml:space="preserve">note that the Committee considered the removal of background costs in the FDG and reached a reasoned conclusion.  I also note in passing that background costs do not appear to have been removed in the previous appraisal on this topic.  Whilst I am not currently minded to refer this appeal point to the Appeal Panel, I </w:t>
      </w:r>
      <w:r w:rsidRPr="00F301FF">
        <w:rPr>
          <w:rFonts w:cs="Arial"/>
          <w:color w:val="auto"/>
        </w:rPr>
        <w:t xml:space="preserve">would invite the Company to explain </w:t>
      </w:r>
      <w:r w:rsidR="000F2591">
        <w:rPr>
          <w:rFonts w:cs="Arial"/>
          <w:color w:val="auto"/>
        </w:rPr>
        <w:t xml:space="preserve">in </w:t>
      </w:r>
      <w:r w:rsidRPr="00F301FF">
        <w:rPr>
          <w:rFonts w:cs="Arial"/>
          <w:color w:val="auto"/>
        </w:rPr>
        <w:t xml:space="preserve">its response to this letter </w:t>
      </w:r>
      <w:r w:rsidR="000F2591">
        <w:rPr>
          <w:rFonts w:cs="Arial"/>
          <w:color w:val="auto"/>
        </w:rPr>
        <w:t xml:space="preserve">which of the above </w:t>
      </w:r>
      <w:r w:rsidRPr="00F301FF">
        <w:rPr>
          <w:rFonts w:cs="Arial"/>
          <w:color w:val="auto"/>
        </w:rPr>
        <w:t xml:space="preserve">factors </w:t>
      </w:r>
      <w:r w:rsidR="000F2591">
        <w:rPr>
          <w:rFonts w:cs="Arial"/>
          <w:color w:val="auto"/>
        </w:rPr>
        <w:t xml:space="preserve">it considers the Committee failed to take </w:t>
      </w:r>
      <w:r w:rsidRPr="00F301FF">
        <w:rPr>
          <w:rFonts w:cs="Arial"/>
          <w:color w:val="auto"/>
        </w:rPr>
        <w:t xml:space="preserve">into account in deciding to prefer the reference case (which I note is the default position absent good reason to adopt the non-reference case). </w:t>
      </w:r>
    </w:p>
    <w:p w:rsidRPr="00C31456" w:rsidR="007E4EDC" w:rsidP="00623213" w:rsidRDefault="007E4EDC" w14:paraId="4AE6A487" w14:textId="6BDD7B15">
      <w:pPr>
        <w:pStyle w:val="Paragraph"/>
        <w:numPr>
          <w:ilvl w:val="0"/>
          <w:numId w:val="0"/>
        </w:numPr>
        <w:jc w:val="both"/>
        <w:rPr>
          <w:rFonts w:cs="Arial"/>
          <w:sz w:val="20"/>
          <w:szCs w:val="20"/>
          <w:u w:val="single"/>
          <w:lang w:eastAsia="en-US"/>
        </w:rPr>
      </w:pPr>
      <w:r w:rsidRPr="00C31456">
        <w:rPr>
          <w:rFonts w:cs="Arial"/>
          <w:sz w:val="20"/>
          <w:szCs w:val="20"/>
          <w:u w:val="single"/>
          <w:lang w:eastAsia="en-US"/>
        </w:rPr>
        <w:t xml:space="preserve">Conclusion </w:t>
      </w:r>
    </w:p>
    <w:p w:rsidRPr="00C31456" w:rsidR="00613CE8" w:rsidP="00613CE8" w:rsidRDefault="00613CE8" w14:paraId="259A7A09" w14:textId="014B2135">
      <w:pPr>
        <w:pStyle w:val="Paragraph"/>
        <w:numPr>
          <w:ilvl w:val="0"/>
          <w:numId w:val="0"/>
        </w:numPr>
        <w:spacing w:before="120"/>
        <w:jc w:val="both"/>
        <w:rPr>
          <w:rFonts w:cs="Arial"/>
          <w:sz w:val="20"/>
          <w:szCs w:val="20"/>
          <w:lang w:eastAsia="en-US"/>
        </w:rPr>
      </w:pPr>
      <w:r w:rsidRPr="00C31456">
        <w:rPr>
          <w:rFonts w:cs="Arial"/>
          <w:sz w:val="20"/>
          <w:szCs w:val="20"/>
          <w:lang w:eastAsia="en-US"/>
        </w:rPr>
        <w:t xml:space="preserve">The above sets out my initial views on </w:t>
      </w:r>
      <w:proofErr w:type="gramStart"/>
      <w:r w:rsidRPr="00C31456">
        <w:rPr>
          <w:rFonts w:cs="Arial"/>
          <w:sz w:val="20"/>
          <w:szCs w:val="20"/>
          <w:lang w:eastAsia="en-US"/>
        </w:rPr>
        <w:t>all of</w:t>
      </w:r>
      <w:proofErr w:type="gramEnd"/>
      <w:r w:rsidRPr="00C31456">
        <w:rPr>
          <w:rFonts w:cs="Arial"/>
          <w:sz w:val="20"/>
          <w:szCs w:val="20"/>
          <w:lang w:eastAsia="en-US"/>
        </w:rPr>
        <w:t xml:space="preserve"> your appeal points.</w:t>
      </w:r>
    </w:p>
    <w:p w:rsidRPr="00C31456" w:rsidR="00613CE8" w:rsidP="00613CE8" w:rsidRDefault="00613CE8" w14:paraId="324863C4" w14:textId="1BCE2A4D">
      <w:pPr>
        <w:pStyle w:val="Paragraph"/>
        <w:numPr>
          <w:ilvl w:val="0"/>
          <w:numId w:val="0"/>
        </w:numPr>
        <w:spacing w:before="120"/>
        <w:jc w:val="both"/>
        <w:rPr>
          <w:rFonts w:cs="Arial"/>
          <w:sz w:val="20"/>
          <w:szCs w:val="20"/>
          <w:lang w:eastAsia="en-US"/>
        </w:rPr>
      </w:pPr>
      <w:r w:rsidRPr="66800DAA" w:rsidR="00613CE8">
        <w:rPr>
          <w:rFonts w:cs="Arial"/>
          <w:sz w:val="20"/>
          <w:szCs w:val="20"/>
          <w:lang w:eastAsia="en-US"/>
        </w:rPr>
        <w:t xml:space="preserve">In respect of your points which I am not minded </w:t>
      </w:r>
      <w:r w:rsidRPr="66800DAA" w:rsidR="00613CE8">
        <w:rPr>
          <w:rFonts w:cs="Arial"/>
          <w:sz w:val="20"/>
          <w:szCs w:val="20"/>
          <w:lang w:eastAsia="en-US"/>
        </w:rPr>
        <w:t>to refer</w:t>
      </w:r>
      <w:r w:rsidRPr="66800DAA" w:rsidR="00613CE8">
        <w:rPr>
          <w:rFonts w:cs="Arial"/>
          <w:sz w:val="20"/>
          <w:szCs w:val="20"/>
          <w:lang w:eastAsia="en-US"/>
        </w:rPr>
        <w:t xml:space="preserve"> on you are entitled to </w:t>
      </w:r>
      <w:r w:rsidRPr="66800DAA" w:rsidR="00613CE8">
        <w:rPr>
          <w:rFonts w:cs="Arial"/>
          <w:sz w:val="20"/>
          <w:szCs w:val="20"/>
          <w:lang w:eastAsia="en-US"/>
        </w:rPr>
        <w:t>submit</w:t>
      </w:r>
      <w:r w:rsidRPr="66800DAA" w:rsidR="00613CE8">
        <w:rPr>
          <w:rFonts w:cs="Arial"/>
          <w:sz w:val="20"/>
          <w:szCs w:val="20"/>
          <w:lang w:eastAsia="en-US"/>
        </w:rPr>
        <w:t xml:space="preserve"> further clarification and/or evidence to me within the next 10 working days, and I will then give a final decision on the points to put before an appeal panel</w:t>
      </w:r>
      <w:r w:rsidRPr="66800DAA" w:rsidR="00613CE8">
        <w:rPr>
          <w:rFonts w:cs="Arial"/>
          <w:sz w:val="20"/>
          <w:szCs w:val="20"/>
          <w:lang w:eastAsia="en-US"/>
        </w:rPr>
        <w:t xml:space="preserve">.  </w:t>
      </w:r>
      <w:r w:rsidRPr="66800DAA" w:rsidR="00613CE8">
        <w:rPr>
          <w:rFonts w:cs="Arial"/>
          <w:sz w:val="20"/>
          <w:szCs w:val="20"/>
          <w:lang w:eastAsia="en-US"/>
        </w:rPr>
        <w:t xml:space="preserve">Responses must deal only with requested clarifications, or arguments or comments about the lead non-executive director for appeals' </w:t>
      </w:r>
      <w:r w:rsidRPr="66800DAA" w:rsidR="00613CE8">
        <w:rPr>
          <w:rFonts w:cs="Arial"/>
          <w:sz w:val="20"/>
          <w:szCs w:val="20"/>
          <w:lang w:eastAsia="en-US"/>
        </w:rPr>
        <w:t>initial</w:t>
      </w:r>
      <w:r w:rsidRPr="66800DAA" w:rsidR="00613CE8">
        <w:rPr>
          <w:rFonts w:cs="Arial"/>
          <w:sz w:val="20"/>
          <w:szCs w:val="20"/>
          <w:lang w:eastAsia="en-US"/>
        </w:rPr>
        <w:t xml:space="preserve"> view that an appeal point is not valid. </w:t>
      </w:r>
    </w:p>
    <w:p w:rsidRPr="00C31456" w:rsidR="00613CE8" w:rsidP="00613CE8" w:rsidRDefault="00613CE8" w14:paraId="1E282E65" w14:textId="66C81CF1">
      <w:pPr>
        <w:pStyle w:val="Paragraph"/>
        <w:numPr>
          <w:ilvl w:val="0"/>
          <w:numId w:val="0"/>
        </w:numPr>
        <w:spacing w:before="120"/>
        <w:jc w:val="both"/>
        <w:rPr>
          <w:rFonts w:cs="Arial"/>
          <w:sz w:val="20"/>
          <w:szCs w:val="20"/>
        </w:rPr>
      </w:pPr>
      <w:r w:rsidRPr="00C31456">
        <w:rPr>
          <w:rFonts w:cs="Arial"/>
          <w:sz w:val="20"/>
          <w:szCs w:val="20"/>
          <w:lang w:eastAsia="en-US"/>
        </w:rPr>
        <w:t xml:space="preserve">Once I have made my final decision, and where there is more than one appellant, each appellant will receive the valid appeal points of the other appellants and their redacted appeal letter. This is to enable appellants to avoid duplication at the hearing where there are overlapping appeal points. If the appeal letter and/or responses to scrutiny contain confidential </w:t>
      </w:r>
      <w:proofErr w:type="gramStart"/>
      <w:r w:rsidRPr="00C31456">
        <w:rPr>
          <w:rFonts w:cs="Arial"/>
          <w:sz w:val="20"/>
          <w:szCs w:val="20"/>
          <w:lang w:eastAsia="en-US"/>
        </w:rPr>
        <w:t>information</w:t>
      </w:r>
      <w:proofErr w:type="gramEnd"/>
      <w:r w:rsidRPr="00C31456">
        <w:rPr>
          <w:rFonts w:cs="Arial"/>
          <w:sz w:val="20"/>
          <w:szCs w:val="20"/>
        </w:rPr>
        <w:t xml:space="preserve"> please ensure you have provided a version with this information redacted by</w:t>
      </w:r>
      <w:r w:rsidR="007B0305">
        <w:rPr>
          <w:rFonts w:cs="Arial"/>
          <w:sz w:val="20"/>
          <w:szCs w:val="20"/>
        </w:rPr>
        <w:t xml:space="preserve"> 26 September 2025.</w:t>
      </w:r>
    </w:p>
    <w:p w:rsidRPr="00C31456" w:rsidR="00613CE8" w:rsidP="00613CE8" w:rsidRDefault="00613CE8" w14:paraId="0688AA84" w14:textId="6ED754DC">
      <w:pPr>
        <w:pStyle w:val="Paragraph"/>
        <w:numPr>
          <w:ilvl w:val="0"/>
          <w:numId w:val="0"/>
        </w:numPr>
        <w:spacing w:before="120"/>
        <w:jc w:val="both"/>
        <w:rPr>
          <w:rFonts w:cs="Arial"/>
          <w:sz w:val="20"/>
          <w:szCs w:val="20"/>
        </w:rPr>
      </w:pPr>
      <w:r w:rsidRPr="00C31456">
        <w:rPr>
          <w:rFonts w:cs="Arial"/>
          <w:sz w:val="20"/>
          <w:szCs w:val="20"/>
        </w:rPr>
        <w:t xml:space="preserve">Ordinarily appeals are conducted </w:t>
      </w:r>
      <w:proofErr w:type="gramStart"/>
      <w:r w:rsidRPr="00C31456">
        <w:rPr>
          <w:rFonts w:cs="Arial"/>
          <w:sz w:val="20"/>
          <w:szCs w:val="20"/>
        </w:rPr>
        <w:t>on the basis of</w:t>
      </w:r>
      <w:proofErr w:type="gramEnd"/>
      <w:r w:rsidRPr="00C31456">
        <w:rPr>
          <w:rFonts w:cs="Arial"/>
          <w:sz w:val="20"/>
          <w:szCs w:val="20"/>
        </w:rPr>
        <w:t xml:space="preserve"> the appellants’ written appeal letters, and the material generated during the appraisal process.  Use of additional written material is discouraged, and the panel cannot receive any new evidence.  If, exceptionally, you feel there is written material that will not be before the panel that you would wish to rely on you must let the NICE Appeal team know by return of letter, indicating what the material is, why it is desirable to submit it, and when it will be available, by no later than</w:t>
      </w:r>
      <w:r w:rsidR="00711BFD">
        <w:rPr>
          <w:rFonts w:cs="Arial"/>
          <w:sz w:val="20"/>
          <w:szCs w:val="20"/>
        </w:rPr>
        <w:t xml:space="preserve"> 4 November 2025</w:t>
      </w:r>
      <w:r w:rsidRPr="00C31456">
        <w:rPr>
          <w:rFonts w:cs="Arial"/>
          <w:sz w:val="20"/>
          <w:szCs w:val="20"/>
        </w:rPr>
        <w:t>.  Please note that the appeal panel cannot accept papers that are tabled late or ad hoc, as this affects the preparation of the panel and other parties for the appeal.</w:t>
      </w:r>
    </w:p>
    <w:p w:rsidRPr="00C31456" w:rsidR="00613CE8" w:rsidP="00613CE8" w:rsidRDefault="00613CE8" w14:paraId="44024AEB" w14:textId="77777777">
      <w:pPr>
        <w:jc w:val="both"/>
        <w:rPr>
          <w:rFonts w:cs="Arial"/>
          <w:color w:val="auto"/>
        </w:rPr>
      </w:pPr>
      <w:r w:rsidRPr="00C31456">
        <w:rPr>
          <w:rFonts w:cs="Arial"/>
          <w:color w:val="auto"/>
        </w:rPr>
        <w:t>Yours sincerely</w:t>
      </w:r>
    </w:p>
    <w:p w:rsidR="00434744" w:rsidP="3FBB4020" w:rsidRDefault="00434744" w14:paraId="2700DF5B" w14:textId="06EEC9A0">
      <w:pPr>
        <w:pStyle w:val="Normal"/>
        <w:suppressLineNumbers w:val="0"/>
        <w:bidi w:val="0"/>
        <w:spacing w:before="0" w:beforeAutospacing="off" w:after="200" w:afterAutospacing="off" w:line="288" w:lineRule="auto"/>
        <w:ind w:left="0" w:right="0"/>
        <w:jc w:val="both"/>
        <w:rPr>
          <w:color w:val="auto"/>
          <w:highlight w:val="black"/>
        </w:rPr>
      </w:pPr>
      <w:r w:rsidRPr="3FBB4020" w:rsidR="19BA7D30">
        <w:rPr>
          <w:color w:val="auto"/>
          <w:highlight w:val="black"/>
        </w:rPr>
        <w:t>XXXXXXXXXXXXXXX</w:t>
      </w:r>
    </w:p>
    <w:p w:rsidRPr="00C31456" w:rsidR="00613CE8" w:rsidP="00434744" w:rsidRDefault="00875A45" w14:paraId="6785728F" w14:textId="0C7BC7A8">
      <w:pPr>
        <w:jc w:val="both"/>
        <w:rPr>
          <w:rFonts w:cs="Arial"/>
          <w:color w:val="auto"/>
        </w:rPr>
      </w:pPr>
      <w:r>
        <w:rPr>
          <w:rFonts w:cs="Arial"/>
          <w:color w:val="auto"/>
        </w:rPr>
        <w:t>Dr Mark Chakravarty</w:t>
      </w:r>
    </w:p>
    <w:p w:rsidRPr="00C31456" w:rsidR="00613CE8" w:rsidP="00613CE8" w:rsidRDefault="00875A45" w14:paraId="0588C340" w14:textId="700832FE">
      <w:pPr>
        <w:spacing w:line="360" w:lineRule="auto"/>
        <w:jc w:val="both"/>
        <w:rPr>
          <w:rFonts w:cs="Arial"/>
          <w:color w:val="auto"/>
        </w:rPr>
      </w:pPr>
      <w:r>
        <w:rPr>
          <w:rFonts w:cs="Arial"/>
          <w:color w:val="auto"/>
        </w:rPr>
        <w:t>Lead Non-Executive Director for Appeals</w:t>
      </w:r>
    </w:p>
    <w:p w:rsidRPr="00C31456" w:rsidR="00613CE8" w:rsidP="00613CE8" w:rsidRDefault="00613CE8" w14:paraId="6AB725EB" w14:textId="77777777">
      <w:pPr>
        <w:spacing w:line="360" w:lineRule="auto"/>
        <w:jc w:val="both"/>
        <w:rPr>
          <w:rFonts w:cs="Arial"/>
          <w:color w:val="auto"/>
        </w:rPr>
      </w:pPr>
      <w:r w:rsidRPr="00C31456">
        <w:rPr>
          <w:rFonts w:cs="Arial"/>
          <w:color w:val="auto"/>
        </w:rPr>
        <w:t>National Institute for Health and Care Excellence</w:t>
      </w:r>
    </w:p>
    <w:p w:rsidRPr="00C31456" w:rsidR="00613CE8" w:rsidP="00613CE8" w:rsidRDefault="00613CE8" w14:paraId="0F36A701" w14:textId="77777777">
      <w:pPr>
        <w:jc w:val="both"/>
        <w:rPr>
          <w:rFonts w:cs="Arial"/>
          <w:color w:val="auto"/>
        </w:rPr>
      </w:pPr>
    </w:p>
    <w:p w:rsidRPr="00C31456" w:rsidR="00613CE8" w:rsidP="00613CE8" w:rsidRDefault="00613CE8" w14:paraId="3EB183CA" w14:textId="77777777">
      <w:pPr>
        <w:jc w:val="both"/>
        <w:rPr>
          <w:rFonts w:cs="Arial"/>
          <w:color w:val="auto"/>
        </w:rPr>
      </w:pPr>
    </w:p>
    <w:p w:rsidRPr="00DD7697" w:rsidR="002B21D4" w:rsidP="00613CE8" w:rsidRDefault="002B21D4" w14:paraId="0C61E456" w14:textId="77777777">
      <w:pPr>
        <w:pStyle w:val="Paragraph"/>
        <w:numPr>
          <w:ilvl w:val="0"/>
          <w:numId w:val="0"/>
        </w:numPr>
        <w:spacing w:before="120"/>
        <w:jc w:val="both"/>
        <w:rPr>
          <w:rFonts w:cs="Arial"/>
        </w:rPr>
      </w:pPr>
    </w:p>
    <w:sectPr w:rsidRPr="00DD7697" w:rsidR="002B21D4" w:rsidSect="003835C1">
      <w:headerReference w:type="even" r:id="rId12"/>
      <w:headerReference w:type="default" r:id="rId13"/>
      <w:footerReference w:type="even" r:id="rId14"/>
      <w:footerReference w:type="default" r:id="rId15"/>
      <w:headerReference w:type="first" r:id="rId16"/>
      <w:footerReference w:type="first" r:id="rId17"/>
      <w:pgSz w:w="11907" w:h="16840" w:orient="portrait" w:code="9"/>
      <w:pgMar w:top="1848" w:right="1418" w:bottom="1418" w:left="1418" w:header="113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18F2" w:rsidRDefault="007A18F2" w14:paraId="35F9E2A3" w14:textId="77777777">
      <w:r>
        <w:separator/>
      </w:r>
    </w:p>
  </w:endnote>
  <w:endnote w:type="continuationSeparator" w:id="0">
    <w:p w:rsidR="007A18F2" w:rsidRDefault="007A18F2" w14:paraId="7BEAFF5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5C" w:rsidRDefault="00A4155C" w14:paraId="0EECDD2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10C0E" w:rsidR="00E308B8" w:rsidP="00832D34" w:rsidRDefault="00E308B8" w14:paraId="783FA69C" w14:textId="3A8305C2">
    <w:pPr>
      <w:pStyle w:val="Footer"/>
      <w:tabs>
        <w:tab w:val="clear" w:pos="4153"/>
        <w:tab w:val="clear" w:pos="8306"/>
        <w:tab w:val="center" w:pos="4536"/>
        <w:tab w:val="right" w:pos="9072"/>
      </w:tabs>
      <w:spacing w:line="240" w:lineRule="auto"/>
      <w:rPr>
        <w:color w:val="808080"/>
        <w:sz w:val="18"/>
        <w:szCs w:val="18"/>
      </w:rPr>
    </w:pPr>
    <w:r>
      <w:rPr>
        <w:rStyle w:val="PageNumber"/>
        <w:color w:val="808080"/>
        <w:szCs w:val="18"/>
      </w:rPr>
      <w:tab/>
    </w:r>
    <w:r>
      <w:rPr>
        <w:rStyle w:val="PageNumber"/>
        <w:color w:val="808080"/>
        <w:szCs w:val="18"/>
      </w:rPr>
      <w:tab/>
    </w:r>
    <w:r w:rsidRPr="00E10C0E">
      <w:rPr>
        <w:rStyle w:val="PageNumber"/>
        <w:color w:val="808080"/>
        <w:szCs w:val="18"/>
      </w:rPr>
      <w:t xml:space="preserve">Page </w:t>
    </w:r>
    <w:r w:rsidRPr="00E10C0E">
      <w:rPr>
        <w:rStyle w:val="PageNumber"/>
        <w:bCs/>
        <w:color w:val="808080"/>
        <w:szCs w:val="18"/>
      </w:rPr>
      <w:fldChar w:fldCharType="begin"/>
    </w:r>
    <w:r w:rsidRPr="00E10C0E">
      <w:rPr>
        <w:rStyle w:val="PageNumber"/>
        <w:bCs/>
        <w:color w:val="808080"/>
        <w:szCs w:val="18"/>
      </w:rPr>
      <w:instrText xml:space="preserve"> PAGE </w:instrText>
    </w:r>
    <w:r w:rsidRPr="00E10C0E">
      <w:rPr>
        <w:rStyle w:val="PageNumber"/>
        <w:bCs/>
        <w:color w:val="808080"/>
        <w:szCs w:val="18"/>
      </w:rPr>
      <w:fldChar w:fldCharType="separate"/>
    </w:r>
    <w:r w:rsidR="00811421">
      <w:rPr>
        <w:rStyle w:val="PageNumber"/>
        <w:bCs/>
        <w:noProof/>
        <w:color w:val="808080"/>
        <w:szCs w:val="18"/>
      </w:rPr>
      <w:t>2</w:t>
    </w:r>
    <w:r w:rsidRPr="00E10C0E">
      <w:rPr>
        <w:rStyle w:val="PageNumber"/>
        <w:bCs/>
        <w:color w:val="808080"/>
        <w:szCs w:val="18"/>
      </w:rPr>
      <w:fldChar w:fldCharType="end"/>
    </w:r>
    <w:r w:rsidRPr="00E10C0E">
      <w:rPr>
        <w:rStyle w:val="PageNumber"/>
        <w:color w:val="808080"/>
        <w:szCs w:val="18"/>
      </w:rPr>
      <w:t xml:space="preserve"> of </w:t>
    </w:r>
    <w:r w:rsidRPr="00E10C0E">
      <w:rPr>
        <w:rStyle w:val="PageNumber"/>
        <w:b/>
        <w:color w:val="808080"/>
        <w:szCs w:val="18"/>
      </w:rPr>
      <w:fldChar w:fldCharType="begin"/>
    </w:r>
    <w:r w:rsidRPr="00E10C0E">
      <w:rPr>
        <w:rStyle w:val="PageNumber"/>
        <w:b/>
        <w:color w:val="808080"/>
        <w:szCs w:val="18"/>
      </w:rPr>
      <w:instrText xml:space="preserve"> NUMPAGES  \* MERGEFORMAT </w:instrText>
    </w:r>
    <w:r w:rsidRPr="00E10C0E">
      <w:rPr>
        <w:rStyle w:val="PageNumber"/>
        <w:b/>
        <w:color w:val="808080"/>
        <w:szCs w:val="18"/>
      </w:rPr>
      <w:fldChar w:fldCharType="separate"/>
    </w:r>
    <w:r w:rsidRPr="00811421" w:rsidR="00811421">
      <w:rPr>
        <w:rStyle w:val="PageNumber"/>
        <w:noProof/>
        <w:color w:val="808080"/>
        <w:szCs w:val="18"/>
      </w:rPr>
      <w:t>2</w:t>
    </w:r>
    <w:r w:rsidRPr="00E10C0E">
      <w:rPr>
        <w:rStyle w:val="PageNumber"/>
        <w:b/>
        <w:color w:val="80808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32D34" w:rsidR="00E308B8" w:rsidP="00EF043B" w:rsidRDefault="00811421" w14:paraId="21A9013B" w14:textId="0A4FBAFA">
    <w:pPr>
      <w:pStyle w:val="Footer"/>
      <w:tabs>
        <w:tab w:val="clear" w:pos="4153"/>
        <w:tab w:val="clear" w:pos="8306"/>
        <w:tab w:val="left" w:pos="0"/>
        <w:tab w:val="center" w:pos="4536"/>
        <w:tab w:val="right" w:pos="9072"/>
      </w:tabs>
      <w:spacing w:line="240" w:lineRule="auto"/>
      <w:jc w:val="right"/>
      <w:rPr>
        <w:color w:val="808080"/>
        <w:sz w:val="18"/>
        <w:szCs w:val="18"/>
      </w:rPr>
    </w:pPr>
    <w:r>
      <w:rPr>
        <w:noProof/>
        <w:lang w:eastAsia="en-GB"/>
      </w:rPr>
      <w:drawing>
        <wp:anchor distT="0" distB="0" distL="114300" distR="114300" simplePos="0" relativeHeight="251658241" behindDoc="0" locked="0" layoutInCell="1" allowOverlap="1" wp14:anchorId="762011F8" wp14:editId="211A3AF0">
          <wp:simplePos x="0" y="0"/>
          <wp:positionH relativeFrom="margin">
            <wp:align>center</wp:align>
          </wp:positionH>
          <wp:positionV relativeFrom="margin">
            <wp:posOffset>7708265</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r w:rsidRPr="00832D34" w:rsidR="00E308B8">
      <w:rPr>
        <w:color w:val="808080"/>
        <w:sz w:val="18"/>
        <w:szCs w:val="18"/>
      </w:rPr>
      <w:fldChar w:fldCharType="begin"/>
    </w:r>
    <w:r w:rsidRPr="00832D34" w:rsidR="00E308B8">
      <w:rPr>
        <w:color w:val="808080"/>
        <w:sz w:val="18"/>
        <w:szCs w:val="18"/>
      </w:rPr>
      <w:instrText xml:space="preserve"> FILENAME \* Upper </w:instrText>
    </w:r>
    <w:r w:rsidRPr="00832D34" w:rsidR="00E308B8">
      <w:rPr>
        <w:color w:val="808080"/>
        <w:sz w:val="18"/>
        <w:szCs w:val="18"/>
      </w:rPr>
      <w:fldChar w:fldCharType="separate"/>
    </w:r>
    <w:r w:rsidR="00E308B8">
      <w:rPr>
        <w:noProof/>
        <w:color w:val="808080"/>
        <w:sz w:val="18"/>
        <w:szCs w:val="18"/>
      </w:rPr>
      <w:t>DOCUMENT3</w:t>
    </w:r>
    <w:r w:rsidRPr="00832D34" w:rsidR="00E308B8">
      <w:rPr>
        <w:color w:val="808080"/>
        <w:sz w:val="18"/>
        <w:szCs w:val="18"/>
      </w:rPr>
      <w:fldChar w:fldCharType="end"/>
    </w:r>
    <w:r w:rsidR="00E308B8">
      <w:rPr>
        <w:snapToGrid w:val="0"/>
        <w:color w:val="808080"/>
        <w:sz w:val="18"/>
        <w:szCs w:val="18"/>
      </w:rPr>
      <w:tab/>
    </w:r>
    <w:r w:rsidR="00E308B8">
      <w:rPr>
        <w:snapToGrid w:val="0"/>
        <w:color w:val="808080"/>
        <w:sz w:val="18"/>
        <w:szCs w:val="18"/>
      </w:rPr>
      <w:tab/>
    </w:r>
    <w:r w:rsidRPr="00EF043B" w:rsidR="00E308B8">
      <w:rPr>
        <w:snapToGrid w:val="0"/>
        <w:color w:val="808080"/>
        <w:sz w:val="18"/>
        <w:szCs w:val="18"/>
      </w:rPr>
      <w:t xml:space="preserve">Page </w:t>
    </w:r>
    <w:r w:rsidRPr="00EF043B" w:rsidR="00E308B8">
      <w:rPr>
        <w:snapToGrid w:val="0"/>
        <w:color w:val="808080"/>
        <w:sz w:val="18"/>
        <w:szCs w:val="18"/>
      </w:rPr>
      <w:fldChar w:fldCharType="begin"/>
    </w:r>
    <w:r w:rsidRPr="00EF043B" w:rsidR="00E308B8">
      <w:rPr>
        <w:snapToGrid w:val="0"/>
        <w:color w:val="808080"/>
        <w:sz w:val="18"/>
        <w:szCs w:val="18"/>
      </w:rPr>
      <w:instrText xml:space="preserve"> PAGE </w:instrText>
    </w:r>
    <w:r w:rsidRPr="00EF043B" w:rsidR="00E308B8">
      <w:rPr>
        <w:snapToGrid w:val="0"/>
        <w:color w:val="808080"/>
        <w:sz w:val="18"/>
        <w:szCs w:val="18"/>
      </w:rPr>
      <w:fldChar w:fldCharType="separate"/>
    </w:r>
    <w:r>
      <w:rPr>
        <w:noProof/>
        <w:snapToGrid w:val="0"/>
        <w:color w:val="808080"/>
        <w:sz w:val="18"/>
        <w:szCs w:val="18"/>
      </w:rPr>
      <w:t>1</w:t>
    </w:r>
    <w:r w:rsidRPr="00EF043B" w:rsidR="00E308B8">
      <w:rPr>
        <w:snapToGrid w:val="0"/>
        <w:color w:val="808080"/>
        <w:sz w:val="18"/>
        <w:szCs w:val="18"/>
      </w:rPr>
      <w:fldChar w:fldCharType="end"/>
    </w:r>
    <w:r w:rsidRPr="00EF043B" w:rsidR="00E308B8">
      <w:rPr>
        <w:snapToGrid w:val="0"/>
        <w:color w:val="808080"/>
        <w:sz w:val="18"/>
        <w:szCs w:val="18"/>
      </w:rPr>
      <w:t xml:space="preserve"> of </w:t>
    </w:r>
    <w:r w:rsidRPr="00EF043B" w:rsidR="00E308B8">
      <w:rPr>
        <w:snapToGrid w:val="0"/>
        <w:color w:val="808080"/>
        <w:sz w:val="18"/>
        <w:szCs w:val="18"/>
      </w:rPr>
      <w:fldChar w:fldCharType="begin"/>
    </w:r>
    <w:r w:rsidRPr="00EF043B" w:rsidR="00E308B8">
      <w:rPr>
        <w:snapToGrid w:val="0"/>
        <w:color w:val="808080"/>
        <w:sz w:val="18"/>
        <w:szCs w:val="18"/>
      </w:rPr>
      <w:instrText xml:space="preserve"> NUMPAGES </w:instrText>
    </w:r>
    <w:r w:rsidRPr="00EF043B" w:rsidR="00E308B8">
      <w:rPr>
        <w:snapToGrid w:val="0"/>
        <w:color w:val="808080"/>
        <w:sz w:val="18"/>
        <w:szCs w:val="18"/>
      </w:rPr>
      <w:fldChar w:fldCharType="separate"/>
    </w:r>
    <w:r>
      <w:rPr>
        <w:noProof/>
        <w:snapToGrid w:val="0"/>
        <w:color w:val="808080"/>
        <w:sz w:val="18"/>
        <w:szCs w:val="18"/>
      </w:rPr>
      <w:t>2</w:t>
    </w:r>
    <w:r w:rsidRPr="00EF043B" w:rsidR="00E308B8">
      <w:rPr>
        <w:snapToGrid w:val="0"/>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18F2" w:rsidRDefault="007A18F2" w14:paraId="2BE0BEB3" w14:textId="77777777">
      <w:r>
        <w:separator/>
      </w:r>
    </w:p>
  </w:footnote>
  <w:footnote w:type="continuationSeparator" w:id="0">
    <w:p w:rsidR="007A18F2" w:rsidRDefault="007A18F2" w14:paraId="79E6EDD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5C" w:rsidRDefault="00A4155C" w14:paraId="4D0FC95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5C" w:rsidRDefault="00A4155C" w14:paraId="4632970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91045" w:rsidP="00491045" w:rsidRDefault="00491045" w14:paraId="1B913CC1" w14:textId="77777777">
    <w:pPr>
      <w:pStyle w:val="Header"/>
      <w:tabs>
        <w:tab w:val="right" w:pos="10065"/>
      </w:tabs>
      <w:spacing w:after="0"/>
      <w:ind w:right="-1039"/>
      <w:jc w:val="right"/>
      <w:rPr>
        <w:rFonts w:cs="Arial"/>
        <w:color w:val="0E0E0E"/>
      </w:rPr>
    </w:pPr>
    <w:r w:rsidRPr="005E0434">
      <w:rPr>
        <w:noProof/>
        <w:color w:val="0E0E0E"/>
        <w:lang w:eastAsia="en-GB"/>
      </w:rPr>
      <w:drawing>
        <wp:anchor distT="0" distB="0" distL="114300" distR="114300" simplePos="0" relativeHeight="251658240" behindDoc="0" locked="0" layoutInCell="1" allowOverlap="1" wp14:anchorId="334CDC48" wp14:editId="26AB789F">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Pr>
        <w:rFonts w:cs="Arial"/>
        <w:color w:val="0E0E0E"/>
      </w:rPr>
      <w:t>2</w:t>
    </w:r>
    <w:r w:rsidRPr="0003729F">
      <w:rPr>
        <w:rFonts w:cs="Arial"/>
        <w:color w:val="0E0E0E"/>
        <w:vertAlign w:val="superscript"/>
      </w:rPr>
      <w:t>nd</w:t>
    </w:r>
    <w:r>
      <w:rPr>
        <w:rFonts w:cs="Arial"/>
        <w:color w:val="0E0E0E"/>
      </w:rPr>
      <w:t xml:space="preserve"> Floor</w:t>
    </w:r>
  </w:p>
  <w:p w:rsidRPr="005E0434" w:rsidR="00491045" w:rsidP="00491045" w:rsidRDefault="00491045" w14:paraId="2DD48BCF" w14:textId="77777777">
    <w:pPr>
      <w:pStyle w:val="Header"/>
      <w:tabs>
        <w:tab w:val="right" w:pos="10065"/>
      </w:tabs>
      <w:spacing w:after="0"/>
      <w:ind w:right="-1039"/>
      <w:jc w:val="right"/>
      <w:rPr>
        <w:rFonts w:cs="Arial"/>
        <w:color w:val="0E0E0E"/>
      </w:rPr>
    </w:pPr>
    <w:r>
      <w:rPr>
        <w:rFonts w:cs="Arial"/>
        <w:color w:val="0E0E0E"/>
      </w:rPr>
      <w:t>2 Redman Place</w:t>
    </w:r>
  </w:p>
  <w:p w:rsidRPr="005E0434" w:rsidR="00491045" w:rsidP="00491045" w:rsidRDefault="00491045" w14:paraId="4E0459EB" w14:textId="77777777">
    <w:pPr>
      <w:pStyle w:val="Header"/>
      <w:tabs>
        <w:tab w:val="right" w:pos="10065"/>
      </w:tabs>
      <w:spacing w:after="0"/>
      <w:ind w:right="-1039"/>
      <w:jc w:val="right"/>
      <w:rPr>
        <w:rFonts w:cs="Arial"/>
        <w:color w:val="0E0E0E"/>
      </w:rPr>
    </w:pPr>
    <w:r w:rsidRPr="005E0434">
      <w:rPr>
        <w:rFonts w:cs="Arial"/>
        <w:color w:val="0E0E0E"/>
      </w:rPr>
      <w:softHyphen/>
      <w:t>London</w:t>
    </w:r>
  </w:p>
  <w:p w:rsidRPr="005E0434" w:rsidR="00491045" w:rsidP="00491045" w:rsidRDefault="00491045" w14:paraId="17FA5E6C" w14:textId="77777777">
    <w:pPr>
      <w:pStyle w:val="Header"/>
      <w:tabs>
        <w:tab w:val="right" w:pos="10065"/>
      </w:tabs>
      <w:spacing w:after="0"/>
      <w:ind w:right="-1039"/>
      <w:jc w:val="right"/>
      <w:rPr>
        <w:rFonts w:cs="Arial"/>
        <w:color w:val="0E0E0E"/>
      </w:rPr>
    </w:pPr>
    <w:r>
      <w:rPr>
        <w:rFonts w:cs="Arial"/>
        <w:color w:val="0E0E0E"/>
      </w:rPr>
      <w:t>E20 1JQ</w:t>
    </w:r>
  </w:p>
  <w:p w:rsidRPr="005E0434" w:rsidR="00491045" w:rsidP="00491045" w:rsidRDefault="00491045" w14:paraId="7B0504BC" w14:textId="77777777">
    <w:pPr>
      <w:pStyle w:val="Header"/>
      <w:tabs>
        <w:tab w:val="right" w:pos="10065"/>
      </w:tabs>
      <w:spacing w:after="0"/>
      <w:ind w:right="-1039"/>
      <w:jc w:val="right"/>
      <w:rPr>
        <w:rFonts w:cs="Arial"/>
        <w:color w:val="0E0E0E"/>
      </w:rPr>
    </w:pPr>
    <w:r w:rsidRPr="005E0434">
      <w:rPr>
        <w:rFonts w:cs="Arial"/>
        <w:color w:val="0E0E0E"/>
      </w:rPr>
      <w:t>United Kingdom</w:t>
    </w:r>
  </w:p>
  <w:p w:rsidRPr="005E0434" w:rsidR="00491045" w:rsidP="00491045" w:rsidRDefault="00491045" w14:paraId="0A93A6A6" w14:textId="77777777">
    <w:pPr>
      <w:pStyle w:val="Header"/>
      <w:tabs>
        <w:tab w:val="right" w:pos="10065"/>
      </w:tabs>
      <w:spacing w:after="0"/>
      <w:ind w:right="-1039"/>
      <w:jc w:val="right"/>
      <w:rPr>
        <w:rFonts w:cs="Arial"/>
        <w:color w:val="0E0E0E"/>
      </w:rPr>
    </w:pPr>
  </w:p>
  <w:p w:rsidRPr="003A3E2E" w:rsidR="00491045" w:rsidP="00491045" w:rsidRDefault="00491045" w14:paraId="5D6CD5A4" w14:textId="77777777">
    <w:pPr>
      <w:pStyle w:val="Header"/>
      <w:tabs>
        <w:tab w:val="right" w:pos="10065"/>
      </w:tabs>
      <w:spacing w:after="0"/>
      <w:ind w:right="-1039"/>
      <w:jc w:val="right"/>
      <w:rPr>
        <w:rFonts w:ascii="Lato" w:hAnsi="Lato" w:cs="Arial"/>
        <w:color w:val="0E0E0E"/>
      </w:rPr>
    </w:pPr>
    <w:r w:rsidRPr="003A3E2E">
      <w:rPr>
        <w:rFonts w:ascii="Lato" w:hAnsi="Lato" w:cs="Segoe UI"/>
        <w:color w:val="000000"/>
      </w:rPr>
      <w:t>+44 (0)300 323 0140</w:t>
    </w:r>
  </w:p>
  <w:p w:rsidRPr="00491045" w:rsidR="00E308B8" w:rsidP="00491045" w:rsidRDefault="00E308B8" w14:paraId="1C9776DF" w14:textId="21D4BF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352E09"/>
    <w:multiLevelType w:val="hybridMultilevel"/>
    <w:tmpl w:val="D08DC7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C7899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FAD21376"/>
    <w:lvl w:ilvl="0">
      <w:start w:val="1"/>
      <w:numFmt w:val="decimal"/>
      <w:pStyle w:val="Heading1"/>
      <w:lvlText w:val="%1."/>
      <w:legacy w:legacy="1" w:legacySpace="0" w:legacyIndent="708"/>
      <w:lvlJc w:val="left"/>
      <w:pPr>
        <w:ind w:left="720" w:hanging="708"/>
      </w:pPr>
    </w:lvl>
    <w:lvl w:ilvl="1">
      <w:start w:val="1"/>
      <w:numFmt w:val="decimal"/>
      <w:pStyle w:val="Heading2"/>
      <w:lvlText w:val="%1.%2."/>
      <w:legacy w:legacy="1" w:legacySpace="0" w:legacyIndent="708"/>
      <w:lvlJc w:val="left"/>
      <w:pPr>
        <w:ind w:left="1440" w:hanging="708"/>
      </w:pPr>
    </w:lvl>
    <w:lvl w:ilvl="2">
      <w:start w:val="1"/>
      <w:numFmt w:val="decimal"/>
      <w:pStyle w:val="Heading3"/>
      <w:lvlText w:val="%1.%2.%3."/>
      <w:legacy w:legacy="1" w:legacySpace="0" w:legacyIndent="708"/>
      <w:lvlJc w:val="left"/>
      <w:pPr>
        <w:ind w:left="2404" w:hanging="70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egacy w:legacy="1" w:legacySpace="0" w:legacyIndent="708"/>
      <w:lvlJc w:val="left"/>
      <w:pPr>
        <w:ind w:left="3612" w:hanging="70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Heading5"/>
      <w:lvlText w:val="(%5)"/>
      <w:legacy w:legacy="1" w:legacySpace="0" w:legacyIndent="708"/>
      <w:lvlJc w:val="left"/>
      <w:pPr>
        <w:ind w:left="4349" w:hanging="708"/>
      </w:pPr>
    </w:lvl>
    <w:lvl w:ilvl="5">
      <w:start w:val="1"/>
      <w:numFmt w:val="lowerRoman"/>
      <w:pStyle w:val="Heading6"/>
      <w:lvlText w:val="(%6)"/>
      <w:legacy w:legacy="1" w:legacySpace="0" w:legacyIndent="708"/>
      <w:lvlJc w:val="left"/>
      <w:pPr>
        <w:ind w:left="5058" w:hanging="708"/>
      </w:pPr>
    </w:lvl>
    <w:lvl w:ilvl="6">
      <w:start w:val="1"/>
      <w:numFmt w:val="none"/>
      <w:pStyle w:val="Heading7"/>
      <w:lvlText w:val=""/>
      <w:legacy w:legacy="1" w:legacySpace="0" w:legacyIndent="708"/>
      <w:lvlJc w:val="left"/>
      <w:pPr>
        <w:ind w:left="5761" w:hanging="708"/>
      </w:pPr>
      <w:rPr>
        <w:rFonts w:hint="default" w:ascii="Symbol" w:hAnsi="Symbol"/>
      </w:rPr>
    </w:lvl>
    <w:lvl w:ilvl="7">
      <w:start w:val="1"/>
      <w:numFmt w:val="none"/>
      <w:pStyle w:val="Heading8"/>
      <w:lvlText w:val=""/>
      <w:legacy w:legacy="1" w:legacySpace="0" w:legacyIndent="708"/>
      <w:lvlJc w:val="left"/>
      <w:pPr>
        <w:ind w:left="6447" w:hanging="708"/>
      </w:pPr>
      <w:rPr>
        <w:rFonts w:hint="default" w:ascii="Symbol" w:hAnsi="Symbol"/>
      </w:rPr>
    </w:lvl>
    <w:lvl w:ilvl="8">
      <w:start w:val="1"/>
      <w:numFmt w:val="none"/>
      <w:pStyle w:val="Heading9"/>
      <w:lvlText w:val=""/>
      <w:legacy w:legacy="1" w:legacySpace="0" w:legacyIndent="708"/>
      <w:lvlJc w:val="left"/>
      <w:pPr>
        <w:ind w:left="7155" w:hanging="708"/>
      </w:pPr>
      <w:rPr>
        <w:rFonts w:hint="default" w:ascii="Symbol" w:hAnsi="Symbol"/>
      </w:rPr>
    </w:lvl>
  </w:abstractNum>
  <w:abstractNum w:abstractNumId="3" w15:restartNumberingAfterBreak="0">
    <w:nsid w:val="03127FF9"/>
    <w:multiLevelType w:val="hybridMultilevel"/>
    <w:tmpl w:val="ADFE88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9DF3CAE"/>
    <w:multiLevelType w:val="hybridMultilevel"/>
    <w:tmpl w:val="32A2F77E"/>
    <w:lvl w:ilvl="0" w:tplc="A5FC299A">
      <w:start w:val="2"/>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BD159CD"/>
    <w:multiLevelType w:val="hybridMultilevel"/>
    <w:tmpl w:val="343EBF16"/>
    <w:lvl w:ilvl="0" w:tplc="678AA1F2">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DC41087"/>
    <w:multiLevelType w:val="hybridMultilevel"/>
    <w:tmpl w:val="D2ACA6B8"/>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1F4E225A"/>
    <w:multiLevelType w:val="hybridMultilevel"/>
    <w:tmpl w:val="441A1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D0013B"/>
    <w:multiLevelType w:val="hybridMultilevel"/>
    <w:tmpl w:val="523C42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807313"/>
    <w:multiLevelType w:val="hybridMultilevel"/>
    <w:tmpl w:val="99BAE5FA"/>
    <w:lvl w:ilvl="0" w:tplc="247C01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90BB6"/>
    <w:multiLevelType w:val="hybridMultilevel"/>
    <w:tmpl w:val="0F766B3A"/>
    <w:lvl w:ilvl="0" w:tplc="678AA1F2">
      <w:start w:val="30"/>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2974431"/>
    <w:multiLevelType w:val="hybridMultilevel"/>
    <w:tmpl w:val="BE86AE90"/>
    <w:lvl w:ilvl="0" w:tplc="7D0EE0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7E073F"/>
    <w:multiLevelType w:val="hybridMultilevel"/>
    <w:tmpl w:val="FC3AD13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9715A4"/>
    <w:multiLevelType w:val="hybridMultilevel"/>
    <w:tmpl w:val="91C4AE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8E0B7F"/>
    <w:multiLevelType w:val="hybridMultilevel"/>
    <w:tmpl w:val="6158F42E"/>
    <w:lvl w:ilvl="0" w:tplc="A2925542">
      <w:start w:val="3"/>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8246CA6"/>
    <w:multiLevelType w:val="hybridMultilevel"/>
    <w:tmpl w:val="E894F61E"/>
    <w:lvl w:ilvl="0" w:tplc="08090001">
      <w:start w:val="1"/>
      <w:numFmt w:val="bullet"/>
      <w:lvlText w:val=""/>
      <w:lvlJc w:val="left"/>
      <w:pPr>
        <w:ind w:left="1512" w:hanging="360"/>
      </w:pPr>
      <w:rPr>
        <w:rFonts w:hint="default" w:ascii="Symbol" w:hAnsi="Symbol"/>
      </w:rPr>
    </w:lvl>
    <w:lvl w:ilvl="1" w:tplc="08090003" w:tentative="1">
      <w:start w:val="1"/>
      <w:numFmt w:val="bullet"/>
      <w:lvlText w:val="o"/>
      <w:lvlJc w:val="left"/>
      <w:pPr>
        <w:ind w:left="2232" w:hanging="360"/>
      </w:pPr>
      <w:rPr>
        <w:rFonts w:hint="default" w:ascii="Courier New" w:hAnsi="Courier New" w:cs="Courier New"/>
      </w:rPr>
    </w:lvl>
    <w:lvl w:ilvl="2" w:tplc="08090005" w:tentative="1">
      <w:start w:val="1"/>
      <w:numFmt w:val="bullet"/>
      <w:lvlText w:val=""/>
      <w:lvlJc w:val="left"/>
      <w:pPr>
        <w:ind w:left="2952" w:hanging="360"/>
      </w:pPr>
      <w:rPr>
        <w:rFonts w:hint="default" w:ascii="Wingdings" w:hAnsi="Wingdings"/>
      </w:rPr>
    </w:lvl>
    <w:lvl w:ilvl="3" w:tplc="08090001" w:tentative="1">
      <w:start w:val="1"/>
      <w:numFmt w:val="bullet"/>
      <w:lvlText w:val=""/>
      <w:lvlJc w:val="left"/>
      <w:pPr>
        <w:ind w:left="3672" w:hanging="360"/>
      </w:pPr>
      <w:rPr>
        <w:rFonts w:hint="default" w:ascii="Symbol" w:hAnsi="Symbol"/>
      </w:rPr>
    </w:lvl>
    <w:lvl w:ilvl="4" w:tplc="08090003" w:tentative="1">
      <w:start w:val="1"/>
      <w:numFmt w:val="bullet"/>
      <w:lvlText w:val="o"/>
      <w:lvlJc w:val="left"/>
      <w:pPr>
        <w:ind w:left="4392" w:hanging="360"/>
      </w:pPr>
      <w:rPr>
        <w:rFonts w:hint="default" w:ascii="Courier New" w:hAnsi="Courier New" w:cs="Courier New"/>
      </w:rPr>
    </w:lvl>
    <w:lvl w:ilvl="5" w:tplc="08090005" w:tentative="1">
      <w:start w:val="1"/>
      <w:numFmt w:val="bullet"/>
      <w:lvlText w:val=""/>
      <w:lvlJc w:val="left"/>
      <w:pPr>
        <w:ind w:left="5112" w:hanging="360"/>
      </w:pPr>
      <w:rPr>
        <w:rFonts w:hint="default" w:ascii="Wingdings" w:hAnsi="Wingdings"/>
      </w:rPr>
    </w:lvl>
    <w:lvl w:ilvl="6" w:tplc="08090001" w:tentative="1">
      <w:start w:val="1"/>
      <w:numFmt w:val="bullet"/>
      <w:lvlText w:val=""/>
      <w:lvlJc w:val="left"/>
      <w:pPr>
        <w:ind w:left="5832" w:hanging="360"/>
      </w:pPr>
      <w:rPr>
        <w:rFonts w:hint="default" w:ascii="Symbol" w:hAnsi="Symbol"/>
      </w:rPr>
    </w:lvl>
    <w:lvl w:ilvl="7" w:tplc="08090003" w:tentative="1">
      <w:start w:val="1"/>
      <w:numFmt w:val="bullet"/>
      <w:lvlText w:val="o"/>
      <w:lvlJc w:val="left"/>
      <w:pPr>
        <w:ind w:left="6552" w:hanging="360"/>
      </w:pPr>
      <w:rPr>
        <w:rFonts w:hint="default" w:ascii="Courier New" w:hAnsi="Courier New" w:cs="Courier New"/>
      </w:rPr>
    </w:lvl>
    <w:lvl w:ilvl="8" w:tplc="08090005" w:tentative="1">
      <w:start w:val="1"/>
      <w:numFmt w:val="bullet"/>
      <w:lvlText w:val=""/>
      <w:lvlJc w:val="left"/>
      <w:pPr>
        <w:ind w:left="7272" w:hanging="360"/>
      </w:pPr>
      <w:rPr>
        <w:rFonts w:hint="default" w:ascii="Wingdings" w:hAnsi="Wingdings"/>
      </w:rPr>
    </w:lvl>
  </w:abstractNum>
  <w:abstractNum w:abstractNumId="16" w15:restartNumberingAfterBreak="0">
    <w:nsid w:val="3BAE5383"/>
    <w:multiLevelType w:val="hybridMultilevel"/>
    <w:tmpl w:val="20C23D0E"/>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C8632C"/>
    <w:multiLevelType w:val="hybridMultilevel"/>
    <w:tmpl w:val="26E460D6"/>
    <w:lvl w:ilvl="0" w:tplc="A5FC299A">
      <w:start w:val="2"/>
      <w:numFmt w:val="bullet"/>
      <w:lvlText w:val="-"/>
      <w:lvlJc w:val="left"/>
      <w:pPr>
        <w:ind w:left="720" w:hanging="360"/>
      </w:pPr>
      <w:rPr>
        <w:rFonts w:hint="default" w:ascii="Arial" w:hAnsi="Arial" w:eastAsia="Times New Roman" w:cs="Aria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3D037D2"/>
    <w:multiLevelType w:val="hybridMultilevel"/>
    <w:tmpl w:val="5C8A9156"/>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90189A"/>
    <w:multiLevelType w:val="hybridMultilevel"/>
    <w:tmpl w:val="E2E64854"/>
    <w:lvl w:ilvl="0" w:tplc="510A83D8">
      <w:numFmt w:val="bullet"/>
      <w:lvlText w:val=""/>
      <w:lvlJc w:val="left"/>
      <w:pPr>
        <w:ind w:left="502" w:hanging="285"/>
      </w:pPr>
      <w:rPr>
        <w:rFonts w:hint="default" w:ascii="Symbol" w:hAnsi="Symbol" w:eastAsia="Symbol" w:cs="Symbol"/>
        <w:w w:val="100"/>
        <w:sz w:val="24"/>
        <w:szCs w:val="24"/>
      </w:rPr>
    </w:lvl>
    <w:lvl w:ilvl="1" w:tplc="70E68858">
      <w:numFmt w:val="bullet"/>
      <w:lvlText w:val="•"/>
      <w:lvlJc w:val="left"/>
      <w:pPr>
        <w:ind w:left="1326" w:hanging="285"/>
      </w:pPr>
      <w:rPr>
        <w:rFonts w:hint="default"/>
      </w:rPr>
    </w:lvl>
    <w:lvl w:ilvl="2" w:tplc="14A8D234">
      <w:numFmt w:val="bullet"/>
      <w:lvlText w:val="•"/>
      <w:lvlJc w:val="left"/>
      <w:pPr>
        <w:ind w:left="2152" w:hanging="285"/>
      </w:pPr>
      <w:rPr>
        <w:rFonts w:hint="default"/>
      </w:rPr>
    </w:lvl>
    <w:lvl w:ilvl="3" w:tplc="D340D50A">
      <w:numFmt w:val="bullet"/>
      <w:lvlText w:val="•"/>
      <w:lvlJc w:val="left"/>
      <w:pPr>
        <w:ind w:left="2978" w:hanging="285"/>
      </w:pPr>
      <w:rPr>
        <w:rFonts w:hint="default"/>
      </w:rPr>
    </w:lvl>
    <w:lvl w:ilvl="4" w:tplc="91BE99B2">
      <w:numFmt w:val="bullet"/>
      <w:lvlText w:val="•"/>
      <w:lvlJc w:val="left"/>
      <w:pPr>
        <w:ind w:left="3804" w:hanging="285"/>
      </w:pPr>
      <w:rPr>
        <w:rFonts w:hint="default"/>
      </w:rPr>
    </w:lvl>
    <w:lvl w:ilvl="5" w:tplc="E594F0CC">
      <w:numFmt w:val="bullet"/>
      <w:lvlText w:val="•"/>
      <w:lvlJc w:val="left"/>
      <w:pPr>
        <w:ind w:left="4630" w:hanging="285"/>
      </w:pPr>
      <w:rPr>
        <w:rFonts w:hint="default"/>
      </w:rPr>
    </w:lvl>
    <w:lvl w:ilvl="6" w:tplc="7AFA5F86">
      <w:numFmt w:val="bullet"/>
      <w:lvlText w:val="•"/>
      <w:lvlJc w:val="left"/>
      <w:pPr>
        <w:ind w:left="5456" w:hanging="285"/>
      </w:pPr>
      <w:rPr>
        <w:rFonts w:hint="default"/>
      </w:rPr>
    </w:lvl>
    <w:lvl w:ilvl="7" w:tplc="2C2CF4D6">
      <w:numFmt w:val="bullet"/>
      <w:lvlText w:val="•"/>
      <w:lvlJc w:val="left"/>
      <w:pPr>
        <w:ind w:left="6282" w:hanging="285"/>
      </w:pPr>
      <w:rPr>
        <w:rFonts w:hint="default"/>
      </w:rPr>
    </w:lvl>
    <w:lvl w:ilvl="8" w:tplc="75FCA95C">
      <w:numFmt w:val="bullet"/>
      <w:lvlText w:val="•"/>
      <w:lvlJc w:val="left"/>
      <w:pPr>
        <w:ind w:left="7108" w:hanging="285"/>
      </w:pPr>
      <w:rPr>
        <w:rFonts w:hint="default"/>
      </w:rPr>
    </w:lvl>
  </w:abstractNum>
  <w:abstractNum w:abstractNumId="20" w15:restartNumberingAfterBreak="0">
    <w:nsid w:val="44B51828"/>
    <w:multiLevelType w:val="hybridMultilevel"/>
    <w:tmpl w:val="16BC85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33557D"/>
    <w:multiLevelType w:val="hybridMultilevel"/>
    <w:tmpl w:val="DCDC7B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9F10C3"/>
    <w:multiLevelType w:val="hybridMultilevel"/>
    <w:tmpl w:val="30A0EC6A"/>
    <w:lvl w:ilvl="0" w:tplc="E56AB98E">
      <w:numFmt w:val="bullet"/>
      <w:lvlText w:val="•"/>
      <w:lvlJc w:val="left"/>
      <w:pPr>
        <w:ind w:left="420" w:hanging="360"/>
      </w:pPr>
      <w:rPr>
        <w:rFonts w:hint="default" w:ascii="Arial" w:hAnsi="Arial" w:eastAsia="Times New Roman" w:cs="Arial"/>
      </w:rPr>
    </w:lvl>
    <w:lvl w:ilvl="1" w:tplc="08090003" w:tentative="1">
      <w:start w:val="1"/>
      <w:numFmt w:val="bullet"/>
      <w:lvlText w:val="o"/>
      <w:lvlJc w:val="left"/>
      <w:pPr>
        <w:ind w:left="1140" w:hanging="360"/>
      </w:pPr>
      <w:rPr>
        <w:rFonts w:hint="default" w:ascii="Courier New" w:hAnsi="Courier New" w:cs="Courier New"/>
      </w:rPr>
    </w:lvl>
    <w:lvl w:ilvl="2" w:tplc="08090005" w:tentative="1">
      <w:start w:val="1"/>
      <w:numFmt w:val="bullet"/>
      <w:lvlText w:val=""/>
      <w:lvlJc w:val="left"/>
      <w:pPr>
        <w:ind w:left="1860" w:hanging="360"/>
      </w:pPr>
      <w:rPr>
        <w:rFonts w:hint="default" w:ascii="Wingdings" w:hAnsi="Wingdings"/>
      </w:rPr>
    </w:lvl>
    <w:lvl w:ilvl="3" w:tplc="08090001" w:tentative="1">
      <w:start w:val="1"/>
      <w:numFmt w:val="bullet"/>
      <w:lvlText w:val=""/>
      <w:lvlJc w:val="left"/>
      <w:pPr>
        <w:ind w:left="2580" w:hanging="360"/>
      </w:pPr>
      <w:rPr>
        <w:rFonts w:hint="default" w:ascii="Symbol" w:hAnsi="Symbol"/>
      </w:rPr>
    </w:lvl>
    <w:lvl w:ilvl="4" w:tplc="08090003" w:tentative="1">
      <w:start w:val="1"/>
      <w:numFmt w:val="bullet"/>
      <w:lvlText w:val="o"/>
      <w:lvlJc w:val="left"/>
      <w:pPr>
        <w:ind w:left="3300" w:hanging="360"/>
      </w:pPr>
      <w:rPr>
        <w:rFonts w:hint="default" w:ascii="Courier New" w:hAnsi="Courier New" w:cs="Courier New"/>
      </w:rPr>
    </w:lvl>
    <w:lvl w:ilvl="5" w:tplc="08090005" w:tentative="1">
      <w:start w:val="1"/>
      <w:numFmt w:val="bullet"/>
      <w:lvlText w:val=""/>
      <w:lvlJc w:val="left"/>
      <w:pPr>
        <w:ind w:left="4020" w:hanging="360"/>
      </w:pPr>
      <w:rPr>
        <w:rFonts w:hint="default" w:ascii="Wingdings" w:hAnsi="Wingdings"/>
      </w:rPr>
    </w:lvl>
    <w:lvl w:ilvl="6" w:tplc="08090001" w:tentative="1">
      <w:start w:val="1"/>
      <w:numFmt w:val="bullet"/>
      <w:lvlText w:val=""/>
      <w:lvlJc w:val="left"/>
      <w:pPr>
        <w:ind w:left="4740" w:hanging="360"/>
      </w:pPr>
      <w:rPr>
        <w:rFonts w:hint="default" w:ascii="Symbol" w:hAnsi="Symbol"/>
      </w:rPr>
    </w:lvl>
    <w:lvl w:ilvl="7" w:tplc="08090003" w:tentative="1">
      <w:start w:val="1"/>
      <w:numFmt w:val="bullet"/>
      <w:lvlText w:val="o"/>
      <w:lvlJc w:val="left"/>
      <w:pPr>
        <w:ind w:left="5460" w:hanging="360"/>
      </w:pPr>
      <w:rPr>
        <w:rFonts w:hint="default" w:ascii="Courier New" w:hAnsi="Courier New" w:cs="Courier New"/>
      </w:rPr>
    </w:lvl>
    <w:lvl w:ilvl="8" w:tplc="08090005" w:tentative="1">
      <w:start w:val="1"/>
      <w:numFmt w:val="bullet"/>
      <w:lvlText w:val=""/>
      <w:lvlJc w:val="left"/>
      <w:pPr>
        <w:ind w:left="6180" w:hanging="360"/>
      </w:pPr>
      <w:rPr>
        <w:rFonts w:hint="default" w:ascii="Wingdings" w:hAnsi="Wingdings"/>
      </w:rPr>
    </w:lvl>
  </w:abstractNum>
  <w:abstractNum w:abstractNumId="23" w15:restartNumberingAfterBreak="0">
    <w:nsid w:val="58561894"/>
    <w:multiLevelType w:val="hybridMultilevel"/>
    <w:tmpl w:val="52341780"/>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1A545E2"/>
    <w:multiLevelType w:val="hybridMultilevel"/>
    <w:tmpl w:val="9028B44C"/>
    <w:lvl w:ilvl="0" w:tplc="A6907310">
      <w:start w:val="1"/>
      <w:numFmt w:val="lowerRoman"/>
      <w:lvlText w:val="(%1)"/>
      <w:lvlJc w:val="left"/>
      <w:pPr>
        <w:ind w:left="1110" w:hanging="72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6" w15:restartNumberingAfterBreak="0">
    <w:nsid w:val="6614533C"/>
    <w:multiLevelType w:val="hybridMultilevel"/>
    <w:tmpl w:val="C8E82536"/>
    <w:lvl w:ilvl="0" w:tplc="678AA1F2">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1145E95"/>
    <w:multiLevelType w:val="hybridMultilevel"/>
    <w:tmpl w:val="010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5055A4"/>
    <w:multiLevelType w:val="hybridMultilevel"/>
    <w:tmpl w:val="96104BD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9" w15:restartNumberingAfterBreak="0">
    <w:nsid w:val="7A83406B"/>
    <w:multiLevelType w:val="hybridMultilevel"/>
    <w:tmpl w:val="FAC87EC8"/>
    <w:lvl w:ilvl="0" w:tplc="535C66D2">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B10FCC"/>
    <w:multiLevelType w:val="hybridMultilevel"/>
    <w:tmpl w:val="AC6C282E"/>
    <w:lvl w:ilvl="0" w:tplc="93440D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1440061">
    <w:abstractNumId w:val="2"/>
  </w:num>
  <w:num w:numId="2" w16cid:durableId="1940479412">
    <w:abstractNumId w:val="6"/>
  </w:num>
  <w:num w:numId="3" w16cid:durableId="735858711">
    <w:abstractNumId w:val="24"/>
  </w:num>
  <w:num w:numId="4" w16cid:durableId="791437817">
    <w:abstractNumId w:val="24"/>
  </w:num>
  <w:num w:numId="5" w16cid:durableId="589656231">
    <w:abstractNumId w:val="25"/>
  </w:num>
  <w:num w:numId="6" w16cid:durableId="1033071542">
    <w:abstractNumId w:val="0"/>
  </w:num>
  <w:num w:numId="7" w16cid:durableId="692002320">
    <w:abstractNumId w:val="24"/>
  </w:num>
  <w:num w:numId="8" w16cid:durableId="893390988">
    <w:abstractNumId w:val="24"/>
  </w:num>
  <w:num w:numId="9" w16cid:durableId="1036344506">
    <w:abstractNumId w:val="24"/>
  </w:num>
  <w:num w:numId="10" w16cid:durableId="1081758715">
    <w:abstractNumId w:val="17"/>
  </w:num>
  <w:num w:numId="11" w16cid:durableId="1324700156">
    <w:abstractNumId w:val="4"/>
  </w:num>
  <w:num w:numId="12" w16cid:durableId="297996532">
    <w:abstractNumId w:val="16"/>
  </w:num>
  <w:num w:numId="13" w16cid:durableId="1315715874">
    <w:abstractNumId w:val="18"/>
  </w:num>
  <w:num w:numId="14" w16cid:durableId="1234002226">
    <w:abstractNumId w:val="23"/>
  </w:num>
  <w:num w:numId="15" w16cid:durableId="682052213">
    <w:abstractNumId w:val="13"/>
  </w:num>
  <w:num w:numId="16" w16cid:durableId="1741825062">
    <w:abstractNumId w:val="21"/>
  </w:num>
  <w:num w:numId="17" w16cid:durableId="1644236023">
    <w:abstractNumId w:val="28"/>
  </w:num>
  <w:num w:numId="18" w16cid:durableId="530655038">
    <w:abstractNumId w:val="5"/>
  </w:num>
  <w:num w:numId="19" w16cid:durableId="2126733805">
    <w:abstractNumId w:val="26"/>
  </w:num>
  <w:num w:numId="20" w16cid:durableId="621762274">
    <w:abstractNumId w:val="15"/>
  </w:num>
  <w:num w:numId="21" w16cid:durableId="170607788">
    <w:abstractNumId w:val="7"/>
  </w:num>
  <w:num w:numId="22" w16cid:durableId="460727966">
    <w:abstractNumId w:val="29"/>
  </w:num>
  <w:num w:numId="23" w16cid:durableId="2105420001">
    <w:abstractNumId w:val="1"/>
  </w:num>
  <w:num w:numId="24" w16cid:durableId="2048407580">
    <w:abstractNumId w:val="19"/>
  </w:num>
  <w:num w:numId="25" w16cid:durableId="1798986414">
    <w:abstractNumId w:val="10"/>
  </w:num>
  <w:num w:numId="26" w16cid:durableId="1415205502">
    <w:abstractNumId w:val="27"/>
  </w:num>
  <w:num w:numId="27" w16cid:durableId="368603691">
    <w:abstractNumId w:val="8"/>
  </w:num>
  <w:num w:numId="28" w16cid:durableId="217009139">
    <w:abstractNumId w:val="24"/>
  </w:num>
  <w:num w:numId="29" w16cid:durableId="1991011021">
    <w:abstractNumId w:val="24"/>
  </w:num>
  <w:num w:numId="30" w16cid:durableId="840006877">
    <w:abstractNumId w:val="12"/>
  </w:num>
  <w:num w:numId="31" w16cid:durableId="324751170">
    <w:abstractNumId w:val="24"/>
  </w:num>
  <w:num w:numId="32" w16cid:durableId="1909340188">
    <w:abstractNumId w:val="24"/>
  </w:num>
  <w:num w:numId="33" w16cid:durableId="334496126">
    <w:abstractNumId w:val="30"/>
  </w:num>
  <w:num w:numId="34" w16cid:durableId="936062982">
    <w:abstractNumId w:val="9"/>
  </w:num>
  <w:num w:numId="35" w16cid:durableId="916287850">
    <w:abstractNumId w:val="11"/>
  </w:num>
  <w:num w:numId="36" w16cid:durableId="1904946322">
    <w:abstractNumId w:val="20"/>
  </w:num>
  <w:num w:numId="37" w16cid:durableId="910313988">
    <w:abstractNumId w:val="14"/>
  </w:num>
  <w:num w:numId="38" w16cid:durableId="1146776576">
    <w:abstractNumId w:val="3"/>
  </w:num>
  <w:num w:numId="39" w16cid:durableId="46757865">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00"/>
    <w:rsid w:val="00001138"/>
    <w:rsid w:val="00003026"/>
    <w:rsid w:val="00010318"/>
    <w:rsid w:val="000111DB"/>
    <w:rsid w:val="0001311E"/>
    <w:rsid w:val="0002043D"/>
    <w:rsid w:val="000218C9"/>
    <w:rsid w:val="000223BD"/>
    <w:rsid w:val="00024DA5"/>
    <w:rsid w:val="00025D77"/>
    <w:rsid w:val="000329FE"/>
    <w:rsid w:val="0004302C"/>
    <w:rsid w:val="00047083"/>
    <w:rsid w:val="00047383"/>
    <w:rsid w:val="00052894"/>
    <w:rsid w:val="000532DA"/>
    <w:rsid w:val="00056CD2"/>
    <w:rsid w:val="0006785D"/>
    <w:rsid w:val="0007095A"/>
    <w:rsid w:val="000709E5"/>
    <w:rsid w:val="0007215B"/>
    <w:rsid w:val="00080FCA"/>
    <w:rsid w:val="00082FAB"/>
    <w:rsid w:val="00083604"/>
    <w:rsid w:val="00084FD0"/>
    <w:rsid w:val="000853F6"/>
    <w:rsid w:val="00085837"/>
    <w:rsid w:val="00087222"/>
    <w:rsid w:val="000878D5"/>
    <w:rsid w:val="000928C5"/>
    <w:rsid w:val="00096EBF"/>
    <w:rsid w:val="000977EB"/>
    <w:rsid w:val="000A490C"/>
    <w:rsid w:val="000A4DFC"/>
    <w:rsid w:val="000B1D36"/>
    <w:rsid w:val="000B3C21"/>
    <w:rsid w:val="000B5760"/>
    <w:rsid w:val="000B73F9"/>
    <w:rsid w:val="000D1E58"/>
    <w:rsid w:val="000E020F"/>
    <w:rsid w:val="000E16D3"/>
    <w:rsid w:val="000E40C4"/>
    <w:rsid w:val="000F014D"/>
    <w:rsid w:val="000F07E1"/>
    <w:rsid w:val="000F2591"/>
    <w:rsid w:val="000F3523"/>
    <w:rsid w:val="000F6BB5"/>
    <w:rsid w:val="00102F59"/>
    <w:rsid w:val="00106505"/>
    <w:rsid w:val="00107347"/>
    <w:rsid w:val="00107520"/>
    <w:rsid w:val="00107C9C"/>
    <w:rsid w:val="00111749"/>
    <w:rsid w:val="00116523"/>
    <w:rsid w:val="00120071"/>
    <w:rsid w:val="00120FFA"/>
    <w:rsid w:val="001232BE"/>
    <w:rsid w:val="00123922"/>
    <w:rsid w:val="00123B83"/>
    <w:rsid w:val="0012453A"/>
    <w:rsid w:val="00131602"/>
    <w:rsid w:val="001319CF"/>
    <w:rsid w:val="00132DDC"/>
    <w:rsid w:val="00136C94"/>
    <w:rsid w:val="00145246"/>
    <w:rsid w:val="00146508"/>
    <w:rsid w:val="001465BD"/>
    <w:rsid w:val="0014692A"/>
    <w:rsid w:val="001470EF"/>
    <w:rsid w:val="00150421"/>
    <w:rsid w:val="00151269"/>
    <w:rsid w:val="00156C49"/>
    <w:rsid w:val="00160A2A"/>
    <w:rsid w:val="00163C9B"/>
    <w:rsid w:val="00170F86"/>
    <w:rsid w:val="001760DF"/>
    <w:rsid w:val="0017732F"/>
    <w:rsid w:val="00182BDA"/>
    <w:rsid w:val="00184EE2"/>
    <w:rsid w:val="00190698"/>
    <w:rsid w:val="00190763"/>
    <w:rsid w:val="001908C4"/>
    <w:rsid w:val="001945C8"/>
    <w:rsid w:val="00194EE4"/>
    <w:rsid w:val="001969C2"/>
    <w:rsid w:val="001A0143"/>
    <w:rsid w:val="001A18CA"/>
    <w:rsid w:val="001B0102"/>
    <w:rsid w:val="001B23C6"/>
    <w:rsid w:val="001B71EA"/>
    <w:rsid w:val="001C655B"/>
    <w:rsid w:val="001C7C0E"/>
    <w:rsid w:val="001D26C0"/>
    <w:rsid w:val="001D46B2"/>
    <w:rsid w:val="001D736F"/>
    <w:rsid w:val="001E0293"/>
    <w:rsid w:val="001E2F07"/>
    <w:rsid w:val="001E615E"/>
    <w:rsid w:val="001F15B2"/>
    <w:rsid w:val="001F15C2"/>
    <w:rsid w:val="001F1CF7"/>
    <w:rsid w:val="001F2364"/>
    <w:rsid w:val="001F4B8B"/>
    <w:rsid w:val="001F649E"/>
    <w:rsid w:val="001F6DCA"/>
    <w:rsid w:val="001F7A9F"/>
    <w:rsid w:val="00200442"/>
    <w:rsid w:val="0020398C"/>
    <w:rsid w:val="00203EE8"/>
    <w:rsid w:val="00205000"/>
    <w:rsid w:val="002064F0"/>
    <w:rsid w:val="00206A41"/>
    <w:rsid w:val="00211AE9"/>
    <w:rsid w:val="00211FE0"/>
    <w:rsid w:val="002129C1"/>
    <w:rsid w:val="00217D5F"/>
    <w:rsid w:val="00220DE8"/>
    <w:rsid w:val="002216BB"/>
    <w:rsid w:val="00223EBE"/>
    <w:rsid w:val="00232FF4"/>
    <w:rsid w:val="0023747F"/>
    <w:rsid w:val="00237C6C"/>
    <w:rsid w:val="0024168D"/>
    <w:rsid w:val="0024377B"/>
    <w:rsid w:val="0025046D"/>
    <w:rsid w:val="00254235"/>
    <w:rsid w:val="00254708"/>
    <w:rsid w:val="00255C8A"/>
    <w:rsid w:val="00256BF4"/>
    <w:rsid w:val="00262058"/>
    <w:rsid w:val="0026590A"/>
    <w:rsid w:val="00271E0A"/>
    <w:rsid w:val="00274609"/>
    <w:rsid w:val="00275528"/>
    <w:rsid w:val="00275F60"/>
    <w:rsid w:val="00280C27"/>
    <w:rsid w:val="00283C5A"/>
    <w:rsid w:val="00283D6E"/>
    <w:rsid w:val="00284917"/>
    <w:rsid w:val="00284CBA"/>
    <w:rsid w:val="0028620E"/>
    <w:rsid w:val="00294EB1"/>
    <w:rsid w:val="00296D55"/>
    <w:rsid w:val="002A254E"/>
    <w:rsid w:val="002A4E90"/>
    <w:rsid w:val="002B21D4"/>
    <w:rsid w:val="002C14B2"/>
    <w:rsid w:val="002C1BD2"/>
    <w:rsid w:val="002C3E42"/>
    <w:rsid w:val="002C4202"/>
    <w:rsid w:val="002C5356"/>
    <w:rsid w:val="002D2F52"/>
    <w:rsid w:val="002D412A"/>
    <w:rsid w:val="002D4715"/>
    <w:rsid w:val="002E27C9"/>
    <w:rsid w:val="002E3D16"/>
    <w:rsid w:val="002E4D13"/>
    <w:rsid w:val="002E6A1E"/>
    <w:rsid w:val="002E7FE1"/>
    <w:rsid w:val="002F25FC"/>
    <w:rsid w:val="002F374D"/>
    <w:rsid w:val="002F6526"/>
    <w:rsid w:val="0030020E"/>
    <w:rsid w:val="003027BC"/>
    <w:rsid w:val="00310279"/>
    <w:rsid w:val="00314589"/>
    <w:rsid w:val="00316D28"/>
    <w:rsid w:val="00317646"/>
    <w:rsid w:val="00321A60"/>
    <w:rsid w:val="00323185"/>
    <w:rsid w:val="00326AFE"/>
    <w:rsid w:val="00326E72"/>
    <w:rsid w:val="003308CE"/>
    <w:rsid w:val="00332149"/>
    <w:rsid w:val="00332C05"/>
    <w:rsid w:val="0033740C"/>
    <w:rsid w:val="00337728"/>
    <w:rsid w:val="00343CE3"/>
    <w:rsid w:val="00345918"/>
    <w:rsid w:val="00346B9F"/>
    <w:rsid w:val="003478F6"/>
    <w:rsid w:val="00351496"/>
    <w:rsid w:val="003627D7"/>
    <w:rsid w:val="00362E19"/>
    <w:rsid w:val="0036323C"/>
    <w:rsid w:val="0036780F"/>
    <w:rsid w:val="00371C6B"/>
    <w:rsid w:val="00381E46"/>
    <w:rsid w:val="00382D01"/>
    <w:rsid w:val="00382DA9"/>
    <w:rsid w:val="003835C1"/>
    <w:rsid w:val="00383DDC"/>
    <w:rsid w:val="0038454F"/>
    <w:rsid w:val="00393619"/>
    <w:rsid w:val="00395196"/>
    <w:rsid w:val="0039570A"/>
    <w:rsid w:val="00396B85"/>
    <w:rsid w:val="003A74FD"/>
    <w:rsid w:val="003A78CC"/>
    <w:rsid w:val="003A7A38"/>
    <w:rsid w:val="003B056B"/>
    <w:rsid w:val="003B0952"/>
    <w:rsid w:val="003B29ED"/>
    <w:rsid w:val="003B5308"/>
    <w:rsid w:val="003C4D96"/>
    <w:rsid w:val="003C5792"/>
    <w:rsid w:val="003C7489"/>
    <w:rsid w:val="003D1A18"/>
    <w:rsid w:val="003D22B4"/>
    <w:rsid w:val="003D2B50"/>
    <w:rsid w:val="003D3448"/>
    <w:rsid w:val="003D6FCB"/>
    <w:rsid w:val="003E09ED"/>
    <w:rsid w:val="003E2CBA"/>
    <w:rsid w:val="003E5293"/>
    <w:rsid w:val="003E64E4"/>
    <w:rsid w:val="003E67E7"/>
    <w:rsid w:val="003F0380"/>
    <w:rsid w:val="003F77F9"/>
    <w:rsid w:val="0040061D"/>
    <w:rsid w:val="00405ACE"/>
    <w:rsid w:val="00406D54"/>
    <w:rsid w:val="00413F89"/>
    <w:rsid w:val="00414D6F"/>
    <w:rsid w:val="00417F57"/>
    <w:rsid w:val="00424E76"/>
    <w:rsid w:val="004309B6"/>
    <w:rsid w:val="00431B23"/>
    <w:rsid w:val="00434670"/>
    <w:rsid w:val="00434744"/>
    <w:rsid w:val="00436264"/>
    <w:rsid w:val="00444494"/>
    <w:rsid w:val="004445BE"/>
    <w:rsid w:val="00453E92"/>
    <w:rsid w:val="0045574A"/>
    <w:rsid w:val="00456D3B"/>
    <w:rsid w:val="00460278"/>
    <w:rsid w:val="00465F46"/>
    <w:rsid w:val="004768DE"/>
    <w:rsid w:val="00476A37"/>
    <w:rsid w:val="00481D88"/>
    <w:rsid w:val="00491045"/>
    <w:rsid w:val="00491E3A"/>
    <w:rsid w:val="0049446F"/>
    <w:rsid w:val="0049578D"/>
    <w:rsid w:val="004A65E4"/>
    <w:rsid w:val="004A76D5"/>
    <w:rsid w:val="004B3E6C"/>
    <w:rsid w:val="004C4422"/>
    <w:rsid w:val="004C4AED"/>
    <w:rsid w:val="004C5BA4"/>
    <w:rsid w:val="004D0511"/>
    <w:rsid w:val="004D1394"/>
    <w:rsid w:val="004D24D5"/>
    <w:rsid w:val="004D284F"/>
    <w:rsid w:val="004D2CE5"/>
    <w:rsid w:val="004D3D80"/>
    <w:rsid w:val="004D44D5"/>
    <w:rsid w:val="004D4E54"/>
    <w:rsid w:val="004D5E08"/>
    <w:rsid w:val="004D6F91"/>
    <w:rsid w:val="004D7840"/>
    <w:rsid w:val="004E5E43"/>
    <w:rsid w:val="004F1061"/>
    <w:rsid w:val="004F2A81"/>
    <w:rsid w:val="004F32AD"/>
    <w:rsid w:val="004F3A37"/>
    <w:rsid w:val="004F44BE"/>
    <w:rsid w:val="004F531C"/>
    <w:rsid w:val="004F6D3B"/>
    <w:rsid w:val="00500AEB"/>
    <w:rsid w:val="0051022D"/>
    <w:rsid w:val="00510BE0"/>
    <w:rsid w:val="00511807"/>
    <w:rsid w:val="00512A63"/>
    <w:rsid w:val="00513648"/>
    <w:rsid w:val="00515176"/>
    <w:rsid w:val="005203AB"/>
    <w:rsid w:val="005227FC"/>
    <w:rsid w:val="00526F8A"/>
    <w:rsid w:val="005302B1"/>
    <w:rsid w:val="005308AC"/>
    <w:rsid w:val="005310C8"/>
    <w:rsid w:val="00532E15"/>
    <w:rsid w:val="00533F44"/>
    <w:rsid w:val="00534486"/>
    <w:rsid w:val="00535B05"/>
    <w:rsid w:val="00535B14"/>
    <w:rsid w:val="0054085B"/>
    <w:rsid w:val="005467C7"/>
    <w:rsid w:val="00546D45"/>
    <w:rsid w:val="0055059D"/>
    <w:rsid w:val="0055476A"/>
    <w:rsid w:val="00554B22"/>
    <w:rsid w:val="00556358"/>
    <w:rsid w:val="00562D4E"/>
    <w:rsid w:val="00562E65"/>
    <w:rsid w:val="005631ED"/>
    <w:rsid w:val="005632AA"/>
    <w:rsid w:val="0056409C"/>
    <w:rsid w:val="005641A8"/>
    <w:rsid w:val="00564E8F"/>
    <w:rsid w:val="00570E77"/>
    <w:rsid w:val="00573C72"/>
    <w:rsid w:val="00574C95"/>
    <w:rsid w:val="00574FB3"/>
    <w:rsid w:val="00581C7E"/>
    <w:rsid w:val="00582449"/>
    <w:rsid w:val="00582FC4"/>
    <w:rsid w:val="00583F62"/>
    <w:rsid w:val="00584E26"/>
    <w:rsid w:val="00587762"/>
    <w:rsid w:val="00597A7F"/>
    <w:rsid w:val="005A0B8C"/>
    <w:rsid w:val="005B066D"/>
    <w:rsid w:val="005B0EA5"/>
    <w:rsid w:val="005B2475"/>
    <w:rsid w:val="005B2FEC"/>
    <w:rsid w:val="005B7585"/>
    <w:rsid w:val="005B775D"/>
    <w:rsid w:val="005C4A8E"/>
    <w:rsid w:val="005D2833"/>
    <w:rsid w:val="005E0186"/>
    <w:rsid w:val="005E20D0"/>
    <w:rsid w:val="005E339C"/>
    <w:rsid w:val="005E70E7"/>
    <w:rsid w:val="005E7923"/>
    <w:rsid w:val="005E7DAF"/>
    <w:rsid w:val="005F6045"/>
    <w:rsid w:val="005F75A8"/>
    <w:rsid w:val="005F7C6F"/>
    <w:rsid w:val="0060170A"/>
    <w:rsid w:val="0060349F"/>
    <w:rsid w:val="006053B6"/>
    <w:rsid w:val="00605766"/>
    <w:rsid w:val="00613CE8"/>
    <w:rsid w:val="00620070"/>
    <w:rsid w:val="00621C42"/>
    <w:rsid w:val="00623213"/>
    <w:rsid w:val="006273E6"/>
    <w:rsid w:val="00627B61"/>
    <w:rsid w:val="00627E80"/>
    <w:rsid w:val="0063072C"/>
    <w:rsid w:val="00631165"/>
    <w:rsid w:val="006339CA"/>
    <w:rsid w:val="006347AD"/>
    <w:rsid w:val="006347EE"/>
    <w:rsid w:val="0063542C"/>
    <w:rsid w:val="006404AD"/>
    <w:rsid w:val="00641577"/>
    <w:rsid w:val="00642814"/>
    <w:rsid w:val="00642D59"/>
    <w:rsid w:val="00643777"/>
    <w:rsid w:val="00654046"/>
    <w:rsid w:val="006574D6"/>
    <w:rsid w:val="0066130D"/>
    <w:rsid w:val="006620DC"/>
    <w:rsid w:val="00664690"/>
    <w:rsid w:val="00664C74"/>
    <w:rsid w:val="00666041"/>
    <w:rsid w:val="00670BC9"/>
    <w:rsid w:val="00671AC5"/>
    <w:rsid w:val="00671DEA"/>
    <w:rsid w:val="0067289D"/>
    <w:rsid w:val="00683436"/>
    <w:rsid w:val="00683585"/>
    <w:rsid w:val="006845FA"/>
    <w:rsid w:val="006863D5"/>
    <w:rsid w:val="006869AE"/>
    <w:rsid w:val="006941C5"/>
    <w:rsid w:val="00694D09"/>
    <w:rsid w:val="00697B78"/>
    <w:rsid w:val="006A7179"/>
    <w:rsid w:val="006B04FF"/>
    <w:rsid w:val="006B1F0D"/>
    <w:rsid w:val="006B5A98"/>
    <w:rsid w:val="006B66E3"/>
    <w:rsid w:val="006B6C22"/>
    <w:rsid w:val="006C2992"/>
    <w:rsid w:val="006C3215"/>
    <w:rsid w:val="006C4724"/>
    <w:rsid w:val="006C5225"/>
    <w:rsid w:val="006C5A0C"/>
    <w:rsid w:val="006C7DD0"/>
    <w:rsid w:val="006D0BE6"/>
    <w:rsid w:val="006D2130"/>
    <w:rsid w:val="006D2A19"/>
    <w:rsid w:val="006D3EE0"/>
    <w:rsid w:val="006D5A72"/>
    <w:rsid w:val="006D629B"/>
    <w:rsid w:val="006E1BA8"/>
    <w:rsid w:val="006E5424"/>
    <w:rsid w:val="006E5BFE"/>
    <w:rsid w:val="006E73D2"/>
    <w:rsid w:val="006F031B"/>
    <w:rsid w:val="006F0B11"/>
    <w:rsid w:val="006F417A"/>
    <w:rsid w:val="006F4507"/>
    <w:rsid w:val="006F57FC"/>
    <w:rsid w:val="006F64A0"/>
    <w:rsid w:val="007016D8"/>
    <w:rsid w:val="00704DBF"/>
    <w:rsid w:val="007050BA"/>
    <w:rsid w:val="00711BFD"/>
    <w:rsid w:val="00717A94"/>
    <w:rsid w:val="007232A5"/>
    <w:rsid w:val="00723F27"/>
    <w:rsid w:val="0072474B"/>
    <w:rsid w:val="00725F33"/>
    <w:rsid w:val="00726B3B"/>
    <w:rsid w:val="00726F5A"/>
    <w:rsid w:val="0073017F"/>
    <w:rsid w:val="00730789"/>
    <w:rsid w:val="00732580"/>
    <w:rsid w:val="00732B6F"/>
    <w:rsid w:val="00732C0C"/>
    <w:rsid w:val="007353F9"/>
    <w:rsid w:val="007405AA"/>
    <w:rsid w:val="00743499"/>
    <w:rsid w:val="00750A27"/>
    <w:rsid w:val="00750BB6"/>
    <w:rsid w:val="0075253A"/>
    <w:rsid w:val="00754E19"/>
    <w:rsid w:val="00755AA9"/>
    <w:rsid w:val="00763715"/>
    <w:rsid w:val="00774430"/>
    <w:rsid w:val="007778CF"/>
    <w:rsid w:val="00777DAC"/>
    <w:rsid w:val="00780FBA"/>
    <w:rsid w:val="0078157F"/>
    <w:rsid w:val="007822FB"/>
    <w:rsid w:val="007833CB"/>
    <w:rsid w:val="00784CF9"/>
    <w:rsid w:val="007A0E5C"/>
    <w:rsid w:val="007A18F2"/>
    <w:rsid w:val="007A1D39"/>
    <w:rsid w:val="007A7F07"/>
    <w:rsid w:val="007B0305"/>
    <w:rsid w:val="007B275D"/>
    <w:rsid w:val="007B303B"/>
    <w:rsid w:val="007B3B1C"/>
    <w:rsid w:val="007B5AA3"/>
    <w:rsid w:val="007C0D4C"/>
    <w:rsid w:val="007C57A8"/>
    <w:rsid w:val="007C5D08"/>
    <w:rsid w:val="007D2528"/>
    <w:rsid w:val="007D7791"/>
    <w:rsid w:val="007D7C74"/>
    <w:rsid w:val="007E32CB"/>
    <w:rsid w:val="007E48AD"/>
    <w:rsid w:val="007E4EDC"/>
    <w:rsid w:val="007E507F"/>
    <w:rsid w:val="007E7499"/>
    <w:rsid w:val="007F1C02"/>
    <w:rsid w:val="007F2E45"/>
    <w:rsid w:val="007F31DE"/>
    <w:rsid w:val="007F4051"/>
    <w:rsid w:val="007F426B"/>
    <w:rsid w:val="007F4A9D"/>
    <w:rsid w:val="008033ED"/>
    <w:rsid w:val="008077F7"/>
    <w:rsid w:val="00810794"/>
    <w:rsid w:val="00811421"/>
    <w:rsid w:val="008116A7"/>
    <w:rsid w:val="00812477"/>
    <w:rsid w:val="00813221"/>
    <w:rsid w:val="00814189"/>
    <w:rsid w:val="00814DEB"/>
    <w:rsid w:val="00815A94"/>
    <w:rsid w:val="00815FBA"/>
    <w:rsid w:val="008161FC"/>
    <w:rsid w:val="0082064D"/>
    <w:rsid w:val="008208A7"/>
    <w:rsid w:val="00824CB2"/>
    <w:rsid w:val="008268F9"/>
    <w:rsid w:val="008273FA"/>
    <w:rsid w:val="00832D34"/>
    <w:rsid w:val="008330F5"/>
    <w:rsid w:val="008333D8"/>
    <w:rsid w:val="008349BD"/>
    <w:rsid w:val="00836768"/>
    <w:rsid w:val="00836849"/>
    <w:rsid w:val="00841DE5"/>
    <w:rsid w:val="00842D0D"/>
    <w:rsid w:val="00844BE5"/>
    <w:rsid w:val="0084519D"/>
    <w:rsid w:val="00855278"/>
    <w:rsid w:val="008576D4"/>
    <w:rsid w:val="00861527"/>
    <w:rsid w:val="00862B47"/>
    <w:rsid w:val="00862C1A"/>
    <w:rsid w:val="008630DF"/>
    <w:rsid w:val="0086327D"/>
    <w:rsid w:val="008651F9"/>
    <w:rsid w:val="00870284"/>
    <w:rsid w:val="0087462B"/>
    <w:rsid w:val="00875A45"/>
    <w:rsid w:val="008763B3"/>
    <w:rsid w:val="008765DE"/>
    <w:rsid w:val="008847CD"/>
    <w:rsid w:val="00891B24"/>
    <w:rsid w:val="008A302A"/>
    <w:rsid w:val="008A3EEE"/>
    <w:rsid w:val="008A51D9"/>
    <w:rsid w:val="008A708E"/>
    <w:rsid w:val="008A77E3"/>
    <w:rsid w:val="008B17F4"/>
    <w:rsid w:val="008B29A5"/>
    <w:rsid w:val="008B3C53"/>
    <w:rsid w:val="008B3D16"/>
    <w:rsid w:val="008B4F61"/>
    <w:rsid w:val="008C114C"/>
    <w:rsid w:val="008C27DA"/>
    <w:rsid w:val="008C522A"/>
    <w:rsid w:val="008D3115"/>
    <w:rsid w:val="008D6691"/>
    <w:rsid w:val="008D6F63"/>
    <w:rsid w:val="008D799D"/>
    <w:rsid w:val="008E0DF1"/>
    <w:rsid w:val="008E1951"/>
    <w:rsid w:val="008E3142"/>
    <w:rsid w:val="008E5DA7"/>
    <w:rsid w:val="008E6AF9"/>
    <w:rsid w:val="008E722E"/>
    <w:rsid w:val="008F2130"/>
    <w:rsid w:val="008F4CCF"/>
    <w:rsid w:val="00900450"/>
    <w:rsid w:val="00903256"/>
    <w:rsid w:val="0090619B"/>
    <w:rsid w:val="00906CBF"/>
    <w:rsid w:val="009110D1"/>
    <w:rsid w:val="00913200"/>
    <w:rsid w:val="00915F8D"/>
    <w:rsid w:val="00917ADE"/>
    <w:rsid w:val="00917DBD"/>
    <w:rsid w:val="009230E2"/>
    <w:rsid w:val="0092660F"/>
    <w:rsid w:val="00930029"/>
    <w:rsid w:val="00930425"/>
    <w:rsid w:val="0093112A"/>
    <w:rsid w:val="009324E9"/>
    <w:rsid w:val="00933199"/>
    <w:rsid w:val="00936354"/>
    <w:rsid w:val="009376A0"/>
    <w:rsid w:val="00940811"/>
    <w:rsid w:val="00942F13"/>
    <w:rsid w:val="0094600E"/>
    <w:rsid w:val="00951D67"/>
    <w:rsid w:val="00952E6D"/>
    <w:rsid w:val="00965082"/>
    <w:rsid w:val="00973C62"/>
    <w:rsid w:val="009742BF"/>
    <w:rsid w:val="00976F99"/>
    <w:rsid w:val="0098532A"/>
    <w:rsid w:val="00986A5A"/>
    <w:rsid w:val="00990C9A"/>
    <w:rsid w:val="00993784"/>
    <w:rsid w:val="00993EDE"/>
    <w:rsid w:val="009949CD"/>
    <w:rsid w:val="009955EE"/>
    <w:rsid w:val="00995ABD"/>
    <w:rsid w:val="00996EAC"/>
    <w:rsid w:val="009971A0"/>
    <w:rsid w:val="009A1A7D"/>
    <w:rsid w:val="009A23B7"/>
    <w:rsid w:val="009A7C87"/>
    <w:rsid w:val="009B2917"/>
    <w:rsid w:val="009B299F"/>
    <w:rsid w:val="009C2A6F"/>
    <w:rsid w:val="009C40F0"/>
    <w:rsid w:val="009D1532"/>
    <w:rsid w:val="009D4D95"/>
    <w:rsid w:val="009E1606"/>
    <w:rsid w:val="009E1E8C"/>
    <w:rsid w:val="009E22E6"/>
    <w:rsid w:val="009E28B2"/>
    <w:rsid w:val="009E314A"/>
    <w:rsid w:val="009E63ED"/>
    <w:rsid w:val="009E67A1"/>
    <w:rsid w:val="009E7DFB"/>
    <w:rsid w:val="009F0F43"/>
    <w:rsid w:val="009F646D"/>
    <w:rsid w:val="00A03ABC"/>
    <w:rsid w:val="00A06073"/>
    <w:rsid w:val="00A0770B"/>
    <w:rsid w:val="00A078BF"/>
    <w:rsid w:val="00A201EF"/>
    <w:rsid w:val="00A215F6"/>
    <w:rsid w:val="00A23060"/>
    <w:rsid w:val="00A236B3"/>
    <w:rsid w:val="00A25FCD"/>
    <w:rsid w:val="00A34D95"/>
    <w:rsid w:val="00A35519"/>
    <w:rsid w:val="00A361B2"/>
    <w:rsid w:val="00A40E7A"/>
    <w:rsid w:val="00A4155C"/>
    <w:rsid w:val="00A42AAB"/>
    <w:rsid w:val="00A43E73"/>
    <w:rsid w:val="00A44626"/>
    <w:rsid w:val="00A460E2"/>
    <w:rsid w:val="00A46840"/>
    <w:rsid w:val="00A47EFE"/>
    <w:rsid w:val="00A50D8E"/>
    <w:rsid w:val="00A51DC7"/>
    <w:rsid w:val="00A52E7E"/>
    <w:rsid w:val="00A5794D"/>
    <w:rsid w:val="00A61795"/>
    <w:rsid w:val="00A618B0"/>
    <w:rsid w:val="00A71685"/>
    <w:rsid w:val="00A74DFC"/>
    <w:rsid w:val="00A750E9"/>
    <w:rsid w:val="00A760B9"/>
    <w:rsid w:val="00A80603"/>
    <w:rsid w:val="00A816E8"/>
    <w:rsid w:val="00A87143"/>
    <w:rsid w:val="00A879C0"/>
    <w:rsid w:val="00A87CC1"/>
    <w:rsid w:val="00A95771"/>
    <w:rsid w:val="00A96044"/>
    <w:rsid w:val="00A9793D"/>
    <w:rsid w:val="00AA07E3"/>
    <w:rsid w:val="00AA0FC2"/>
    <w:rsid w:val="00AA12CA"/>
    <w:rsid w:val="00AA2694"/>
    <w:rsid w:val="00AA3C60"/>
    <w:rsid w:val="00AB16DA"/>
    <w:rsid w:val="00AB36CF"/>
    <w:rsid w:val="00AC320B"/>
    <w:rsid w:val="00AC3CAE"/>
    <w:rsid w:val="00AC61E2"/>
    <w:rsid w:val="00AC67D3"/>
    <w:rsid w:val="00AC6A97"/>
    <w:rsid w:val="00AD1760"/>
    <w:rsid w:val="00AD210E"/>
    <w:rsid w:val="00AD7649"/>
    <w:rsid w:val="00AD7ADD"/>
    <w:rsid w:val="00AE090B"/>
    <w:rsid w:val="00AE0C2D"/>
    <w:rsid w:val="00AE3388"/>
    <w:rsid w:val="00AE51B1"/>
    <w:rsid w:val="00AF06AF"/>
    <w:rsid w:val="00AF1A26"/>
    <w:rsid w:val="00AF26DD"/>
    <w:rsid w:val="00AF2C0F"/>
    <w:rsid w:val="00AF35E5"/>
    <w:rsid w:val="00AF4D25"/>
    <w:rsid w:val="00B01601"/>
    <w:rsid w:val="00B0180D"/>
    <w:rsid w:val="00B04E6E"/>
    <w:rsid w:val="00B11119"/>
    <w:rsid w:val="00B15DE3"/>
    <w:rsid w:val="00B231DE"/>
    <w:rsid w:val="00B2538A"/>
    <w:rsid w:val="00B3017E"/>
    <w:rsid w:val="00B32249"/>
    <w:rsid w:val="00B36320"/>
    <w:rsid w:val="00B37654"/>
    <w:rsid w:val="00B40DA1"/>
    <w:rsid w:val="00B46004"/>
    <w:rsid w:val="00B4629A"/>
    <w:rsid w:val="00B5634D"/>
    <w:rsid w:val="00B574C9"/>
    <w:rsid w:val="00B60AF4"/>
    <w:rsid w:val="00B62757"/>
    <w:rsid w:val="00B62869"/>
    <w:rsid w:val="00B63575"/>
    <w:rsid w:val="00B65B79"/>
    <w:rsid w:val="00B67A28"/>
    <w:rsid w:val="00B7076F"/>
    <w:rsid w:val="00B71887"/>
    <w:rsid w:val="00B729F7"/>
    <w:rsid w:val="00B7333D"/>
    <w:rsid w:val="00B817B1"/>
    <w:rsid w:val="00B81EA3"/>
    <w:rsid w:val="00B86BDD"/>
    <w:rsid w:val="00B86C44"/>
    <w:rsid w:val="00B86D18"/>
    <w:rsid w:val="00B90347"/>
    <w:rsid w:val="00B91B1E"/>
    <w:rsid w:val="00B925D2"/>
    <w:rsid w:val="00B94A47"/>
    <w:rsid w:val="00B9765B"/>
    <w:rsid w:val="00B97C79"/>
    <w:rsid w:val="00BA0CC8"/>
    <w:rsid w:val="00BA170C"/>
    <w:rsid w:val="00BA1E44"/>
    <w:rsid w:val="00BA3214"/>
    <w:rsid w:val="00BA41B5"/>
    <w:rsid w:val="00BA498D"/>
    <w:rsid w:val="00BA74CA"/>
    <w:rsid w:val="00BB43EC"/>
    <w:rsid w:val="00BB67B2"/>
    <w:rsid w:val="00BC1B80"/>
    <w:rsid w:val="00BC2CBC"/>
    <w:rsid w:val="00BC3B5C"/>
    <w:rsid w:val="00BC53D9"/>
    <w:rsid w:val="00BC6861"/>
    <w:rsid w:val="00BD05D1"/>
    <w:rsid w:val="00BD0B0E"/>
    <w:rsid w:val="00BD2637"/>
    <w:rsid w:val="00BD2C9A"/>
    <w:rsid w:val="00BD4BF4"/>
    <w:rsid w:val="00BD54FF"/>
    <w:rsid w:val="00BD5A2B"/>
    <w:rsid w:val="00BE2210"/>
    <w:rsid w:val="00BE323B"/>
    <w:rsid w:val="00BE3A86"/>
    <w:rsid w:val="00BE3B70"/>
    <w:rsid w:val="00BE3D27"/>
    <w:rsid w:val="00BE3F08"/>
    <w:rsid w:val="00BF15F6"/>
    <w:rsid w:val="00BF4FF8"/>
    <w:rsid w:val="00BF5EBB"/>
    <w:rsid w:val="00BF6B5B"/>
    <w:rsid w:val="00BF6BA1"/>
    <w:rsid w:val="00C00668"/>
    <w:rsid w:val="00C020FA"/>
    <w:rsid w:val="00C03935"/>
    <w:rsid w:val="00C11255"/>
    <w:rsid w:val="00C148F7"/>
    <w:rsid w:val="00C15E8F"/>
    <w:rsid w:val="00C2049A"/>
    <w:rsid w:val="00C204DE"/>
    <w:rsid w:val="00C214C1"/>
    <w:rsid w:val="00C26381"/>
    <w:rsid w:val="00C31456"/>
    <w:rsid w:val="00C32256"/>
    <w:rsid w:val="00C34C6E"/>
    <w:rsid w:val="00C37918"/>
    <w:rsid w:val="00C46B59"/>
    <w:rsid w:val="00C47D95"/>
    <w:rsid w:val="00C5006F"/>
    <w:rsid w:val="00C511EF"/>
    <w:rsid w:val="00C53573"/>
    <w:rsid w:val="00C54ED3"/>
    <w:rsid w:val="00C60B7F"/>
    <w:rsid w:val="00C610C3"/>
    <w:rsid w:val="00C638BF"/>
    <w:rsid w:val="00C63DFD"/>
    <w:rsid w:val="00C70019"/>
    <w:rsid w:val="00C74328"/>
    <w:rsid w:val="00C743C2"/>
    <w:rsid w:val="00C74693"/>
    <w:rsid w:val="00C74C78"/>
    <w:rsid w:val="00C821E5"/>
    <w:rsid w:val="00C9104F"/>
    <w:rsid w:val="00C92F2A"/>
    <w:rsid w:val="00C9408E"/>
    <w:rsid w:val="00C9660A"/>
    <w:rsid w:val="00CA270F"/>
    <w:rsid w:val="00CA554E"/>
    <w:rsid w:val="00CB4BB7"/>
    <w:rsid w:val="00CB4C80"/>
    <w:rsid w:val="00CB7FD7"/>
    <w:rsid w:val="00CC1355"/>
    <w:rsid w:val="00CC2B62"/>
    <w:rsid w:val="00CC4BC2"/>
    <w:rsid w:val="00CC5A2C"/>
    <w:rsid w:val="00CD0242"/>
    <w:rsid w:val="00CD1D19"/>
    <w:rsid w:val="00CD2F35"/>
    <w:rsid w:val="00CD6C88"/>
    <w:rsid w:val="00CE450F"/>
    <w:rsid w:val="00CF1FD6"/>
    <w:rsid w:val="00CF2EA0"/>
    <w:rsid w:val="00CF2FAD"/>
    <w:rsid w:val="00CF4345"/>
    <w:rsid w:val="00CF6F1B"/>
    <w:rsid w:val="00D0703D"/>
    <w:rsid w:val="00D131CC"/>
    <w:rsid w:val="00D13C31"/>
    <w:rsid w:val="00D1448F"/>
    <w:rsid w:val="00D159BE"/>
    <w:rsid w:val="00D15CC1"/>
    <w:rsid w:val="00D22D12"/>
    <w:rsid w:val="00D235CC"/>
    <w:rsid w:val="00D2633B"/>
    <w:rsid w:val="00D325D1"/>
    <w:rsid w:val="00D32D4E"/>
    <w:rsid w:val="00D336E0"/>
    <w:rsid w:val="00D43C99"/>
    <w:rsid w:val="00D50626"/>
    <w:rsid w:val="00D60DCA"/>
    <w:rsid w:val="00D622DA"/>
    <w:rsid w:val="00D70D75"/>
    <w:rsid w:val="00D7181B"/>
    <w:rsid w:val="00D72C12"/>
    <w:rsid w:val="00D751F7"/>
    <w:rsid w:val="00D759C6"/>
    <w:rsid w:val="00D800C5"/>
    <w:rsid w:val="00D81B09"/>
    <w:rsid w:val="00D83A27"/>
    <w:rsid w:val="00D84024"/>
    <w:rsid w:val="00D95A0F"/>
    <w:rsid w:val="00DA35E1"/>
    <w:rsid w:val="00DA623F"/>
    <w:rsid w:val="00DC0168"/>
    <w:rsid w:val="00DC03BB"/>
    <w:rsid w:val="00DC12E9"/>
    <w:rsid w:val="00DC3C9A"/>
    <w:rsid w:val="00DC669A"/>
    <w:rsid w:val="00DD5E1F"/>
    <w:rsid w:val="00DD73C1"/>
    <w:rsid w:val="00DD7697"/>
    <w:rsid w:val="00DE1FEB"/>
    <w:rsid w:val="00DE4223"/>
    <w:rsid w:val="00DE52A4"/>
    <w:rsid w:val="00DF654A"/>
    <w:rsid w:val="00DF782D"/>
    <w:rsid w:val="00DF79CC"/>
    <w:rsid w:val="00E06E83"/>
    <w:rsid w:val="00E10345"/>
    <w:rsid w:val="00E10819"/>
    <w:rsid w:val="00E10C0E"/>
    <w:rsid w:val="00E11762"/>
    <w:rsid w:val="00E140BF"/>
    <w:rsid w:val="00E15BA7"/>
    <w:rsid w:val="00E15CAE"/>
    <w:rsid w:val="00E16BC6"/>
    <w:rsid w:val="00E1774B"/>
    <w:rsid w:val="00E20DF8"/>
    <w:rsid w:val="00E27656"/>
    <w:rsid w:val="00E308B8"/>
    <w:rsid w:val="00E4124D"/>
    <w:rsid w:val="00E44353"/>
    <w:rsid w:val="00E45413"/>
    <w:rsid w:val="00E52A48"/>
    <w:rsid w:val="00E613A5"/>
    <w:rsid w:val="00E63295"/>
    <w:rsid w:val="00E64324"/>
    <w:rsid w:val="00E66927"/>
    <w:rsid w:val="00E671C3"/>
    <w:rsid w:val="00E71E47"/>
    <w:rsid w:val="00E7553E"/>
    <w:rsid w:val="00E76DAD"/>
    <w:rsid w:val="00E76ECF"/>
    <w:rsid w:val="00E80CA5"/>
    <w:rsid w:val="00E83B14"/>
    <w:rsid w:val="00E855E3"/>
    <w:rsid w:val="00E8776B"/>
    <w:rsid w:val="00E877ED"/>
    <w:rsid w:val="00E87F1E"/>
    <w:rsid w:val="00E91831"/>
    <w:rsid w:val="00E93CB4"/>
    <w:rsid w:val="00EA155E"/>
    <w:rsid w:val="00EA1D7B"/>
    <w:rsid w:val="00EA440D"/>
    <w:rsid w:val="00EA57EF"/>
    <w:rsid w:val="00EA725B"/>
    <w:rsid w:val="00EB4615"/>
    <w:rsid w:val="00EB7F04"/>
    <w:rsid w:val="00EC1824"/>
    <w:rsid w:val="00EC2D3C"/>
    <w:rsid w:val="00EC73B3"/>
    <w:rsid w:val="00ED0C09"/>
    <w:rsid w:val="00ED57C9"/>
    <w:rsid w:val="00ED66BC"/>
    <w:rsid w:val="00EE03EE"/>
    <w:rsid w:val="00EE42AF"/>
    <w:rsid w:val="00EE5403"/>
    <w:rsid w:val="00EE5D52"/>
    <w:rsid w:val="00EF043B"/>
    <w:rsid w:val="00EF237E"/>
    <w:rsid w:val="00EF23DF"/>
    <w:rsid w:val="00EF2575"/>
    <w:rsid w:val="00F0780D"/>
    <w:rsid w:val="00F10265"/>
    <w:rsid w:val="00F16D65"/>
    <w:rsid w:val="00F17B83"/>
    <w:rsid w:val="00F20790"/>
    <w:rsid w:val="00F2351B"/>
    <w:rsid w:val="00F301FF"/>
    <w:rsid w:val="00F32B29"/>
    <w:rsid w:val="00F41597"/>
    <w:rsid w:val="00F4296D"/>
    <w:rsid w:val="00F46396"/>
    <w:rsid w:val="00F47188"/>
    <w:rsid w:val="00F53B8A"/>
    <w:rsid w:val="00F53FDC"/>
    <w:rsid w:val="00F55118"/>
    <w:rsid w:val="00F551AD"/>
    <w:rsid w:val="00F56E8C"/>
    <w:rsid w:val="00F57CBD"/>
    <w:rsid w:val="00F61308"/>
    <w:rsid w:val="00F61547"/>
    <w:rsid w:val="00F619F6"/>
    <w:rsid w:val="00F625A9"/>
    <w:rsid w:val="00F673F0"/>
    <w:rsid w:val="00F7163B"/>
    <w:rsid w:val="00F721F0"/>
    <w:rsid w:val="00F7476C"/>
    <w:rsid w:val="00F76D5B"/>
    <w:rsid w:val="00F83300"/>
    <w:rsid w:val="00F868B9"/>
    <w:rsid w:val="00F8796D"/>
    <w:rsid w:val="00F912B1"/>
    <w:rsid w:val="00F91942"/>
    <w:rsid w:val="00F93B0E"/>
    <w:rsid w:val="00F93BEE"/>
    <w:rsid w:val="00F948D4"/>
    <w:rsid w:val="00F94A49"/>
    <w:rsid w:val="00F96B9C"/>
    <w:rsid w:val="00F97147"/>
    <w:rsid w:val="00FA0AF2"/>
    <w:rsid w:val="00FA430A"/>
    <w:rsid w:val="00FA6626"/>
    <w:rsid w:val="00FB033D"/>
    <w:rsid w:val="00FB0DAB"/>
    <w:rsid w:val="00FB3AE9"/>
    <w:rsid w:val="00FB79C9"/>
    <w:rsid w:val="00FC0076"/>
    <w:rsid w:val="00FC1156"/>
    <w:rsid w:val="00FC342C"/>
    <w:rsid w:val="00FD13E3"/>
    <w:rsid w:val="00FD5516"/>
    <w:rsid w:val="00FD6D44"/>
    <w:rsid w:val="00FD72D9"/>
    <w:rsid w:val="00FD7366"/>
    <w:rsid w:val="00FE7C65"/>
    <w:rsid w:val="00FF2267"/>
    <w:rsid w:val="00FF4009"/>
    <w:rsid w:val="00FF49EB"/>
    <w:rsid w:val="19BA7D30"/>
    <w:rsid w:val="1C172542"/>
    <w:rsid w:val="20FFD92F"/>
    <w:rsid w:val="26406D09"/>
    <w:rsid w:val="3FBB4020"/>
    <w:rsid w:val="4611F8EC"/>
    <w:rsid w:val="5FB0614B"/>
    <w:rsid w:val="66800DAA"/>
    <w:rsid w:val="7DCD1D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8E8AB"/>
  <w15:docId w15:val="{4CD99105-1295-4A06-9876-BA2E819D3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F1C02"/>
    <w:pPr>
      <w:spacing w:after="200" w:line="288" w:lineRule="auto"/>
    </w:pPr>
    <w:rPr>
      <w:rFonts w:ascii="Arial" w:hAnsi="Arial"/>
      <w:color w:val="333333"/>
      <w:lang w:eastAsia="en-US"/>
    </w:rPr>
  </w:style>
  <w:style w:type="paragraph" w:styleId="Heading1">
    <w:name w:val="heading 1"/>
    <w:basedOn w:val="Normal"/>
    <w:next w:val="Body1"/>
    <w:qFormat/>
    <w:rsid w:val="00C11255"/>
    <w:pPr>
      <w:numPr>
        <w:numId w:val="1"/>
      </w:numPr>
      <w:outlineLvl w:val="0"/>
    </w:pPr>
  </w:style>
  <w:style w:type="paragraph" w:styleId="Heading2">
    <w:name w:val="heading 2"/>
    <w:basedOn w:val="Normal"/>
    <w:next w:val="Body2"/>
    <w:qFormat/>
    <w:rsid w:val="00C11255"/>
    <w:pPr>
      <w:numPr>
        <w:ilvl w:val="1"/>
        <w:numId w:val="1"/>
      </w:numPr>
      <w:outlineLvl w:val="1"/>
    </w:pPr>
  </w:style>
  <w:style w:type="paragraph" w:styleId="Heading3">
    <w:name w:val="heading 3"/>
    <w:basedOn w:val="Normal"/>
    <w:next w:val="Body3"/>
    <w:qFormat/>
    <w:rsid w:val="005C4A8E"/>
    <w:pPr>
      <w:numPr>
        <w:ilvl w:val="2"/>
        <w:numId w:val="1"/>
      </w:numPr>
      <w:ind w:hanging="964"/>
      <w:outlineLvl w:val="2"/>
    </w:pPr>
  </w:style>
  <w:style w:type="paragraph" w:styleId="Heading4">
    <w:name w:val="heading 4"/>
    <w:basedOn w:val="Normal"/>
    <w:next w:val="Body4"/>
    <w:qFormat/>
    <w:rsid w:val="005C4A8E"/>
    <w:pPr>
      <w:numPr>
        <w:ilvl w:val="3"/>
        <w:numId w:val="1"/>
      </w:numPr>
      <w:ind w:left="3623" w:hanging="1219"/>
      <w:outlineLvl w:val="3"/>
    </w:pPr>
  </w:style>
  <w:style w:type="paragraph" w:styleId="Heading5">
    <w:name w:val="heading 5"/>
    <w:basedOn w:val="Normal"/>
    <w:next w:val="Body5"/>
    <w:qFormat/>
    <w:rsid w:val="00C11255"/>
    <w:pPr>
      <w:numPr>
        <w:ilvl w:val="4"/>
        <w:numId w:val="1"/>
      </w:numPr>
      <w:outlineLvl w:val="4"/>
    </w:pPr>
  </w:style>
  <w:style w:type="paragraph" w:styleId="Heading6">
    <w:name w:val="heading 6"/>
    <w:basedOn w:val="Normal"/>
    <w:next w:val="Body6"/>
    <w:qFormat/>
    <w:rsid w:val="00C11255"/>
    <w:pPr>
      <w:numPr>
        <w:ilvl w:val="5"/>
        <w:numId w:val="1"/>
      </w:numPr>
      <w:outlineLvl w:val="5"/>
    </w:pPr>
  </w:style>
  <w:style w:type="paragraph" w:styleId="Heading7">
    <w:name w:val="heading 7"/>
    <w:basedOn w:val="Normal"/>
    <w:next w:val="Body7"/>
    <w:qFormat/>
    <w:rsid w:val="00C11255"/>
    <w:pPr>
      <w:numPr>
        <w:ilvl w:val="6"/>
        <w:numId w:val="1"/>
      </w:numPr>
      <w:outlineLvl w:val="6"/>
    </w:pPr>
  </w:style>
  <w:style w:type="paragraph" w:styleId="Heading8">
    <w:name w:val="heading 8"/>
    <w:basedOn w:val="Normal"/>
    <w:next w:val="Body8"/>
    <w:qFormat/>
    <w:rsid w:val="00C11255"/>
    <w:pPr>
      <w:numPr>
        <w:ilvl w:val="7"/>
        <w:numId w:val="1"/>
      </w:numPr>
      <w:outlineLvl w:val="7"/>
    </w:pPr>
  </w:style>
  <w:style w:type="paragraph" w:styleId="Heading9">
    <w:name w:val="heading 9"/>
    <w:basedOn w:val="Normal"/>
    <w:next w:val="Body9"/>
    <w:qFormat/>
    <w:rsid w:val="00C11255"/>
    <w:pPr>
      <w:numPr>
        <w:ilvl w:val="8"/>
        <w:numId w:val="1"/>
      </w:num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C11255"/>
    <w:pPr>
      <w:tabs>
        <w:tab w:val="center" w:pos="4153"/>
        <w:tab w:val="right" w:pos="8306"/>
      </w:tabs>
    </w:pPr>
  </w:style>
  <w:style w:type="paragraph" w:styleId="Footer">
    <w:name w:val="footer"/>
    <w:basedOn w:val="Normal"/>
    <w:rsid w:val="00C11255"/>
    <w:pPr>
      <w:tabs>
        <w:tab w:val="center" w:pos="4153"/>
        <w:tab w:val="right" w:pos="8306"/>
      </w:tabs>
    </w:pPr>
  </w:style>
  <w:style w:type="character" w:styleId="PageNumber">
    <w:name w:val="page number"/>
    <w:basedOn w:val="DefaultParagraphFont"/>
    <w:rsid w:val="00C11255"/>
    <w:rPr>
      <w:rFonts w:ascii="Arial" w:hAnsi="Arial"/>
      <w:sz w:val="18"/>
    </w:rPr>
  </w:style>
  <w:style w:type="paragraph" w:styleId="Body1" w:customStyle="1">
    <w:name w:val="Body1"/>
    <w:basedOn w:val="Normal"/>
    <w:rsid w:val="00C11255"/>
    <w:pPr>
      <w:ind w:left="720"/>
    </w:pPr>
  </w:style>
  <w:style w:type="paragraph" w:styleId="Body2" w:customStyle="1">
    <w:name w:val="Body2"/>
    <w:basedOn w:val="Normal"/>
    <w:rsid w:val="00C11255"/>
    <w:pPr>
      <w:ind w:left="1440"/>
    </w:pPr>
  </w:style>
  <w:style w:type="paragraph" w:styleId="Body3" w:customStyle="1">
    <w:name w:val="Body3"/>
    <w:basedOn w:val="Normal"/>
    <w:rsid w:val="00C11255"/>
    <w:pPr>
      <w:ind w:left="2404"/>
    </w:pPr>
  </w:style>
  <w:style w:type="paragraph" w:styleId="Body4" w:customStyle="1">
    <w:name w:val="Body4"/>
    <w:basedOn w:val="Normal"/>
    <w:rsid w:val="00C11255"/>
    <w:pPr>
      <w:ind w:left="3617"/>
    </w:pPr>
  </w:style>
  <w:style w:type="paragraph" w:styleId="Body5" w:customStyle="1">
    <w:name w:val="Body5"/>
    <w:basedOn w:val="Normal"/>
    <w:rsid w:val="00C11255"/>
    <w:pPr>
      <w:ind w:left="4349"/>
    </w:pPr>
  </w:style>
  <w:style w:type="paragraph" w:styleId="BodyTextIndent">
    <w:name w:val="Body Text Indent"/>
    <w:basedOn w:val="Normal"/>
    <w:rsid w:val="00C11255"/>
    <w:pPr>
      <w:ind w:left="709"/>
    </w:pPr>
  </w:style>
  <w:style w:type="paragraph" w:styleId="Body6" w:customStyle="1">
    <w:name w:val="Body6"/>
    <w:basedOn w:val="Normal"/>
    <w:rsid w:val="00C11255"/>
    <w:pPr>
      <w:ind w:left="5058"/>
    </w:pPr>
  </w:style>
  <w:style w:type="paragraph" w:styleId="Body7" w:customStyle="1">
    <w:name w:val="Body7"/>
    <w:basedOn w:val="Normal"/>
    <w:rsid w:val="00C11255"/>
    <w:pPr>
      <w:ind w:left="5761"/>
    </w:pPr>
  </w:style>
  <w:style w:type="paragraph" w:styleId="Body8" w:customStyle="1">
    <w:name w:val="Body8"/>
    <w:basedOn w:val="Normal"/>
    <w:rsid w:val="00C11255"/>
    <w:pPr>
      <w:ind w:left="6447"/>
    </w:pPr>
  </w:style>
  <w:style w:type="paragraph" w:styleId="Body9" w:customStyle="1">
    <w:name w:val="Body9"/>
    <w:basedOn w:val="Normal"/>
    <w:rsid w:val="00C11255"/>
    <w:pPr>
      <w:ind w:left="7156"/>
    </w:pPr>
  </w:style>
  <w:style w:type="paragraph" w:styleId="ListBullet">
    <w:name w:val="List Bullet"/>
    <w:basedOn w:val="Normal"/>
    <w:rsid w:val="00C11255"/>
    <w:pPr>
      <w:ind w:left="709" w:hanging="709"/>
    </w:pPr>
  </w:style>
  <w:style w:type="paragraph" w:styleId="ListBullet2">
    <w:name w:val="List Bullet 2"/>
    <w:basedOn w:val="Normal"/>
    <w:rsid w:val="00C11255"/>
    <w:pPr>
      <w:ind w:left="993" w:hanging="709"/>
    </w:pPr>
  </w:style>
  <w:style w:type="paragraph" w:styleId="ListBullet3">
    <w:name w:val="List Bullet 3"/>
    <w:basedOn w:val="Normal"/>
    <w:rsid w:val="00C11255"/>
    <w:pPr>
      <w:ind w:left="1276" w:hanging="709"/>
    </w:pPr>
  </w:style>
  <w:style w:type="paragraph" w:styleId="ListBullet4">
    <w:name w:val="List Bullet 4"/>
    <w:basedOn w:val="Normal"/>
    <w:rsid w:val="00C11255"/>
    <w:pPr>
      <w:ind w:left="1560" w:hanging="709"/>
    </w:pPr>
  </w:style>
  <w:style w:type="paragraph" w:styleId="ListBullet5">
    <w:name w:val="List Bullet 5"/>
    <w:basedOn w:val="Normal"/>
    <w:rsid w:val="00C11255"/>
    <w:pPr>
      <w:ind w:left="1843" w:hanging="709"/>
    </w:pPr>
  </w:style>
  <w:style w:type="paragraph" w:styleId="ListContinue">
    <w:name w:val="List Continue"/>
    <w:basedOn w:val="Normal"/>
    <w:rsid w:val="00C11255"/>
    <w:pPr>
      <w:ind w:left="709"/>
    </w:pPr>
  </w:style>
  <w:style w:type="paragraph" w:styleId="ListContinue2">
    <w:name w:val="List Continue 2"/>
    <w:basedOn w:val="Normal"/>
    <w:rsid w:val="00C11255"/>
    <w:pPr>
      <w:ind w:left="567"/>
    </w:pPr>
  </w:style>
  <w:style w:type="paragraph" w:styleId="ListNumber">
    <w:name w:val="List Number"/>
    <w:basedOn w:val="Normal"/>
    <w:rsid w:val="00C11255"/>
    <w:pPr>
      <w:ind w:left="709" w:hanging="709"/>
    </w:pPr>
  </w:style>
  <w:style w:type="paragraph" w:styleId="ListNumber2">
    <w:name w:val="List Number 2"/>
    <w:basedOn w:val="Normal"/>
    <w:rsid w:val="00C11255"/>
    <w:pPr>
      <w:ind w:left="993" w:hanging="709"/>
    </w:pPr>
  </w:style>
  <w:style w:type="paragraph" w:styleId="ListNumber3">
    <w:name w:val="List Number 3"/>
    <w:basedOn w:val="Normal"/>
    <w:rsid w:val="00C11255"/>
    <w:pPr>
      <w:ind w:left="1276" w:hanging="709"/>
    </w:pPr>
  </w:style>
  <w:style w:type="paragraph" w:styleId="ListNumber4">
    <w:name w:val="List Number 4"/>
    <w:basedOn w:val="Normal"/>
    <w:rsid w:val="00C11255"/>
    <w:pPr>
      <w:ind w:left="1560" w:hanging="709"/>
    </w:pPr>
  </w:style>
  <w:style w:type="paragraph" w:styleId="ListNumber5">
    <w:name w:val="List Number 5"/>
    <w:basedOn w:val="Normal"/>
    <w:rsid w:val="00C11255"/>
    <w:pPr>
      <w:ind w:left="1843" w:hanging="709"/>
    </w:pPr>
  </w:style>
  <w:style w:type="paragraph" w:styleId="BodyText">
    <w:name w:val="Body Text"/>
    <w:basedOn w:val="Normal"/>
    <w:rsid w:val="00C11255"/>
  </w:style>
  <w:style w:type="paragraph" w:styleId="DocSpace" w:customStyle="1">
    <w:name w:val="DocSpace"/>
    <w:basedOn w:val="Normal"/>
    <w:rsid w:val="00C11255"/>
  </w:style>
  <w:style w:type="paragraph" w:styleId="SchTitle" w:customStyle="1">
    <w:name w:val="Sch Title"/>
    <w:next w:val="Normal"/>
    <w:rsid w:val="00C11255"/>
    <w:pPr>
      <w:keepNext/>
      <w:spacing w:before="240" w:after="60"/>
      <w:jc w:val="center"/>
    </w:pPr>
    <w:rPr>
      <w:rFonts w:ascii="Arial" w:hAnsi="Arial"/>
      <w:b/>
      <w:noProof/>
      <w:lang w:eastAsia="en-US"/>
    </w:rPr>
  </w:style>
  <w:style w:type="paragraph" w:styleId="SchedClauses" w:customStyle="1">
    <w:name w:val="Sched Clauses"/>
    <w:basedOn w:val="Normal"/>
    <w:rsid w:val="00C11255"/>
  </w:style>
  <w:style w:type="paragraph" w:styleId="STBody" w:customStyle="1">
    <w:name w:val="STBody"/>
    <w:basedOn w:val="Normal"/>
    <w:rsid w:val="00C11255"/>
    <w:pPr>
      <w:keepNext/>
      <w:jc w:val="center"/>
    </w:pPr>
  </w:style>
  <w:style w:type="character" w:styleId="Hyperlink">
    <w:name w:val="Hyperlink"/>
    <w:basedOn w:val="DefaultParagraphFont"/>
    <w:uiPriority w:val="99"/>
    <w:rsid w:val="00C11255"/>
    <w:rPr>
      <w:color w:val="0000FF"/>
      <w:u w:val="single"/>
    </w:rPr>
  </w:style>
  <w:style w:type="paragraph" w:styleId="SingleSpace" w:customStyle="1">
    <w:name w:val="SingleSpace"/>
    <w:rsid w:val="007F1C02"/>
    <w:pPr>
      <w:tabs>
        <w:tab w:val="left" w:pos="993"/>
      </w:tabs>
    </w:pPr>
    <w:rPr>
      <w:rFonts w:ascii="Arial" w:hAnsi="Arial"/>
      <w:lang w:eastAsia="en-US"/>
    </w:rPr>
  </w:style>
  <w:style w:type="paragraph" w:styleId="BalloonText">
    <w:name w:val="Balloon Text"/>
    <w:basedOn w:val="Normal"/>
    <w:semiHidden/>
    <w:rsid w:val="00697B78"/>
    <w:rPr>
      <w:rFonts w:ascii="Tahoma" w:hAnsi="Tahoma" w:cs="Tahoma"/>
      <w:sz w:val="16"/>
      <w:szCs w:val="16"/>
    </w:rPr>
  </w:style>
  <w:style w:type="paragraph" w:styleId="ListParagraph">
    <w:name w:val="List Paragraph"/>
    <w:basedOn w:val="Normal"/>
    <w:uiPriority w:val="1"/>
    <w:qFormat/>
    <w:rsid w:val="004A76D5"/>
    <w:pPr>
      <w:spacing w:after="0"/>
      <w:ind w:left="720"/>
      <w:contextualSpacing/>
    </w:pPr>
    <w:rPr>
      <w:color w:val="auto"/>
    </w:rPr>
  </w:style>
  <w:style w:type="paragraph" w:styleId="NormalWeb">
    <w:name w:val="Normal (Web)"/>
    <w:basedOn w:val="Normal"/>
    <w:uiPriority w:val="99"/>
    <w:unhideWhenUsed/>
    <w:rsid w:val="004A76D5"/>
    <w:pPr>
      <w:spacing w:before="240" w:after="480" w:line="240" w:lineRule="auto"/>
    </w:pPr>
    <w:rPr>
      <w:rFonts w:ascii="Times New Roman" w:hAnsi="Times New Roman"/>
      <w:color w:val="auto"/>
      <w:sz w:val="24"/>
      <w:szCs w:val="24"/>
      <w:lang w:eastAsia="en-GB"/>
    </w:rPr>
  </w:style>
  <w:style w:type="character" w:styleId="Strong">
    <w:name w:val="Strong"/>
    <w:basedOn w:val="DefaultParagraphFont"/>
    <w:uiPriority w:val="1"/>
    <w:qFormat/>
    <w:rsid w:val="0020398C"/>
    <w:rPr>
      <w:b/>
      <w:bCs/>
    </w:rPr>
  </w:style>
  <w:style w:type="character" w:styleId="FollowedHyperlink">
    <w:name w:val="FollowedHyperlink"/>
    <w:basedOn w:val="DefaultParagraphFont"/>
    <w:semiHidden/>
    <w:unhideWhenUsed/>
    <w:rsid w:val="0020398C"/>
    <w:rPr>
      <w:color w:val="800080" w:themeColor="followedHyperlink"/>
      <w:u w:val="single"/>
    </w:rPr>
  </w:style>
  <w:style w:type="paragraph" w:styleId="Default" w:customStyle="1">
    <w:name w:val="Default"/>
    <w:rsid w:val="005E70E7"/>
    <w:pPr>
      <w:autoSpaceDE w:val="0"/>
      <w:autoSpaceDN w:val="0"/>
      <w:adjustRightInd w:val="0"/>
    </w:pPr>
    <w:rPr>
      <w:rFonts w:ascii="Arial" w:hAnsi="Arial" w:cs="Arial"/>
      <w:color w:val="000000"/>
      <w:sz w:val="24"/>
      <w:szCs w:val="24"/>
    </w:rPr>
  </w:style>
  <w:style w:type="paragraph" w:styleId="Paragraph" w:customStyle="1">
    <w:name w:val="Paragraph"/>
    <w:basedOn w:val="Normal"/>
    <w:uiPriority w:val="4"/>
    <w:qFormat/>
    <w:rsid w:val="000223BD"/>
    <w:pPr>
      <w:numPr>
        <w:numId w:val="4"/>
      </w:numPr>
      <w:spacing w:before="240" w:after="240" w:line="276" w:lineRule="auto"/>
    </w:pPr>
    <w:rPr>
      <w:color w:val="auto"/>
      <w:sz w:val="24"/>
      <w:szCs w:val="24"/>
      <w:lang w:eastAsia="en-GB"/>
    </w:rPr>
  </w:style>
  <w:style w:type="paragraph" w:styleId="Revision">
    <w:name w:val="Revision"/>
    <w:hidden/>
    <w:uiPriority w:val="99"/>
    <w:semiHidden/>
    <w:rsid w:val="000329FE"/>
    <w:rPr>
      <w:rFonts w:ascii="Arial" w:hAnsi="Arial"/>
      <w:color w:val="333333"/>
      <w:lang w:eastAsia="en-US"/>
    </w:rPr>
  </w:style>
  <w:style w:type="character" w:styleId="CommentReference">
    <w:name w:val="annotation reference"/>
    <w:basedOn w:val="DefaultParagraphFont"/>
    <w:semiHidden/>
    <w:unhideWhenUsed/>
    <w:rsid w:val="000329FE"/>
    <w:rPr>
      <w:sz w:val="16"/>
      <w:szCs w:val="16"/>
    </w:rPr>
  </w:style>
  <w:style w:type="paragraph" w:styleId="CommentText">
    <w:name w:val="annotation text"/>
    <w:basedOn w:val="Normal"/>
    <w:link w:val="CommentTextChar"/>
    <w:unhideWhenUsed/>
    <w:rsid w:val="000329FE"/>
    <w:pPr>
      <w:spacing w:line="240" w:lineRule="auto"/>
    </w:pPr>
  </w:style>
  <w:style w:type="character" w:styleId="CommentTextChar" w:customStyle="1">
    <w:name w:val="Comment Text Char"/>
    <w:basedOn w:val="DefaultParagraphFont"/>
    <w:link w:val="CommentText"/>
    <w:rsid w:val="000329FE"/>
    <w:rPr>
      <w:rFonts w:ascii="Arial" w:hAnsi="Arial"/>
      <w:color w:val="333333"/>
      <w:lang w:eastAsia="en-US"/>
    </w:rPr>
  </w:style>
  <w:style w:type="paragraph" w:styleId="CommentSubject">
    <w:name w:val="annotation subject"/>
    <w:basedOn w:val="CommentText"/>
    <w:next w:val="CommentText"/>
    <w:link w:val="CommentSubjectChar"/>
    <w:semiHidden/>
    <w:unhideWhenUsed/>
    <w:rsid w:val="000329FE"/>
    <w:rPr>
      <w:b/>
      <w:bCs/>
    </w:rPr>
  </w:style>
  <w:style w:type="character" w:styleId="CommentSubjectChar" w:customStyle="1">
    <w:name w:val="Comment Subject Char"/>
    <w:basedOn w:val="CommentTextChar"/>
    <w:link w:val="CommentSubject"/>
    <w:semiHidden/>
    <w:rsid w:val="000329FE"/>
    <w:rPr>
      <w:rFonts w:ascii="Arial" w:hAnsi="Arial"/>
      <w:b/>
      <w:bCs/>
      <w:color w:val="333333"/>
      <w:lang w:eastAsia="en-US"/>
    </w:rPr>
  </w:style>
  <w:style w:type="paragraph" w:styleId="FootnoteText">
    <w:name w:val="footnote text"/>
    <w:basedOn w:val="Normal"/>
    <w:link w:val="FootnoteTextChar"/>
    <w:semiHidden/>
    <w:unhideWhenUsed/>
    <w:rsid w:val="00C70019"/>
    <w:pPr>
      <w:spacing w:after="0" w:line="240" w:lineRule="auto"/>
    </w:pPr>
  </w:style>
  <w:style w:type="character" w:styleId="FootnoteTextChar" w:customStyle="1">
    <w:name w:val="Footnote Text Char"/>
    <w:basedOn w:val="DefaultParagraphFont"/>
    <w:link w:val="FootnoteText"/>
    <w:semiHidden/>
    <w:rsid w:val="00C70019"/>
    <w:rPr>
      <w:rFonts w:ascii="Arial" w:hAnsi="Arial"/>
      <w:color w:val="333333"/>
      <w:lang w:eastAsia="en-US"/>
    </w:rPr>
  </w:style>
  <w:style w:type="character" w:styleId="FootnoteReference">
    <w:name w:val="footnote reference"/>
    <w:basedOn w:val="DefaultParagraphFont"/>
    <w:uiPriority w:val="99"/>
    <w:semiHidden/>
    <w:unhideWhenUsed/>
    <w:rsid w:val="00C70019"/>
    <w:rPr>
      <w:vertAlign w:val="superscript"/>
    </w:rPr>
  </w:style>
  <w:style w:type="character" w:styleId="NICEnormalChar" w:customStyle="1">
    <w:name w:val="NICE normal Char"/>
    <w:basedOn w:val="DefaultParagraphFont"/>
    <w:link w:val="NICEnormal"/>
    <w:locked/>
    <w:rsid w:val="00B94A47"/>
    <w:rPr>
      <w:rFonts w:ascii="Arial" w:hAnsi="Arial" w:cs="Arial"/>
      <w:lang w:eastAsia="en-US"/>
    </w:rPr>
  </w:style>
  <w:style w:type="paragraph" w:styleId="NICEnormal" w:customStyle="1">
    <w:name w:val="NICE normal"/>
    <w:basedOn w:val="Normal"/>
    <w:link w:val="NICEnormalChar"/>
    <w:rsid w:val="00B94A47"/>
    <w:pPr>
      <w:spacing w:after="240" w:line="360" w:lineRule="auto"/>
    </w:pPr>
    <w:rPr>
      <w:rFonts w:cs="Arial"/>
      <w:color w:val="auto"/>
    </w:rPr>
  </w:style>
  <w:style w:type="character" w:styleId="HeaderChar" w:customStyle="1">
    <w:name w:val="Header Char"/>
    <w:basedOn w:val="DefaultParagraphFont"/>
    <w:link w:val="Header"/>
    <w:uiPriority w:val="99"/>
    <w:rsid w:val="00491045"/>
    <w:rPr>
      <w:rFonts w:ascii="Arial" w:hAnsi="Arial"/>
      <w:color w:val="333333"/>
      <w:lang w:eastAsia="en-US"/>
    </w:rPr>
  </w:style>
  <w:style w:type="character" w:styleId="UnresolvedMention">
    <w:name w:val="Unresolved Mention"/>
    <w:basedOn w:val="DefaultParagraphFont"/>
    <w:uiPriority w:val="99"/>
    <w:semiHidden/>
    <w:unhideWhenUsed/>
    <w:rsid w:val="00623213"/>
    <w:rPr>
      <w:color w:val="605E5C"/>
      <w:shd w:val="clear" w:color="auto" w:fill="E1DFDD"/>
    </w:rPr>
  </w:style>
  <w:style w:type="paragraph" w:styleId="ParagraphNumbered" w:customStyle="1">
    <w:name w:val="Paragraph Numbered"/>
    <w:basedOn w:val="Normal"/>
    <w:uiPriority w:val="4"/>
    <w:qFormat/>
    <w:rsid w:val="002D2F52"/>
    <w:pPr>
      <w:widowControl w:val="0"/>
      <w:tabs>
        <w:tab w:val="left" w:pos="426"/>
      </w:tabs>
      <w:spacing w:after="240" w:line="360" w:lineRule="auto"/>
      <w:ind w:left="425" w:hanging="425"/>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1885">
      <w:bodyDiv w:val="1"/>
      <w:marLeft w:val="0"/>
      <w:marRight w:val="0"/>
      <w:marTop w:val="0"/>
      <w:marBottom w:val="0"/>
      <w:divBdr>
        <w:top w:val="none" w:sz="0" w:space="0" w:color="auto"/>
        <w:left w:val="none" w:sz="0" w:space="0" w:color="auto"/>
        <w:bottom w:val="none" w:sz="0" w:space="0" w:color="auto"/>
        <w:right w:val="none" w:sz="0" w:space="0" w:color="auto"/>
      </w:divBdr>
    </w:div>
    <w:div w:id="357779098">
      <w:bodyDiv w:val="1"/>
      <w:marLeft w:val="0"/>
      <w:marRight w:val="0"/>
      <w:marTop w:val="0"/>
      <w:marBottom w:val="0"/>
      <w:divBdr>
        <w:top w:val="none" w:sz="0" w:space="0" w:color="auto"/>
        <w:left w:val="none" w:sz="0" w:space="0" w:color="auto"/>
        <w:bottom w:val="none" w:sz="0" w:space="0" w:color="auto"/>
        <w:right w:val="none" w:sz="0" w:space="0" w:color="auto"/>
      </w:divBdr>
    </w:div>
    <w:div w:id="945313493">
      <w:bodyDiv w:val="1"/>
      <w:marLeft w:val="0"/>
      <w:marRight w:val="0"/>
      <w:marTop w:val="0"/>
      <w:marBottom w:val="0"/>
      <w:divBdr>
        <w:top w:val="none" w:sz="0" w:space="0" w:color="auto"/>
        <w:left w:val="none" w:sz="0" w:space="0" w:color="auto"/>
        <w:bottom w:val="none" w:sz="0" w:space="0" w:color="auto"/>
        <w:right w:val="none" w:sz="0" w:space="0" w:color="auto"/>
      </w:divBdr>
    </w:div>
    <w:div w:id="974992478">
      <w:bodyDiv w:val="1"/>
      <w:marLeft w:val="0"/>
      <w:marRight w:val="0"/>
      <w:marTop w:val="0"/>
      <w:marBottom w:val="0"/>
      <w:divBdr>
        <w:top w:val="none" w:sz="0" w:space="0" w:color="auto"/>
        <w:left w:val="none" w:sz="0" w:space="0" w:color="auto"/>
        <w:bottom w:val="none" w:sz="0" w:space="0" w:color="auto"/>
        <w:right w:val="none" w:sz="0" w:space="0" w:color="auto"/>
      </w:divBdr>
    </w:div>
    <w:div w:id="993726166">
      <w:bodyDiv w:val="1"/>
      <w:marLeft w:val="0"/>
      <w:marRight w:val="0"/>
      <w:marTop w:val="0"/>
      <w:marBottom w:val="0"/>
      <w:divBdr>
        <w:top w:val="none" w:sz="0" w:space="0" w:color="auto"/>
        <w:left w:val="none" w:sz="0" w:space="0" w:color="auto"/>
        <w:bottom w:val="none" w:sz="0" w:space="0" w:color="auto"/>
        <w:right w:val="none" w:sz="0" w:space="0" w:color="auto"/>
      </w:divBdr>
    </w:div>
    <w:div w:id="1008215759">
      <w:bodyDiv w:val="1"/>
      <w:marLeft w:val="0"/>
      <w:marRight w:val="0"/>
      <w:marTop w:val="0"/>
      <w:marBottom w:val="0"/>
      <w:divBdr>
        <w:top w:val="none" w:sz="0" w:space="0" w:color="auto"/>
        <w:left w:val="none" w:sz="0" w:space="0" w:color="auto"/>
        <w:bottom w:val="none" w:sz="0" w:space="0" w:color="auto"/>
        <w:right w:val="none" w:sz="0" w:space="0" w:color="auto"/>
      </w:divBdr>
    </w:div>
    <w:div w:id="1180238150">
      <w:bodyDiv w:val="1"/>
      <w:marLeft w:val="0"/>
      <w:marRight w:val="0"/>
      <w:marTop w:val="0"/>
      <w:marBottom w:val="0"/>
      <w:divBdr>
        <w:top w:val="none" w:sz="0" w:space="0" w:color="auto"/>
        <w:left w:val="none" w:sz="0" w:space="0" w:color="auto"/>
        <w:bottom w:val="none" w:sz="0" w:space="0" w:color="auto"/>
        <w:right w:val="none" w:sz="0" w:space="0" w:color="auto"/>
      </w:divBdr>
    </w:div>
    <w:div w:id="1525746716">
      <w:bodyDiv w:val="1"/>
      <w:marLeft w:val="0"/>
      <w:marRight w:val="0"/>
      <w:marTop w:val="0"/>
      <w:marBottom w:val="0"/>
      <w:divBdr>
        <w:top w:val="none" w:sz="0" w:space="0" w:color="auto"/>
        <w:left w:val="none" w:sz="0" w:space="0" w:color="auto"/>
        <w:bottom w:val="none" w:sz="0" w:space="0" w:color="auto"/>
        <w:right w:val="none" w:sz="0" w:space="0" w:color="auto"/>
      </w:divBdr>
    </w:div>
    <w:div w:id="1724055910">
      <w:bodyDiv w:val="1"/>
      <w:marLeft w:val="0"/>
      <w:marRight w:val="0"/>
      <w:marTop w:val="0"/>
      <w:marBottom w:val="0"/>
      <w:divBdr>
        <w:top w:val="none" w:sz="0" w:space="0" w:color="auto"/>
        <w:left w:val="none" w:sz="0" w:space="0" w:color="auto"/>
        <w:bottom w:val="none" w:sz="0" w:space="0" w:color="auto"/>
        <w:right w:val="none" w:sz="0" w:space="0" w:color="auto"/>
      </w:divBdr>
    </w:div>
    <w:div w:id="205542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eb656aa-4e79-4e95-9076-bc119a23e0cc" xsi:nil="true"/>
    <lcf76f155ced4ddcb4097134ff3c332f xmlns="465a54fe-435b-4423-8fe2-c9a3626b31f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4" ma:contentTypeDescription="Create a new document." ma:contentTypeScope="" ma:versionID="728ec610e5ae5b6dd53e05eaba2b713f">
  <xsd:schema xmlns:xsd="http://www.w3.org/2001/XMLSchema" xmlns:xs="http://www.w3.org/2001/XMLSchema" xmlns:p="http://schemas.microsoft.com/office/2006/metadata/properties" xmlns:ns2="465a54fe-435b-4423-8fe2-c9a3626b31f7" xmlns:ns3="68f19371-ebe6-4483-8e72-73d36cd7064e" xmlns:ns4="0eb656aa-4e79-4e95-9076-bc119a23e0cc" targetNamespace="http://schemas.microsoft.com/office/2006/metadata/properties" ma:root="true" ma:fieldsID="6b95492fdec4d137835758420a921f71" ns2:_="" ns3:_="" ns4:_="">
    <xsd:import namespace="465a54fe-435b-4423-8fe2-c9a3626b31f7"/>
    <xsd:import namespace="68f19371-ebe6-4483-8e72-73d36cd7064e"/>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4d61abc-4cd0-41d5-925d-20cb28cbf0f5}" ma:internalName="TaxCatchAll" ma:showField="CatchAllData" ma:web="68f19371-ebe6-4483-8e72-73d36cd70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061C09-26E5-4A65-BF85-A7418DC2A015}">
  <ds:schemaRefs>
    <ds:schemaRef ds:uri="http://schemas.microsoft.com/sharepoint/v3/contenttype/forms"/>
  </ds:schemaRefs>
</ds:datastoreItem>
</file>

<file path=customXml/itemProps2.xml><?xml version="1.0" encoding="utf-8"?>
<ds:datastoreItem xmlns:ds="http://schemas.openxmlformats.org/officeDocument/2006/customXml" ds:itemID="{CFE2D22A-B11F-4E7F-971A-9E262538D3B2}">
  <ds:schemaRefs>
    <ds:schemaRef ds:uri="http://purl.org/dc/terms/"/>
    <ds:schemaRef ds:uri="http://www.w3.org/XML/1998/namespace"/>
    <ds:schemaRef ds:uri="465a54fe-435b-4423-8fe2-c9a3626b31f7"/>
    <ds:schemaRef ds:uri="68f19371-ebe6-4483-8e72-73d36cd7064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D83A2E7-6B44-4C81-B560-35E55864169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Woodward</dc:creator>
  <cp:keywords/>
  <cp:lastModifiedBy>Lyn Davies</cp:lastModifiedBy>
  <cp:revision>15</cp:revision>
  <dcterms:created xsi:type="dcterms:W3CDTF">2025-09-05T23:42:00Z</dcterms:created>
  <dcterms:modified xsi:type="dcterms:W3CDTF">2025-11-12T14:14:11Z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0x0101003300E5E64B980D458C754FFE05DEE26D</vt:lpwstr>
  </property>
  <property fmtid="{D5CDD505-2E9C-101B-9397-08002B2CF9AE}" pid="3" name="MSIP_Label_c69d85d5-6d9e-4305-a294-1f636ec0f2d6_Enabled">
    <vt:lpwstr>true</vt:lpwstr>
  </property>
  <property fmtid="{D5CDD505-2E9C-101B-9397-08002B2CF9AE}" pid="4" name="MSIP_Label_c69d85d5-6d9e-4305-a294-1f636ec0f2d6_SetDate">
    <vt:lpwstr>2025-09-05T15:42:18Z</vt:lpwstr>
  </property>
  <property fmtid="{D5CDD505-2E9C-101B-9397-08002B2CF9AE}" pid="5" name="MSIP_Label_c69d85d5-6d9e-4305-a294-1f636ec0f2d6_Method">
    <vt:lpwstr>Standard</vt:lpwstr>
  </property>
  <property fmtid="{D5CDD505-2E9C-101B-9397-08002B2CF9AE}" pid="6" name="MSIP_Label_c69d85d5-6d9e-4305-a294-1f636ec0f2d6_Name">
    <vt:lpwstr>OFFICIAL</vt:lpwstr>
  </property>
  <property fmtid="{D5CDD505-2E9C-101B-9397-08002B2CF9AE}" pid="7" name="MSIP_Label_c69d85d5-6d9e-4305-a294-1f636ec0f2d6_SiteId">
    <vt:lpwstr>6030f479-b342-472d-a5dd-740ff7538de9</vt:lpwstr>
  </property>
  <property fmtid="{D5CDD505-2E9C-101B-9397-08002B2CF9AE}" pid="8" name="MSIP_Label_c69d85d5-6d9e-4305-a294-1f636ec0f2d6_ActionId">
    <vt:lpwstr>51201ea6-758e-499c-b97e-c40264ac5035</vt:lpwstr>
  </property>
  <property fmtid="{D5CDD505-2E9C-101B-9397-08002B2CF9AE}" pid="9" name="MSIP_Label_c69d85d5-6d9e-4305-a294-1f636ec0f2d6_ContentBits">
    <vt:lpwstr>0</vt:lpwstr>
  </property>
  <property fmtid="{D5CDD505-2E9C-101B-9397-08002B2CF9AE}" pid="10" name="MSIP_Label_c69d85d5-6d9e-4305-a294-1f636ec0f2d6_Tag">
    <vt:lpwstr>10, 3, 0, 2</vt:lpwstr>
  </property>
  <property fmtid="{D5CDD505-2E9C-101B-9397-08002B2CF9AE}" pid="11" name="MediaServiceImageTags">
    <vt:lpwstr/>
  </property>
</Properties>
</file>