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D337" w14:textId="28207636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Advisory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1047F6">
        <w:rPr>
          <w:rFonts w:ascii="Arial" w:hAnsi="Arial" w:cs="Arial"/>
          <w:b/>
          <w:bCs/>
          <w:color w:val="00506A"/>
          <w:sz w:val="28"/>
          <w:szCs w:val="28"/>
        </w:rPr>
        <w:t>C</w:t>
      </w: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07BBDD77" w14:textId="7E3BCFEB" w:rsidR="00A43DA6" w:rsidRPr="00D8132E" w:rsidRDefault="007574E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1047F6">
        <w:rPr>
          <w:rFonts w:ascii="Arial" w:hAnsi="Arial" w:cs="Arial"/>
          <w:b/>
          <w:bCs/>
          <w:color w:val="00506A"/>
          <w:sz w:val="28"/>
          <w:szCs w:val="28"/>
        </w:rPr>
        <w:t>Topic</w:t>
      </w:r>
      <w:r w:rsidR="003404D8" w:rsidRPr="001047F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A43DA6" w:rsidRPr="001047F6">
        <w:rPr>
          <w:rFonts w:ascii="Arial" w:hAnsi="Arial" w:cs="Arial"/>
          <w:b/>
          <w:bCs/>
          <w:color w:val="00506A"/>
          <w:sz w:val="28"/>
          <w:szCs w:val="28"/>
        </w:rPr>
        <w:t>[</w:t>
      </w:r>
      <w:r w:rsidR="00D8132E" w:rsidRPr="001047F6">
        <w:rPr>
          <w:rFonts w:ascii="Arial" w:hAnsi="Arial" w:cs="Arial"/>
          <w:b/>
          <w:bCs/>
          <w:color w:val="00506A"/>
          <w:sz w:val="28"/>
          <w:szCs w:val="28"/>
        </w:rPr>
        <w:t>ID</w:t>
      </w:r>
      <w:r w:rsidR="001047F6">
        <w:rPr>
          <w:rFonts w:ascii="Arial" w:hAnsi="Arial" w:cs="Arial"/>
          <w:b/>
          <w:bCs/>
          <w:color w:val="00506A"/>
          <w:sz w:val="28"/>
          <w:szCs w:val="28"/>
        </w:rPr>
        <w:t>6261</w:t>
      </w:r>
      <w:r w:rsidR="00A43DA6" w:rsidRPr="001047F6">
        <w:rPr>
          <w:rFonts w:ascii="Arial" w:hAnsi="Arial" w:cs="Arial"/>
          <w:b/>
          <w:bCs/>
          <w:color w:val="00506A"/>
          <w:sz w:val="28"/>
          <w:szCs w:val="28"/>
        </w:rPr>
        <w:t>]</w:t>
      </w:r>
    </w:p>
    <w:p w14:paraId="74C01AEC" w14:textId="2779D089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DC19E6" w:rsidRPr="00DC19E6">
        <w:rPr>
          <w:rFonts w:ascii="Arial" w:hAnsi="Arial" w:cs="Arial"/>
          <w:b/>
          <w:bCs/>
          <w:color w:val="00506A"/>
          <w:sz w:val="28"/>
          <w:szCs w:val="28"/>
        </w:rPr>
        <w:t>08/05/2024</w:t>
      </w:r>
    </w:p>
    <w:p w14:paraId="1C7CC411" w14:textId="77777777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4"/>
        <w:gridCol w:w="1741"/>
        <w:gridCol w:w="1939"/>
        <w:gridCol w:w="3799"/>
        <w:gridCol w:w="1467"/>
        <w:gridCol w:w="2868"/>
      </w:tblGrid>
      <w:tr w:rsidR="005C6BC7" w:rsidRPr="009F66BF" w14:paraId="111674D1" w14:textId="77777777" w:rsidTr="001047F6">
        <w:trPr>
          <w:trHeight w:val="775"/>
          <w:tblHeader/>
        </w:trPr>
        <w:tc>
          <w:tcPr>
            <w:tcW w:w="76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24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695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62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526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28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1047F6" w14:paraId="3C7E304E" w14:textId="77777777" w:rsidTr="001047F6">
        <w:tc>
          <w:tcPr>
            <w:tcW w:w="765" w:type="pct"/>
          </w:tcPr>
          <w:p w14:paraId="362157B7" w14:textId="586FECE0" w:rsidR="001047F6" w:rsidRPr="001047F6" w:rsidRDefault="001047F6" w:rsidP="001047F6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1047F6">
              <w:rPr>
                <w:rFonts w:cs="Arial"/>
                <w:b w:val="0"/>
                <w:iCs/>
                <w:sz w:val="22"/>
                <w:szCs w:val="22"/>
              </w:rPr>
              <w:t xml:space="preserve">Elizabeth </w:t>
            </w:r>
            <w:proofErr w:type="spellStart"/>
            <w:r w:rsidRPr="001047F6">
              <w:rPr>
                <w:rFonts w:cs="Arial"/>
                <w:b w:val="0"/>
                <w:iCs/>
                <w:sz w:val="22"/>
                <w:szCs w:val="22"/>
              </w:rPr>
              <w:t>Thurgar</w:t>
            </w:r>
            <w:proofErr w:type="spellEnd"/>
          </w:p>
        </w:tc>
        <w:tc>
          <w:tcPr>
            <w:tcW w:w="624" w:type="pct"/>
          </w:tcPr>
          <w:p w14:paraId="382ED75B" w14:textId="523FCCDC" w:rsidR="001047F6" w:rsidRPr="001047F6" w:rsidRDefault="001047F6" w:rsidP="001047F6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1047F6">
              <w:rPr>
                <w:rFonts w:cs="Arial"/>
                <w:b w:val="0"/>
                <w:iCs/>
                <w:sz w:val="22"/>
                <w:szCs w:val="22"/>
              </w:rPr>
              <w:t xml:space="preserve">TAC </w:t>
            </w:r>
            <w:r>
              <w:rPr>
                <w:rFonts w:cs="Arial"/>
                <w:b w:val="0"/>
                <w:iCs/>
                <w:sz w:val="22"/>
                <w:szCs w:val="22"/>
              </w:rPr>
              <w:t xml:space="preserve">C </w:t>
            </w:r>
            <w:r w:rsidRPr="001047F6">
              <w:rPr>
                <w:rFonts w:cs="Arial"/>
                <w:b w:val="0"/>
                <w:iCs/>
                <w:sz w:val="22"/>
                <w:szCs w:val="22"/>
              </w:rPr>
              <w:t>Committee Member</w:t>
            </w:r>
          </w:p>
        </w:tc>
        <w:tc>
          <w:tcPr>
            <w:tcW w:w="695" w:type="pct"/>
          </w:tcPr>
          <w:p w14:paraId="780889A8" w14:textId="7DE1F99A" w:rsidR="001047F6" w:rsidRPr="001047F6" w:rsidRDefault="001047F6" w:rsidP="001047F6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 w:rsidRPr="001047F6">
              <w:rPr>
                <w:rFonts w:cs="Arial"/>
                <w:b w:val="0"/>
                <w:iCs/>
                <w:sz w:val="22"/>
                <w:szCs w:val="22"/>
              </w:rPr>
              <w:t>Direct- financial</w:t>
            </w:r>
          </w:p>
        </w:tc>
        <w:tc>
          <w:tcPr>
            <w:tcW w:w="1362" w:type="pct"/>
          </w:tcPr>
          <w:p w14:paraId="7A95FCCC" w14:textId="4ADE5792" w:rsidR="001047F6" w:rsidRPr="001047F6" w:rsidRDefault="001047F6" w:rsidP="001047F6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1047F6">
              <w:rPr>
                <w:rFonts w:cs="Arial"/>
                <w:b w:val="0"/>
                <w:iCs/>
                <w:sz w:val="22"/>
                <w:szCs w:val="22"/>
              </w:rPr>
              <w:t xml:space="preserve">Elizabeth </w:t>
            </w:r>
            <w:proofErr w:type="spellStart"/>
            <w:r w:rsidRPr="001047F6">
              <w:rPr>
                <w:rFonts w:cs="Arial"/>
                <w:b w:val="0"/>
                <w:iCs/>
                <w:sz w:val="22"/>
                <w:szCs w:val="22"/>
              </w:rPr>
              <w:t>Thurgar</w:t>
            </w:r>
            <w:proofErr w:type="spellEnd"/>
            <w:r w:rsidRPr="001047F6">
              <w:rPr>
                <w:rFonts w:cs="Arial"/>
                <w:b w:val="0"/>
                <w:iCs/>
                <w:sz w:val="22"/>
                <w:szCs w:val="22"/>
              </w:rPr>
              <w:t xml:space="preserve"> ha</w:t>
            </w:r>
            <w:r>
              <w:rPr>
                <w:rFonts w:cs="Arial"/>
                <w:b w:val="0"/>
                <w:iCs/>
                <w:sz w:val="22"/>
                <w:szCs w:val="22"/>
              </w:rPr>
              <w:t>s</w:t>
            </w:r>
            <w:r w:rsidRPr="001047F6">
              <w:rPr>
                <w:rFonts w:cs="Arial"/>
                <w:b w:val="0"/>
                <w:iCs/>
                <w:sz w:val="22"/>
                <w:szCs w:val="22"/>
              </w:rPr>
              <w:t>, in the last six months, provided consultancy advice for Kite in an unrelated indication, relapsed or refractory mantle cell lymphoma.</w:t>
            </w:r>
          </w:p>
        </w:tc>
        <w:tc>
          <w:tcPr>
            <w:tcW w:w="526" w:type="pct"/>
          </w:tcPr>
          <w:p w14:paraId="6CF25CA4" w14:textId="637993C6" w:rsidR="001047F6" w:rsidRPr="001047F6" w:rsidRDefault="001047F6" w:rsidP="001047F6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19/02/2024</w:t>
            </w:r>
          </w:p>
        </w:tc>
        <w:tc>
          <w:tcPr>
            <w:tcW w:w="1028" w:type="pct"/>
          </w:tcPr>
          <w:p w14:paraId="23923EC1" w14:textId="5ACFC9EB" w:rsidR="001047F6" w:rsidRPr="001047F6" w:rsidRDefault="001047F6" w:rsidP="001047F6">
            <w:pPr>
              <w:pStyle w:val="Title"/>
              <w:jc w:val="left"/>
              <w:rPr>
                <w:rFonts w:cs="Arial"/>
                <w:b w:val="0"/>
                <w:bCs w:val="0"/>
                <w:iCs/>
                <w:sz w:val="22"/>
                <w:szCs w:val="22"/>
              </w:rPr>
            </w:pPr>
            <w:r w:rsidRPr="001047F6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It was agreed that </w:t>
            </w:r>
            <w:r w:rsidRPr="001047F6">
              <w:rPr>
                <w:rFonts w:cs="Arial"/>
                <w:b w:val="0"/>
                <w:iCs/>
                <w:sz w:val="22"/>
                <w:szCs w:val="22"/>
              </w:rPr>
              <w:t xml:space="preserve">Elizabeth </w:t>
            </w:r>
            <w:proofErr w:type="spellStart"/>
            <w:r w:rsidRPr="001047F6">
              <w:rPr>
                <w:rFonts w:cs="Arial"/>
                <w:b w:val="0"/>
                <w:iCs/>
                <w:sz w:val="22"/>
                <w:szCs w:val="22"/>
              </w:rPr>
              <w:t>Thurgar</w:t>
            </w:r>
            <w:r w:rsidRPr="001047F6">
              <w:rPr>
                <w:rFonts w:cs="Arial"/>
                <w:b w:val="0"/>
                <w:bCs w:val="0"/>
                <w:iCs/>
                <w:sz w:val="22"/>
                <w:szCs w:val="22"/>
              </w:rPr>
              <w:t>'s</w:t>
            </w:r>
            <w:proofErr w:type="spellEnd"/>
            <w:r w:rsidRPr="001047F6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 declaration would not prevent her from participating in discussions on this appraisal</w:t>
            </w:r>
          </w:p>
        </w:tc>
      </w:tr>
      <w:tr w:rsidR="001047F6" w14:paraId="7C538747" w14:textId="77777777" w:rsidTr="001047F6">
        <w:tc>
          <w:tcPr>
            <w:tcW w:w="765" w:type="pct"/>
          </w:tcPr>
          <w:p w14:paraId="363BEF40" w14:textId="674BDBA3" w:rsidR="001047F6" w:rsidRDefault="001047F6" w:rsidP="001047F6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047F6">
              <w:rPr>
                <w:rFonts w:ascii="Arial" w:hAnsi="Arial" w:cs="Arial"/>
                <w:iCs/>
              </w:rPr>
              <w:t>Satish Venkateshan</w:t>
            </w:r>
          </w:p>
          <w:p w14:paraId="6C22FC2A" w14:textId="77777777" w:rsidR="001047F6" w:rsidRPr="001047F6" w:rsidRDefault="001047F6" w:rsidP="001047F6"/>
          <w:p w14:paraId="0A7981A4" w14:textId="77777777" w:rsidR="001047F6" w:rsidRDefault="001047F6" w:rsidP="001047F6">
            <w:pPr>
              <w:rPr>
                <w:rFonts w:ascii="Arial" w:hAnsi="Arial" w:cs="Arial"/>
                <w:iCs/>
                <w:sz w:val="22"/>
              </w:rPr>
            </w:pPr>
          </w:p>
          <w:p w14:paraId="5A9ABA95" w14:textId="77777777" w:rsidR="001047F6" w:rsidRPr="001047F6" w:rsidRDefault="001047F6" w:rsidP="001047F6">
            <w:pPr>
              <w:jc w:val="right"/>
            </w:pPr>
          </w:p>
        </w:tc>
        <w:tc>
          <w:tcPr>
            <w:tcW w:w="624" w:type="pct"/>
          </w:tcPr>
          <w:p w14:paraId="7CF4D325" w14:textId="658B03BA" w:rsidR="001047F6" w:rsidRPr="004415DB" w:rsidRDefault="001047F6" w:rsidP="001047F6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047F6">
              <w:rPr>
                <w:rFonts w:ascii="Arial" w:hAnsi="Arial" w:cs="Arial"/>
                <w:iCs/>
              </w:rPr>
              <w:t>TAC C Committee Member</w:t>
            </w:r>
          </w:p>
        </w:tc>
        <w:tc>
          <w:tcPr>
            <w:tcW w:w="695" w:type="pct"/>
          </w:tcPr>
          <w:p w14:paraId="57553DA8" w14:textId="0DC688EC" w:rsidR="001047F6" w:rsidRPr="001047F6" w:rsidRDefault="001047F6" w:rsidP="001047F6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047F6">
              <w:rPr>
                <w:rFonts w:ascii="Arial" w:hAnsi="Arial" w:cs="Arial"/>
                <w:iCs/>
                <w:szCs w:val="22"/>
              </w:rPr>
              <w:t>Direct- financial</w:t>
            </w:r>
          </w:p>
        </w:tc>
        <w:tc>
          <w:tcPr>
            <w:tcW w:w="1362" w:type="pct"/>
          </w:tcPr>
          <w:p w14:paraId="797129F9" w14:textId="77777777" w:rsidR="001047F6" w:rsidRDefault="001047F6" w:rsidP="001047F6">
            <w:pPr>
              <w:pStyle w:val="Paragraph"/>
              <w:rPr>
                <w:rFonts w:ascii="Arial" w:hAnsi="Arial" w:cs="Arial"/>
                <w:iCs/>
              </w:rPr>
            </w:pPr>
            <w:r w:rsidRPr="001047F6">
              <w:rPr>
                <w:rFonts w:ascii="Arial" w:hAnsi="Arial" w:cs="Arial"/>
                <w:iCs/>
              </w:rPr>
              <w:t>Regeneron has been developing Covid-19 treatments like casirivimab and imdevimab monoclonal antibodies and next generation covid antibody in the pipeline. Satish Venkateshan work</w:t>
            </w:r>
            <w:r>
              <w:rPr>
                <w:rFonts w:ascii="Arial" w:hAnsi="Arial" w:cs="Arial"/>
                <w:iCs/>
              </w:rPr>
              <w:t>s</w:t>
            </w:r>
            <w:r w:rsidRPr="001047F6">
              <w:rPr>
                <w:rFonts w:ascii="Arial" w:hAnsi="Arial" w:cs="Arial"/>
                <w:iCs/>
              </w:rPr>
              <w:t xml:space="preserve"> for Regeneron, pharmaceuticals/biotech company.</w:t>
            </w:r>
            <w:r>
              <w:t xml:space="preserve"> </w:t>
            </w:r>
            <w:r w:rsidRPr="001047F6">
              <w:rPr>
                <w:rFonts w:ascii="Arial" w:hAnsi="Arial" w:cs="Arial"/>
                <w:iCs/>
              </w:rPr>
              <w:t>Satish Venkateshan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1047F6">
              <w:rPr>
                <w:rFonts w:ascii="Arial" w:hAnsi="Arial" w:cs="Arial"/>
                <w:iCs/>
              </w:rPr>
              <w:t>also own</w:t>
            </w:r>
            <w:r>
              <w:rPr>
                <w:rFonts w:ascii="Arial" w:hAnsi="Arial" w:cs="Arial"/>
                <w:iCs/>
              </w:rPr>
              <w:t xml:space="preserve">s </w:t>
            </w:r>
            <w:r w:rsidRPr="001047F6">
              <w:rPr>
                <w:rFonts w:ascii="Arial" w:hAnsi="Arial" w:cs="Arial"/>
                <w:iCs/>
              </w:rPr>
              <w:t>shares in the company and h</w:t>
            </w:r>
            <w:r>
              <w:rPr>
                <w:rFonts w:ascii="Arial" w:hAnsi="Arial" w:cs="Arial"/>
                <w:iCs/>
              </w:rPr>
              <w:t>as</w:t>
            </w:r>
            <w:r w:rsidRPr="001047F6">
              <w:rPr>
                <w:rFonts w:ascii="Arial" w:hAnsi="Arial" w:cs="Arial"/>
                <w:iCs/>
              </w:rPr>
              <w:t xml:space="preserve"> stock options. </w:t>
            </w:r>
          </w:p>
          <w:p w14:paraId="7C2B42C0" w14:textId="493D6770" w:rsidR="001047F6" w:rsidRPr="004415DB" w:rsidRDefault="001047F6" w:rsidP="001047F6">
            <w:pPr>
              <w:pStyle w:val="Paragraph"/>
              <w:rPr>
                <w:rFonts w:ascii="Arial" w:hAnsi="Arial" w:cs="Arial"/>
                <w:iCs/>
              </w:rPr>
            </w:pPr>
            <w:r w:rsidRPr="001047F6">
              <w:rPr>
                <w:rFonts w:ascii="Arial" w:hAnsi="Arial" w:cs="Arial"/>
                <w:iCs/>
              </w:rPr>
              <w:t>Satish Venkateshan</w:t>
            </w:r>
            <w:r>
              <w:rPr>
                <w:rFonts w:ascii="Arial" w:hAnsi="Arial" w:cs="Arial"/>
                <w:iCs/>
              </w:rPr>
              <w:t xml:space="preserve"> was </w:t>
            </w:r>
            <w:r w:rsidRPr="001047F6">
              <w:rPr>
                <w:rFonts w:ascii="Arial" w:hAnsi="Arial" w:cs="Arial"/>
                <w:iCs/>
              </w:rPr>
              <w:t xml:space="preserve">conflicted and </w:t>
            </w:r>
            <w:r>
              <w:rPr>
                <w:rFonts w:ascii="Arial" w:hAnsi="Arial" w:cs="Arial"/>
                <w:iCs/>
              </w:rPr>
              <w:t>did</w:t>
            </w:r>
            <w:r w:rsidRPr="001047F6">
              <w:rPr>
                <w:rFonts w:ascii="Arial" w:hAnsi="Arial" w:cs="Arial"/>
                <w:iCs/>
              </w:rPr>
              <w:t xml:space="preserve"> not attend this discussion.</w:t>
            </w:r>
          </w:p>
        </w:tc>
        <w:tc>
          <w:tcPr>
            <w:tcW w:w="526" w:type="pct"/>
          </w:tcPr>
          <w:p w14:paraId="55C6028F" w14:textId="3D5E76A9" w:rsidR="001047F6" w:rsidRPr="004415DB" w:rsidRDefault="001047F6" w:rsidP="001047F6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19/02/2024</w:t>
            </w:r>
          </w:p>
        </w:tc>
        <w:tc>
          <w:tcPr>
            <w:tcW w:w="1028" w:type="pct"/>
          </w:tcPr>
          <w:p w14:paraId="1619F187" w14:textId="42F1F18B" w:rsidR="001047F6" w:rsidRPr="004415DB" w:rsidRDefault="001047F6" w:rsidP="001047F6">
            <w:pPr>
              <w:pStyle w:val="Paragraph"/>
              <w:rPr>
                <w:rFonts w:ascii="Arial" w:hAnsi="Arial" w:cs="Arial"/>
                <w:iCs/>
              </w:rPr>
            </w:pPr>
            <w:r w:rsidRPr="001047F6">
              <w:rPr>
                <w:rFonts w:ascii="Arial" w:hAnsi="Arial" w:cs="Arial"/>
                <w:iCs/>
              </w:rPr>
              <w:t xml:space="preserve">It was agreed that Satish </w:t>
            </w:r>
            <w:proofErr w:type="spellStart"/>
            <w:r w:rsidRPr="001047F6">
              <w:rPr>
                <w:rFonts w:ascii="Arial" w:hAnsi="Arial" w:cs="Arial"/>
                <w:iCs/>
              </w:rPr>
              <w:t>Venkateshan's</w:t>
            </w:r>
            <w:proofErr w:type="spellEnd"/>
            <w:r w:rsidRPr="001047F6">
              <w:rPr>
                <w:rFonts w:ascii="Arial" w:hAnsi="Arial" w:cs="Arial"/>
                <w:iCs/>
              </w:rPr>
              <w:t xml:space="preserve"> declaration would prevent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1047F6">
              <w:rPr>
                <w:rFonts w:ascii="Arial" w:hAnsi="Arial" w:cs="Arial"/>
                <w:iCs/>
              </w:rPr>
              <w:t>him from participating in discussions on this appraisa</w:t>
            </w:r>
            <w:r>
              <w:rPr>
                <w:rFonts w:ascii="Arial" w:hAnsi="Arial" w:cs="Arial"/>
                <w:iCs/>
              </w:rPr>
              <w:t>l</w:t>
            </w:r>
          </w:p>
        </w:tc>
      </w:tr>
      <w:tr w:rsidR="001047F6" w14:paraId="07D6FE42" w14:textId="77777777" w:rsidTr="001047F6">
        <w:tc>
          <w:tcPr>
            <w:tcW w:w="765" w:type="pct"/>
          </w:tcPr>
          <w:p w14:paraId="314922F4" w14:textId="4FDBB71C" w:rsidR="001047F6" w:rsidRDefault="001047F6" w:rsidP="001047F6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047F6">
              <w:rPr>
                <w:rFonts w:ascii="Arial" w:hAnsi="Arial" w:cs="Arial"/>
                <w:iCs/>
              </w:rPr>
              <w:lastRenderedPageBreak/>
              <w:t>Dr Kate Ren</w:t>
            </w:r>
          </w:p>
          <w:p w14:paraId="5D5835FE" w14:textId="77777777" w:rsidR="001047F6" w:rsidRPr="001047F6" w:rsidRDefault="001047F6" w:rsidP="001047F6">
            <w:pPr>
              <w:jc w:val="center"/>
            </w:pPr>
          </w:p>
        </w:tc>
        <w:tc>
          <w:tcPr>
            <w:tcW w:w="624" w:type="pct"/>
          </w:tcPr>
          <w:p w14:paraId="1C1C2F76" w14:textId="45AA007B" w:rsidR="001047F6" w:rsidRPr="004415DB" w:rsidRDefault="001047F6" w:rsidP="001047F6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047F6">
              <w:rPr>
                <w:rFonts w:ascii="Arial" w:hAnsi="Arial" w:cs="Arial"/>
                <w:iCs/>
              </w:rPr>
              <w:t>TAC C Committee Member</w:t>
            </w:r>
          </w:p>
        </w:tc>
        <w:tc>
          <w:tcPr>
            <w:tcW w:w="695" w:type="pct"/>
          </w:tcPr>
          <w:p w14:paraId="0FFAD29A" w14:textId="1C9608C8" w:rsidR="001047F6" w:rsidRDefault="001047F6" w:rsidP="001047F6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047F6">
              <w:rPr>
                <w:rFonts w:ascii="Arial" w:hAnsi="Arial" w:cs="Arial"/>
                <w:iCs/>
              </w:rPr>
              <w:t>Non-financial professional interests</w:t>
            </w:r>
          </w:p>
          <w:p w14:paraId="005581B6" w14:textId="77777777" w:rsidR="001047F6" w:rsidRPr="001047F6" w:rsidRDefault="001047F6" w:rsidP="001047F6"/>
        </w:tc>
        <w:tc>
          <w:tcPr>
            <w:tcW w:w="1362" w:type="pct"/>
          </w:tcPr>
          <w:p w14:paraId="4A1D308F" w14:textId="77777777" w:rsidR="00BE3CC3" w:rsidRDefault="00BE3CC3" w:rsidP="001047F6">
            <w:pPr>
              <w:pStyle w:val="Paragraph"/>
              <w:rPr>
                <w:rFonts w:ascii="Arial" w:hAnsi="Arial" w:cs="Arial"/>
                <w:iCs/>
              </w:rPr>
            </w:pPr>
            <w:r w:rsidRPr="00BE3CC3">
              <w:rPr>
                <w:rFonts w:ascii="Arial" w:hAnsi="Arial" w:cs="Arial"/>
                <w:iCs/>
              </w:rPr>
              <w:t xml:space="preserve">Dr Kate Ren </w:t>
            </w:r>
            <w:r>
              <w:rPr>
                <w:rFonts w:ascii="Arial" w:hAnsi="Arial" w:cs="Arial"/>
                <w:iCs/>
              </w:rPr>
              <w:t>is</w:t>
            </w:r>
            <w:r w:rsidRPr="00BE3CC3">
              <w:rPr>
                <w:rFonts w:ascii="Arial" w:hAnsi="Arial" w:cs="Arial"/>
                <w:iCs/>
              </w:rPr>
              <w:t xml:space="preserve"> a co-author of the EAG report.</w:t>
            </w:r>
          </w:p>
          <w:p w14:paraId="6B5DCD4D" w14:textId="5EDCD771" w:rsidR="001047F6" w:rsidRPr="004415DB" w:rsidRDefault="00BE3CC3" w:rsidP="001047F6">
            <w:pPr>
              <w:pStyle w:val="Paragraph"/>
              <w:rPr>
                <w:rFonts w:ascii="Arial" w:hAnsi="Arial" w:cs="Arial"/>
                <w:iCs/>
              </w:rPr>
            </w:pPr>
            <w:r w:rsidRPr="00BE3CC3">
              <w:rPr>
                <w:rFonts w:ascii="Arial" w:hAnsi="Arial" w:cs="Arial"/>
                <w:iCs/>
              </w:rPr>
              <w:t xml:space="preserve">Dr Kate Ren </w:t>
            </w:r>
            <w:r>
              <w:rPr>
                <w:rFonts w:ascii="Arial" w:hAnsi="Arial" w:cs="Arial"/>
                <w:iCs/>
              </w:rPr>
              <w:t>wa</w:t>
            </w:r>
            <w:r w:rsidRPr="00BE3CC3">
              <w:rPr>
                <w:rFonts w:ascii="Arial" w:hAnsi="Arial" w:cs="Arial"/>
                <w:iCs/>
              </w:rPr>
              <w:t xml:space="preserve">s conflicted and </w:t>
            </w:r>
            <w:r>
              <w:rPr>
                <w:rFonts w:ascii="Arial" w:hAnsi="Arial" w:cs="Arial"/>
                <w:iCs/>
              </w:rPr>
              <w:t>did</w:t>
            </w:r>
            <w:r w:rsidRPr="00BE3CC3">
              <w:rPr>
                <w:rFonts w:ascii="Arial" w:hAnsi="Arial" w:cs="Arial"/>
                <w:iCs/>
              </w:rPr>
              <w:t xml:space="preserve"> not attend his discussion.</w:t>
            </w:r>
          </w:p>
        </w:tc>
        <w:tc>
          <w:tcPr>
            <w:tcW w:w="526" w:type="pct"/>
          </w:tcPr>
          <w:p w14:paraId="133D062A" w14:textId="00E57729" w:rsidR="001047F6" w:rsidRPr="004415DB" w:rsidRDefault="001047F6" w:rsidP="001047F6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19/02/2024</w:t>
            </w:r>
          </w:p>
        </w:tc>
        <w:tc>
          <w:tcPr>
            <w:tcW w:w="1028" w:type="pct"/>
          </w:tcPr>
          <w:p w14:paraId="672EC20B" w14:textId="08F109B9" w:rsidR="001047F6" w:rsidRPr="004415DB" w:rsidRDefault="001047F6" w:rsidP="001047F6">
            <w:pPr>
              <w:pStyle w:val="Paragraph"/>
              <w:rPr>
                <w:rFonts w:ascii="Arial" w:hAnsi="Arial" w:cs="Arial"/>
                <w:iCs/>
              </w:rPr>
            </w:pPr>
            <w:r w:rsidRPr="001047F6">
              <w:rPr>
                <w:rFonts w:ascii="Arial" w:hAnsi="Arial" w:cs="Arial"/>
                <w:iCs/>
              </w:rPr>
              <w:t>It was agreed that Dr Kate Ren's declaration would prevent her from participating in discussions on this appraisa</w:t>
            </w:r>
            <w:r>
              <w:rPr>
                <w:rFonts w:ascii="Arial" w:hAnsi="Arial" w:cs="Arial"/>
                <w:iCs/>
              </w:rPr>
              <w:t>l</w:t>
            </w:r>
          </w:p>
        </w:tc>
      </w:tr>
    </w:tbl>
    <w:p w14:paraId="18C08BA0" w14:textId="0468FFAA" w:rsidR="001978C7" w:rsidRPr="001978C7" w:rsidRDefault="001978C7" w:rsidP="003404D8">
      <w:pPr>
        <w:pStyle w:val="Paragraphnonumbers"/>
        <w:spacing w:before="240"/>
        <w:ind w:hanging="425"/>
        <w:rPr>
          <w:b/>
          <w:sz w:val="22"/>
          <w:szCs w:val="22"/>
        </w:rPr>
      </w:pPr>
    </w:p>
    <w:sectPr w:rsidR="001978C7" w:rsidRPr="001978C7" w:rsidSect="00981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CAD8" w14:textId="77777777" w:rsidR="009F66BF" w:rsidRDefault="009F66BF" w:rsidP="00446BEE">
      <w:r>
        <w:separator/>
      </w:r>
    </w:p>
  </w:endnote>
  <w:endnote w:type="continuationSeparator" w:id="0">
    <w:p w14:paraId="1D964235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2C14" w14:textId="77777777" w:rsidR="009F66BF" w:rsidRDefault="009F66BF" w:rsidP="00446BEE">
      <w:r>
        <w:separator/>
      </w:r>
    </w:p>
  </w:footnote>
  <w:footnote w:type="continuationSeparator" w:id="0">
    <w:p w14:paraId="371F5E8E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8B0" w14:textId="2325472D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B79"/>
    <w:rsid w:val="00024D0A"/>
    <w:rsid w:val="000472DC"/>
    <w:rsid w:val="0005185C"/>
    <w:rsid w:val="00070065"/>
    <w:rsid w:val="000A4FEE"/>
    <w:rsid w:val="000B5102"/>
    <w:rsid w:val="000B5939"/>
    <w:rsid w:val="001047F6"/>
    <w:rsid w:val="00111CCE"/>
    <w:rsid w:val="001134E7"/>
    <w:rsid w:val="0013226F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2538A"/>
    <w:rsid w:val="002408EA"/>
    <w:rsid w:val="002819D7"/>
    <w:rsid w:val="002C1A7E"/>
    <w:rsid w:val="002D3376"/>
    <w:rsid w:val="00311ED0"/>
    <w:rsid w:val="003404D8"/>
    <w:rsid w:val="00360316"/>
    <w:rsid w:val="003648C5"/>
    <w:rsid w:val="00367E31"/>
    <w:rsid w:val="003722FA"/>
    <w:rsid w:val="003C7AAF"/>
    <w:rsid w:val="003E25CF"/>
    <w:rsid w:val="00406A49"/>
    <w:rsid w:val="004075B6"/>
    <w:rsid w:val="00420952"/>
    <w:rsid w:val="004327C3"/>
    <w:rsid w:val="00433EFF"/>
    <w:rsid w:val="004415DB"/>
    <w:rsid w:val="00443081"/>
    <w:rsid w:val="00446BEE"/>
    <w:rsid w:val="004602D6"/>
    <w:rsid w:val="004664A8"/>
    <w:rsid w:val="00492FE1"/>
    <w:rsid w:val="00494FEF"/>
    <w:rsid w:val="004A241F"/>
    <w:rsid w:val="004A2D1D"/>
    <w:rsid w:val="004E3A84"/>
    <w:rsid w:val="005025A1"/>
    <w:rsid w:val="00557456"/>
    <w:rsid w:val="0058204D"/>
    <w:rsid w:val="005C6BC7"/>
    <w:rsid w:val="00633B38"/>
    <w:rsid w:val="006921E1"/>
    <w:rsid w:val="006A3196"/>
    <w:rsid w:val="006C42BD"/>
    <w:rsid w:val="006F4B25"/>
    <w:rsid w:val="006F6496"/>
    <w:rsid w:val="0073154B"/>
    <w:rsid w:val="00731D82"/>
    <w:rsid w:val="00736348"/>
    <w:rsid w:val="007574E6"/>
    <w:rsid w:val="00760908"/>
    <w:rsid w:val="007D764C"/>
    <w:rsid w:val="007F238D"/>
    <w:rsid w:val="00861B92"/>
    <w:rsid w:val="008814FB"/>
    <w:rsid w:val="008C59F1"/>
    <w:rsid w:val="008F5E30"/>
    <w:rsid w:val="00914D7F"/>
    <w:rsid w:val="009176A1"/>
    <w:rsid w:val="00955EC5"/>
    <w:rsid w:val="00961C9E"/>
    <w:rsid w:val="009813A0"/>
    <w:rsid w:val="0099111D"/>
    <w:rsid w:val="009C1F2B"/>
    <w:rsid w:val="009E680B"/>
    <w:rsid w:val="009F4556"/>
    <w:rsid w:val="009F66BF"/>
    <w:rsid w:val="009F74FD"/>
    <w:rsid w:val="00A15A1F"/>
    <w:rsid w:val="00A17C0C"/>
    <w:rsid w:val="00A3325A"/>
    <w:rsid w:val="00A43013"/>
    <w:rsid w:val="00A43DA6"/>
    <w:rsid w:val="00A4430C"/>
    <w:rsid w:val="00AE751F"/>
    <w:rsid w:val="00AF108A"/>
    <w:rsid w:val="00B02E55"/>
    <w:rsid w:val="00B036C1"/>
    <w:rsid w:val="00B53C35"/>
    <w:rsid w:val="00B5431F"/>
    <w:rsid w:val="00B626DF"/>
    <w:rsid w:val="00BE3CC3"/>
    <w:rsid w:val="00BF7FE0"/>
    <w:rsid w:val="00C41FDB"/>
    <w:rsid w:val="00C81104"/>
    <w:rsid w:val="00C96411"/>
    <w:rsid w:val="00CB5671"/>
    <w:rsid w:val="00CD4C18"/>
    <w:rsid w:val="00CF58B7"/>
    <w:rsid w:val="00D351C1"/>
    <w:rsid w:val="00D35EFB"/>
    <w:rsid w:val="00D47BA7"/>
    <w:rsid w:val="00D504B3"/>
    <w:rsid w:val="00D607D5"/>
    <w:rsid w:val="00D61BEA"/>
    <w:rsid w:val="00D8132E"/>
    <w:rsid w:val="00D86BF0"/>
    <w:rsid w:val="00DB03DD"/>
    <w:rsid w:val="00DC19E6"/>
    <w:rsid w:val="00E23430"/>
    <w:rsid w:val="00E51920"/>
    <w:rsid w:val="00E64120"/>
    <w:rsid w:val="00E660A1"/>
    <w:rsid w:val="00EA3CCF"/>
    <w:rsid w:val="00EB7131"/>
    <w:rsid w:val="00F055F1"/>
    <w:rsid w:val="00F610AF"/>
    <w:rsid w:val="00F63A40"/>
    <w:rsid w:val="00F80C14"/>
    <w:rsid w:val="00FA2C5A"/>
    <w:rsid w:val="00FC2D11"/>
    <w:rsid w:val="00FC6230"/>
    <w:rsid w:val="00FE3357"/>
    <w:rsid w:val="00FF61E7"/>
    <w:rsid w:val="0EA78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paragraph" w:styleId="Revision">
    <w:name w:val="Revision"/>
    <w:hidden/>
    <w:uiPriority w:val="99"/>
    <w:semiHidden/>
    <w:rsid w:val="00AE75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0CB67AA1-A899-41CC-8828-E73DE06C4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36BAB-B907-4148-A75E-3C070155C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44FF3-AC7A-4BC1-8398-001CD8823C0D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199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Maria Axis</cp:lastModifiedBy>
  <cp:revision>6</cp:revision>
  <dcterms:created xsi:type="dcterms:W3CDTF">2024-03-21T13:33:00Z</dcterms:created>
  <dcterms:modified xsi:type="dcterms:W3CDTF">2024-05-16T13:50:00Z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