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929" w:rsidRDefault="006E0B8C">
      <w:pPr>
        <w:pBdr>
          <w:top w:val="nil"/>
          <w:left w:val="nil"/>
          <w:bottom w:val="nil"/>
          <w:right w:val="nil"/>
          <w:between w:val="nil"/>
        </w:pBdr>
        <w:tabs>
          <w:tab w:val="center" w:pos="4513"/>
          <w:tab w:val="right" w:pos="9026"/>
        </w:tabs>
        <w:spacing w:after="0"/>
        <w:jc w:val="left"/>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Joint Schedule 7 (Financial Difficulties)</w:t>
      </w:r>
    </w:p>
    <w:p w:rsidR="00981174" w:rsidRDefault="00981174">
      <w:pPr>
        <w:keepNext/>
        <w:pBdr>
          <w:top w:val="nil"/>
          <w:left w:val="nil"/>
          <w:bottom w:val="nil"/>
          <w:right w:val="nil"/>
          <w:between w:val="nil"/>
        </w:pBdr>
        <w:jc w:val="left"/>
        <w:rPr>
          <w:rFonts w:ascii="Arial" w:eastAsia="Arial" w:hAnsi="Arial" w:cs="Arial"/>
          <w:color w:val="000000"/>
          <w:sz w:val="24"/>
          <w:szCs w:val="24"/>
          <w:highlight w:val="yellow"/>
        </w:rPr>
      </w:pPr>
    </w:p>
    <w:p w:rsidR="00F97929" w:rsidRDefault="00981174">
      <w:pPr>
        <w:keepNext/>
        <w:pBdr>
          <w:top w:val="nil"/>
          <w:left w:val="nil"/>
          <w:bottom w:val="nil"/>
          <w:right w:val="nil"/>
          <w:between w:val="nil"/>
        </w:pBdr>
        <w:jc w:val="left"/>
        <w:rPr>
          <w:rFonts w:ascii="Arial" w:eastAsia="Arial" w:hAnsi="Arial" w:cs="Arial"/>
          <w:b/>
          <w:smallCaps/>
          <w:color w:val="000000"/>
          <w:sz w:val="36"/>
          <w:szCs w:val="36"/>
        </w:rPr>
      </w:pPr>
      <w:r>
        <w:rPr>
          <w:rFonts w:ascii="Arial" w:eastAsia="Arial" w:hAnsi="Arial" w:cs="Arial"/>
          <w:color w:val="000000"/>
          <w:sz w:val="24"/>
          <w:szCs w:val="24"/>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and may delete or amend as required. Buyers should ensure that the drafting of any Financial Indicators aligns with the financial standing criteria used during the selection stage of the procurement]</w:t>
      </w:r>
    </w:p>
    <w:p w:rsidR="00F97929" w:rsidRDefault="006E0B8C">
      <w:pPr>
        <w:pBdr>
          <w:top w:val="nil"/>
          <w:left w:val="nil"/>
          <w:bottom w:val="nil"/>
          <w:right w:val="nil"/>
          <w:between w:val="nil"/>
        </w:pBdr>
        <w:tabs>
          <w:tab w:val="left" w:pos="1985"/>
        </w:tabs>
        <w:spacing w:before="120" w:after="120"/>
        <w:ind w:left="-142" w:hanging="720"/>
        <w:jc w:val="left"/>
        <w:rPr>
          <w:rFonts w:ascii="Arial" w:eastAsia="Arial" w:hAnsi="Arial" w:cs="Arial"/>
          <w:color w:val="000000"/>
          <w:sz w:val="24"/>
          <w:szCs w:val="24"/>
        </w:rPr>
      </w:pPr>
      <w:r>
        <w:rPr>
          <w:rFonts w:ascii="Arial" w:eastAsia="Arial" w:hAnsi="Arial" w:cs="Arial"/>
          <w:color w:val="000000"/>
          <w:sz w:val="24"/>
          <w:szCs w:val="24"/>
          <w:highlight w:val="yellow"/>
        </w:rPr>
        <w:t>[</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Definitions</w:t>
      </w:r>
    </w:p>
    <w:p w:rsidR="00F97929" w:rsidRPr="00B0383D" w:rsidRDefault="006E0B8C">
      <w:pPr>
        <w:numPr>
          <w:ilvl w:val="1"/>
          <w:numId w:val="2"/>
        </w:numPr>
        <w:pBdr>
          <w:top w:val="nil"/>
          <w:left w:val="nil"/>
          <w:bottom w:val="nil"/>
          <w:right w:val="nil"/>
          <w:between w:val="nil"/>
        </w:pBdr>
        <w:tabs>
          <w:tab w:val="left" w:pos="1134"/>
        </w:tabs>
        <w:spacing w:before="120" w:after="120"/>
        <w:ind w:left="936" w:hanging="576"/>
        <w:jc w:val="left"/>
      </w:pPr>
      <w:r>
        <w:rPr>
          <w:rFonts w:ascii="Arial" w:eastAsia="Arial" w:hAnsi="Arial" w:cs="Arial"/>
          <w:color w:val="000000"/>
          <w:sz w:val="24"/>
          <w:szCs w:val="24"/>
        </w:rPr>
        <w:t>In this Schedule, the following definitions shall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5952"/>
      </w:tblGrid>
      <w:tr w:rsidR="00B0383D" w:rsidTr="00981174">
        <w:tc>
          <w:tcPr>
            <w:tcW w:w="5228" w:type="dxa"/>
          </w:tcPr>
          <w:p w:rsidR="00B0383D" w:rsidRPr="00981174" w:rsidRDefault="00B0383D"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“Applicable Financial Indicators”</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financial indicators from Paragraph 5.1 of this Schedule which are to apply to the Monitored Suppliers as set out in Paragraph 5.2 of this Schedule;</w:t>
            </w:r>
          </w:p>
        </w:tc>
      </w:tr>
      <w:tr w:rsidR="00B0383D" w:rsidTr="00981174">
        <w:tc>
          <w:tcPr>
            <w:tcW w:w="5228" w:type="dxa"/>
          </w:tcPr>
          <w:p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“Board”</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Supplier’s board of directors;</w:t>
            </w:r>
          </w:p>
        </w:tc>
      </w:tr>
      <w:tr w:rsidR="00B0383D" w:rsidTr="00981174">
        <w:tc>
          <w:tcPr>
            <w:tcW w:w="5228" w:type="dxa"/>
          </w:tcPr>
          <w:p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“Board Confirmation”</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written confirmation from the Board in accordance with Paragraph 8 of this Schedule;</w:t>
            </w:r>
          </w:p>
        </w:tc>
      </w:tr>
      <w:tr w:rsidR="00B0383D" w:rsidTr="00981174">
        <w:tc>
          <w:tcPr>
            <w:tcW w:w="5228" w:type="dxa"/>
          </w:tcPr>
          <w:p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“Bronze Contract”</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 Call-Off Contract categorised as a Bronze contract using the Cabinet Office Contract Tiering Tool;</w:t>
            </w:r>
          </w:p>
        </w:tc>
      </w:tr>
      <w:tr w:rsidR="00B0383D" w:rsidTr="00981174">
        <w:tc>
          <w:tcPr>
            <w:tcW w:w="5228" w:type="dxa"/>
          </w:tcPr>
          <w:p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“Cabinet Office Markets and Suppliers Team”</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UK Government’s team responsible for managing the relationship between government and its Strategic Suppliers, or any replacement or successor body carrying out the same function;</w:t>
            </w:r>
          </w:p>
        </w:tc>
      </w:tr>
      <w:tr w:rsidR="00B0383D" w:rsidTr="00981174">
        <w:tc>
          <w:tcPr>
            <w:tcW w:w="5228" w:type="dxa"/>
          </w:tcPr>
          <w:p w:rsidR="00B0383D"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“Credit Rating Threshold”</w:t>
            </w:r>
          </w:p>
        </w:tc>
        <w:tc>
          <w:tcPr>
            <w:tcW w:w="5228" w:type="dxa"/>
          </w:tcPr>
          <w:p w:rsidR="00B0383D"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the minimum credit rating level for each entity in the FDE Group as set out in Annex 1 to this Schedule;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“FDE Group”</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 xml:space="preserve">means the Supplier, </w:t>
            </w:r>
            <w:r w:rsidRPr="00981174">
              <w:rPr>
                <w:rFonts w:ascii="Arial" w:hAnsi="Arial" w:cs="Arial"/>
                <w:sz w:val="24"/>
                <w:szCs w:val="24"/>
                <w:highlight w:val="yellow"/>
              </w:rPr>
              <w:t>[Key Sub-contractors, the Guarantor and the Monitored Suppliers if appropriate];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Distress Event”</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Any of the events listed in Paragraph 3.1 of this Schedule;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Distress Remediation Plan”</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a plan setting out how the Supplier will ensure the continued performance and delivery of the Deliverables in accordance with the Contract in the event that a Financial Distress Event occurs;</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“Financial Indicators”</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lastRenderedPageBreak/>
              <w:t>“Financial Target Thresholds”</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the target thresholds for each of the Financial Indicators set out at paragraph 5.1 of this Schedule;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“Monitored Suppliers”</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those entities specified at paragraph 5.2 of this Schedule;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“Rating Agencies”</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The rating agencies listed in Annex 1 of this Schedule;</w:t>
            </w:r>
          </w:p>
        </w:tc>
      </w:tr>
      <w:tr w:rsidR="00981174" w:rsidTr="00981174">
        <w:tc>
          <w:tcPr>
            <w:tcW w:w="5228" w:type="dxa"/>
          </w:tcPr>
          <w:p w:rsidR="00981174" w:rsidRPr="00981174" w:rsidRDefault="00981174" w:rsidP="00B0383D">
            <w:pPr>
              <w:tabs>
                <w:tab w:val="left" w:pos="1134"/>
              </w:tabs>
              <w:spacing w:before="120" w:after="120"/>
              <w:jc w:val="left"/>
              <w:rPr>
                <w:rFonts w:ascii="Arial" w:hAnsi="Arial" w:cs="Arial"/>
                <w:b/>
                <w:sz w:val="24"/>
                <w:szCs w:val="24"/>
              </w:rPr>
            </w:pPr>
            <w:r w:rsidRPr="00981174">
              <w:rPr>
                <w:rFonts w:ascii="Arial" w:hAnsi="Arial" w:cs="Arial"/>
                <w:b/>
                <w:sz w:val="24"/>
                <w:szCs w:val="24"/>
              </w:rPr>
              <w:t>“Strategic Supplier”</w:t>
            </w:r>
          </w:p>
        </w:tc>
        <w:tc>
          <w:tcPr>
            <w:tcW w:w="5228" w:type="dxa"/>
          </w:tcPr>
          <w:p w:rsidR="00981174" w:rsidRPr="00981174" w:rsidRDefault="00981174" w:rsidP="00B0383D">
            <w:pPr>
              <w:tabs>
                <w:tab w:val="left" w:pos="1134"/>
              </w:tabs>
              <w:spacing w:before="120" w:after="120"/>
              <w:jc w:val="left"/>
              <w:rPr>
                <w:rFonts w:ascii="Arial" w:hAnsi="Arial" w:cs="Arial"/>
                <w:sz w:val="24"/>
                <w:szCs w:val="24"/>
              </w:rPr>
            </w:pPr>
            <w:r w:rsidRPr="00981174">
              <w:rPr>
                <w:rFonts w:ascii="Arial" w:hAnsi="Arial" w:cs="Arial"/>
                <w:sz w:val="24"/>
                <w:szCs w:val="24"/>
              </w:rPr>
              <w:t>means those suppliers to government listed at https://www.gov.uk/government/publications/strategic-suppliers.</w:t>
            </w:r>
          </w:p>
        </w:tc>
      </w:tr>
    </w:tbl>
    <w:p w:rsidR="00F97929" w:rsidRDefault="00F97929">
      <w:pPr>
        <w:pBdr>
          <w:top w:val="nil"/>
          <w:left w:val="nil"/>
          <w:bottom w:val="nil"/>
          <w:right w:val="nil"/>
          <w:between w:val="nil"/>
        </w:pBdr>
        <w:tabs>
          <w:tab w:val="left" w:pos="1134"/>
        </w:tabs>
        <w:spacing w:before="120" w:after="120"/>
        <w:ind w:left="360" w:hanging="1004"/>
        <w:jc w:val="left"/>
        <w:rPr>
          <w:rFonts w:ascii="Arial" w:eastAsia="Arial" w:hAnsi="Arial" w:cs="Arial"/>
          <w:color w:val="000000"/>
          <w:sz w:val="24"/>
          <w:szCs w:val="24"/>
        </w:rPr>
      </w:pP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Warranties and duty to notify</w:t>
      </w:r>
    </w:p>
    <w:p w:rsidR="00F97929" w:rsidRDefault="006E0B8C">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Supplier warrants and represents to the Relevant Authority for the benefit of the Relevant Authority that as at the Effective Date:</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each entity in the FDE Group by each of the Rating Agencies are as set out in Annex 2 to this Schedule;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regularly monitor the credit ratings of each entity in the FDE Group with the Rating Agencies;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Each report submitted by the Supplier pursuant to paragraph 2.3.2 shall:</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be a single report with separate sections for each of the FDE Group entities;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include key financial and other supporting information (including any accounts data that has been relied on) as separate annexes;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Distress events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following shall be Financial Distress Events: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credit rating of an FDE Group entity dropping below the applicable Credit Rating Threshold;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there being a public investigation into improper financial accounting and reporting, suspected fraud or any other impropriety of an FDE Group entity;</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 FDE Group entity committing a material breach of covenant to its lenders;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any of the following:</w:t>
      </w:r>
    </w:p>
    <w:p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non-payment by an FDE Group entity of any financial indebtedness;</w:t>
      </w:r>
    </w:p>
    <w:p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any financial indebtedness of an FDE Group entity becoming due as a result of an event of default;</w:t>
      </w:r>
    </w:p>
    <w:p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the cancellation or suspension of any financial indebtedness in respect of an FDE Group entity; or</w:t>
      </w:r>
    </w:p>
    <w:p w:rsidR="00F97929" w:rsidRDefault="006E0B8C">
      <w:pPr>
        <w:numPr>
          <w:ilvl w:val="3"/>
          <w:numId w:val="2"/>
        </w:numPr>
        <w:pBdr>
          <w:top w:val="nil"/>
          <w:left w:val="nil"/>
          <w:bottom w:val="nil"/>
          <w:right w:val="nil"/>
          <w:between w:val="nil"/>
        </w:pBdr>
        <w:tabs>
          <w:tab w:val="left" w:pos="1985"/>
        </w:tabs>
        <w:spacing w:before="120" w:after="120"/>
        <w:ind w:left="3402"/>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rsidR="00F97929" w:rsidRDefault="006E0B8C">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any [one] of the Financial Indicators set out at Paragraph 5 for any of the FDE Group entities failing to meet the required Financial Target Threshold.</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rectify such late or non-payment; or</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demonstrate to the Relevant Authority’s reasonable satisfaction that there is a valid reason for late or non-payment.</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(and shall procure that any Monitored Supplier, the Guarantor and/or any relevant Key Sub-contractor shall):</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where the Relevant Authority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Following approval of the Financial Distress Remediation Plan by the Relevant Authority, the Supplier shall:</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on a regular basis (which shall not be less than fortnightly):</w:t>
      </w:r>
    </w:p>
    <w:p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F97929" w:rsidRDefault="006E0B8C">
      <w:pPr>
        <w:numPr>
          <w:ilvl w:val="3"/>
          <w:numId w:val="2"/>
        </w:numPr>
        <w:pBdr>
          <w:top w:val="nil"/>
          <w:left w:val="nil"/>
          <w:bottom w:val="nil"/>
          <w:right w:val="nil"/>
          <w:between w:val="nil"/>
        </w:pBdr>
        <w:tabs>
          <w:tab w:val="left" w:pos="1985"/>
        </w:tabs>
        <w:spacing w:before="120" w:after="120"/>
        <w:ind w:left="3402" w:hanging="936"/>
      </w:pPr>
      <w:r>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Indicators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rsidR="00F97929" w:rsidRDefault="006E0B8C">
      <w:pPr>
        <w:pBdr>
          <w:top w:val="nil"/>
          <w:left w:val="nil"/>
          <w:bottom w:val="nil"/>
          <w:right w:val="nil"/>
          <w:between w:val="nil"/>
        </w:pBdr>
        <w:tabs>
          <w:tab w:val="left" w:pos="1134"/>
        </w:tabs>
        <w:spacing w:before="120" w:after="120"/>
        <w:jc w:val="left"/>
        <w:rPr>
          <w:rFonts w:ascii="Arial" w:eastAsia="Arial" w:hAnsi="Arial" w:cs="Arial"/>
          <w:color w:val="000000"/>
        </w:rPr>
      </w:pPr>
      <w:r>
        <w:rPr>
          <w:rFonts w:ascii="Arial" w:eastAsia="Arial" w:hAnsi="Arial" w:cs="Arial"/>
          <w:color w:val="000000"/>
          <w:sz w:val="24"/>
          <w:szCs w:val="24"/>
        </w:rPr>
        <w:t>Lots 1 to 7</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F97929">
        <w:tc>
          <w:tcPr>
            <w:tcW w:w="2253" w:type="dxa"/>
            <w:shd w:val="clear" w:color="auto" w:fill="D9D9D9"/>
            <w:vAlign w:val="center"/>
          </w:tcPr>
          <w:p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rsidR="00F97929" w:rsidRDefault="006E0B8C">
            <w:pPr>
              <w:pBdr>
                <w:top w:val="nil"/>
                <w:left w:val="nil"/>
                <w:bottom w:val="nil"/>
                <w:right w:val="nil"/>
                <w:between w:val="nil"/>
              </w:pBdr>
              <w:spacing w:before="100" w:after="200"/>
              <w:jc w:val="center"/>
              <w:rPr>
                <w:rFonts w:ascii="Arial" w:eastAsia="Arial" w:hAnsi="Arial" w:cs="Arial"/>
                <w:b/>
                <w:color w:val="000000"/>
                <w:sz w:val="24"/>
                <w:szCs w:val="24"/>
              </w:rPr>
            </w:pPr>
            <w:bookmarkStart w:id="1" w:name="_30j0zll" w:colFirst="0" w:colLast="0"/>
            <w:bookmarkEnd w:id="1"/>
            <w:r>
              <w:rPr>
                <w:rFonts w:ascii="Arial" w:eastAsia="Arial" w:hAnsi="Arial" w:cs="Arial"/>
                <w:b/>
                <w:color w:val="000000"/>
                <w:sz w:val="24"/>
                <w:szCs w:val="24"/>
              </w:rPr>
              <w:t xml:space="preserve">Monitoring and Reporting Frequency </w:t>
            </w:r>
          </w:p>
        </w:tc>
      </w:tr>
      <w:tr w:rsidR="00F97929">
        <w:tc>
          <w:tcPr>
            <w:tcW w:w="2253" w:type="dxa"/>
            <w:shd w:val="clear" w:color="auto" w:fill="auto"/>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p w:rsidR="00F97929" w:rsidRDefault="00F97929">
            <w:pPr>
              <w:pBdr>
                <w:top w:val="nil"/>
                <w:left w:val="nil"/>
                <w:bottom w:val="nil"/>
                <w:right w:val="nil"/>
                <w:between w:val="nil"/>
              </w:pBdr>
              <w:spacing w:before="100" w:after="200"/>
              <w:jc w:val="left"/>
              <w:rPr>
                <w:rFonts w:ascii="Arial" w:eastAsia="Arial" w:hAnsi="Arial" w:cs="Arial"/>
                <w:b/>
                <w:color w:val="000000"/>
                <w:sz w:val="24"/>
                <w:szCs w:val="24"/>
              </w:rPr>
            </w:pPr>
          </w:p>
        </w:tc>
        <w:tc>
          <w:tcPr>
            <w:tcW w:w="1977" w:type="dxa"/>
            <w:shd w:val="clear" w:color="auto" w:fill="auto"/>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shd w:val="clear" w:color="auto" w:fill="auto"/>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8%</w:t>
            </w:r>
          </w:p>
        </w:tc>
        <w:tc>
          <w:tcPr>
            <w:tcW w:w="3089" w:type="dxa"/>
            <w:shd w:val="clear" w:color="auto" w:fill="auto"/>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t>
            </w:r>
            <w:proofErr w:type="gramStart"/>
            <w:r>
              <w:rPr>
                <w:rFonts w:ascii="Arial" w:eastAsia="Arial" w:hAnsi="Arial" w:cs="Arial"/>
                <w:i/>
                <w:color w:val="000000"/>
                <w:sz w:val="24"/>
                <w:szCs w:val="24"/>
              </w:rPr>
              <w:t>within  90</w:t>
            </w:r>
            <w:proofErr w:type="gramEnd"/>
            <w:r>
              <w:rPr>
                <w:rFonts w:ascii="Arial" w:eastAsia="Arial" w:hAnsi="Arial" w:cs="Arial"/>
                <w:i/>
                <w:color w:val="000000"/>
                <w:sz w:val="24"/>
                <w:szCs w:val="24"/>
              </w:rPr>
              <w:t xml:space="preserve"> days of each accounting reference date based upon figures for the 12 months ending on the relevant accounting reference date. </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2</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rsidR="00F97929" w:rsidRDefault="00F97929">
            <w:pPr>
              <w:pBdr>
                <w:top w:val="nil"/>
                <w:left w:val="nil"/>
                <w:bottom w:val="nil"/>
                <w:right w:val="nil"/>
                <w:between w:val="nil"/>
              </w:pBdr>
              <w:spacing w:before="100" w:after="200"/>
              <w:jc w:val="center"/>
              <w:rPr>
                <w:rFonts w:ascii="Arial" w:eastAsia="Arial" w:hAnsi="Arial" w:cs="Arial"/>
                <w:i/>
                <w:color w:val="7030A0"/>
                <w:sz w:val="24"/>
                <w:szCs w:val="24"/>
              </w:rPr>
            </w:pPr>
          </w:p>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rsidR="00F97929" w:rsidRDefault="00F97929">
            <w:pPr>
              <w:pBdr>
                <w:top w:val="nil"/>
                <w:left w:val="nil"/>
                <w:bottom w:val="nil"/>
                <w:right w:val="nil"/>
                <w:between w:val="nil"/>
              </w:pBdr>
              <w:spacing w:before="100" w:after="200"/>
              <w:jc w:val="center"/>
              <w:rPr>
                <w:rFonts w:ascii="Arial" w:eastAsia="Arial" w:hAnsi="Arial" w:cs="Arial"/>
                <w:i/>
                <w:color w:val="000000"/>
                <w:sz w:val="24"/>
                <w:szCs w:val="24"/>
              </w:rPr>
            </w:pPr>
          </w:p>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3.5 times</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w:t>
            </w:r>
            <w:r>
              <w:rPr>
                <w:rFonts w:ascii="Arial" w:eastAsia="Arial" w:hAnsi="Arial" w:cs="Arial"/>
                <w:i/>
                <w:color w:val="7030A0"/>
                <w:sz w:val="24"/>
                <w:szCs w:val="24"/>
              </w:rPr>
              <w:t>in</w:t>
            </w:r>
            <w:r>
              <w:rPr>
                <w:rFonts w:ascii="Arial" w:eastAsia="Arial" w:hAnsi="Arial" w:cs="Arial"/>
                <w:i/>
                <w:color w:val="000000"/>
                <w:sz w:val="24"/>
                <w:szCs w:val="24"/>
              </w:rPr>
              <w:t xml:space="preserve"> arrears </w:t>
            </w:r>
            <w:proofErr w:type="gramStart"/>
            <w:r>
              <w:rPr>
                <w:rFonts w:ascii="Arial" w:eastAsia="Arial" w:hAnsi="Arial" w:cs="Arial"/>
                <w:i/>
                <w:color w:val="000000"/>
                <w:sz w:val="24"/>
                <w:szCs w:val="24"/>
              </w:rPr>
              <w:t>within  90</w:t>
            </w:r>
            <w:proofErr w:type="gramEnd"/>
            <w:r>
              <w:rPr>
                <w:rFonts w:ascii="Arial" w:eastAsia="Arial" w:hAnsi="Arial" w:cs="Arial"/>
                <w:i/>
                <w:color w:val="000000"/>
                <w:sz w:val="24"/>
                <w:szCs w:val="24"/>
              </w:rPr>
              <w:t xml:space="preserve"> days of each accounting reference date based upon  EBITDA for the 12 months ending on, and Net Debt at, the relevant accounting reference date.</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3</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 times</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w:t>
            </w:r>
            <w:r>
              <w:rPr>
                <w:rFonts w:ascii="Arial" w:eastAsia="Arial" w:hAnsi="Arial" w:cs="Arial"/>
                <w:i/>
                <w:sz w:val="24"/>
                <w:szCs w:val="24"/>
              </w:rPr>
              <w:t>thin 90 d</w:t>
            </w:r>
            <w:r>
              <w:rPr>
                <w:rFonts w:ascii="Arial" w:eastAsia="Arial" w:hAnsi="Arial" w:cs="Arial"/>
                <w:i/>
                <w:color w:val="000000"/>
                <w:sz w:val="24"/>
                <w:szCs w:val="24"/>
              </w:rPr>
              <w:t>ays of each accounting reference date based upon EBITDA for the 12 months ending on, and the Net Debt and Net Pension Deficit at, the relevant accounting reference date</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4</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3 times</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w:t>
            </w:r>
            <w:r>
              <w:rPr>
                <w:rFonts w:ascii="Arial" w:eastAsia="Arial" w:hAnsi="Arial" w:cs="Arial"/>
                <w:i/>
                <w:color w:val="8064A2"/>
                <w:sz w:val="24"/>
                <w:szCs w:val="24"/>
              </w:rPr>
              <w:t xml:space="preserve"> </w:t>
            </w:r>
            <w:r>
              <w:rPr>
                <w:rFonts w:ascii="Arial" w:eastAsia="Arial" w:hAnsi="Arial" w:cs="Arial"/>
                <w:i/>
                <w:color w:val="000000"/>
                <w:sz w:val="24"/>
                <w:szCs w:val="24"/>
              </w:rPr>
              <w:t xml:space="preserve">in arrears within </w:t>
            </w:r>
            <w:proofErr w:type="gramStart"/>
            <w:r>
              <w:rPr>
                <w:rFonts w:ascii="Arial" w:eastAsia="Arial" w:hAnsi="Arial" w:cs="Arial"/>
                <w:i/>
                <w:color w:val="000000"/>
                <w:sz w:val="24"/>
                <w:szCs w:val="24"/>
              </w:rPr>
              <w:t>90  days</w:t>
            </w:r>
            <w:proofErr w:type="gramEnd"/>
            <w:r>
              <w:rPr>
                <w:rFonts w:ascii="Arial" w:eastAsia="Arial" w:hAnsi="Arial" w:cs="Arial"/>
                <w:i/>
                <w:color w:val="000000"/>
                <w:sz w:val="24"/>
                <w:szCs w:val="24"/>
              </w:rPr>
              <w:t xml:space="preserve"> of each accounting reference date based upon figures for the 12 months ending on the relevant accounting reference date.</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5</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0.8 times</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w:t>
            </w:r>
            <w:proofErr w:type="gramStart"/>
            <w:r>
              <w:rPr>
                <w:rFonts w:ascii="Arial" w:eastAsia="Arial" w:hAnsi="Arial" w:cs="Arial"/>
                <w:i/>
                <w:color w:val="000000"/>
                <w:sz w:val="24"/>
                <w:szCs w:val="24"/>
              </w:rPr>
              <w:t>90  days</w:t>
            </w:r>
            <w:proofErr w:type="gramEnd"/>
            <w:r>
              <w:rPr>
                <w:rFonts w:ascii="Arial" w:eastAsia="Arial" w:hAnsi="Arial" w:cs="Arial"/>
                <w:i/>
                <w:color w:val="000000"/>
                <w:sz w:val="24"/>
                <w:szCs w:val="24"/>
              </w:rPr>
              <w:t xml:space="preserve"> of each accounting reference date based upon figures at the relevant accounting reference date</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6</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 xml:space="preserve">Tested and reported yearly in arrears within 90 days of each accounting reference date based upon figures at the relevant accounting reference date </w:t>
            </w:r>
          </w:p>
        </w:tc>
      </w:tr>
      <w:tr w:rsidR="00F97929">
        <w:tc>
          <w:tcPr>
            <w:tcW w:w="2253" w:type="dxa"/>
            <w:vAlign w:val="center"/>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7</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50%</w:t>
            </w:r>
          </w:p>
        </w:tc>
        <w:tc>
          <w:tcPr>
            <w:tcW w:w="3089" w:type="dxa"/>
            <w:vAlign w:val="center"/>
          </w:tcPr>
          <w:p w:rsidR="00F97929" w:rsidRDefault="006E0B8C">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rsidR="00F97929" w:rsidRDefault="006E0B8C">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rsidR="00F97929" w:rsidRDefault="00F97929" w:rsidP="00981174">
      <w:pPr>
        <w:pBdr>
          <w:top w:val="nil"/>
          <w:left w:val="nil"/>
          <w:bottom w:val="nil"/>
          <w:right w:val="nil"/>
          <w:between w:val="nil"/>
        </w:pBdr>
        <w:tabs>
          <w:tab w:val="left" w:pos="142"/>
        </w:tabs>
        <w:spacing w:before="120"/>
        <w:rPr>
          <w:rFonts w:ascii="Arial" w:eastAsia="Arial" w:hAnsi="Arial" w:cs="Arial"/>
          <w:color w:val="000000"/>
          <w:sz w:val="24"/>
          <w:szCs w:val="24"/>
        </w:rPr>
      </w:pPr>
    </w:p>
    <w:p w:rsidR="00981174" w:rsidRDefault="00981174" w:rsidP="00981174">
      <w:pPr>
        <w:pBdr>
          <w:top w:val="nil"/>
          <w:left w:val="nil"/>
          <w:bottom w:val="nil"/>
          <w:right w:val="nil"/>
          <w:between w:val="nil"/>
        </w:pBdr>
        <w:tabs>
          <w:tab w:val="left" w:pos="142"/>
        </w:tabs>
        <w:spacing w:before="120"/>
        <w:rPr>
          <w:rFonts w:ascii="Arial" w:eastAsia="Arial" w:hAnsi="Arial" w:cs="Arial"/>
          <w:sz w:val="24"/>
          <w:szCs w:val="24"/>
        </w:rPr>
      </w:pPr>
    </w:p>
    <w:p w:rsidR="00981174" w:rsidRDefault="00981174" w:rsidP="00981174">
      <w:pPr>
        <w:pBdr>
          <w:top w:val="nil"/>
          <w:left w:val="nil"/>
          <w:bottom w:val="nil"/>
          <w:right w:val="nil"/>
          <w:between w:val="nil"/>
        </w:pBdr>
        <w:tabs>
          <w:tab w:val="left" w:pos="142"/>
        </w:tabs>
        <w:spacing w:before="120"/>
        <w:rPr>
          <w:rFonts w:ascii="Arial" w:eastAsia="Arial" w:hAnsi="Arial" w:cs="Arial"/>
          <w:sz w:val="24"/>
          <w:szCs w:val="24"/>
        </w:rPr>
      </w:pP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Monitored Suppliers</w:t>
      </w:r>
      <w:r>
        <w:rPr>
          <w:color w:val="000000"/>
        </w:rPr>
        <w:t xml:space="preserve"> </w:t>
      </w:r>
    </w:p>
    <w:p w:rsidR="00F97929" w:rsidRDefault="006E0B8C">
      <w:pPr>
        <w:pBdr>
          <w:top w:val="nil"/>
          <w:left w:val="nil"/>
          <w:bottom w:val="nil"/>
          <w:right w:val="nil"/>
          <w:between w:val="nil"/>
        </w:pBdr>
        <w:tabs>
          <w:tab w:val="left" w:pos="1134"/>
        </w:tabs>
        <w:spacing w:before="120" w:after="120"/>
        <w:ind w:left="360" w:hanging="1004"/>
        <w:jc w:val="left"/>
        <w:rPr>
          <w:rFonts w:ascii="Arial" w:eastAsia="Arial" w:hAnsi="Arial" w:cs="Arial"/>
          <w:color w:val="000000"/>
          <w:sz w:val="24"/>
          <w:szCs w:val="24"/>
        </w:rPr>
      </w:pPr>
      <w:r>
        <w:rPr>
          <w:rFonts w:ascii="Arial" w:eastAsia="Arial" w:hAnsi="Arial" w:cs="Arial"/>
          <w:color w:val="000000"/>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1"/>
        <w:tblW w:w="829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F97929">
        <w:tc>
          <w:tcPr>
            <w:tcW w:w="4073" w:type="dxa"/>
            <w:shd w:val="clear" w:color="auto" w:fill="D9D9D9"/>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Monitored Supplier</w:t>
            </w:r>
          </w:p>
        </w:tc>
        <w:tc>
          <w:tcPr>
            <w:tcW w:w="4223" w:type="dxa"/>
            <w:shd w:val="clear" w:color="auto" w:fill="D9D9D9"/>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Applicable Financial Indicators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(these are the Financial Indicators from the table in Paragraph 5.1 which are to apply to the Monitored Suppliers)</w:t>
            </w:r>
          </w:p>
        </w:tc>
      </w:tr>
      <w:tr w:rsidR="00F97929">
        <w:tc>
          <w:tcPr>
            <w:tcW w:w="4073"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highlight w:val="yellow"/>
              </w:rPr>
              <w:t xml:space="preserve">[Entity 1 </w:t>
            </w:r>
            <w:proofErr w:type="spellStart"/>
            <w:r>
              <w:rPr>
                <w:rFonts w:ascii="Arial" w:eastAsia="Arial" w:hAnsi="Arial" w:cs="Arial"/>
                <w:color w:val="000000"/>
                <w:sz w:val="24"/>
                <w:szCs w:val="24"/>
                <w:highlight w:val="yellow"/>
              </w:rPr>
              <w:t>e.g</w:t>
            </w:r>
            <w:proofErr w:type="spellEnd"/>
            <w:r>
              <w:rPr>
                <w:rFonts w:ascii="Arial" w:eastAsia="Arial" w:hAnsi="Arial" w:cs="Arial"/>
                <w:color w:val="000000"/>
                <w:sz w:val="24"/>
                <w:szCs w:val="24"/>
                <w:highlight w:val="yellow"/>
              </w:rPr>
              <w:t xml:space="preserve"> GEO Group Member, Sub-contractor, Relevant Parent Company etc.]</w:t>
            </w:r>
          </w:p>
        </w:tc>
        <w:tc>
          <w:tcPr>
            <w:tcW w:w="4223" w:type="dxa"/>
          </w:tcPr>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2 - Net Debt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3 - Net Debt + Net Pension Deficit to EBITDA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4 - Net Interest Paid Cover</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5 - Acid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6 - Net Asset Value </w:t>
            </w:r>
          </w:p>
          <w:p w:rsidR="00F97929" w:rsidRDefault="006E0B8C">
            <w:pPr>
              <w:keepNext/>
              <w:spacing w:before="240"/>
              <w:jc w:val="left"/>
              <w:rPr>
                <w:rFonts w:ascii="Arial" w:eastAsia="Arial" w:hAnsi="Arial" w:cs="Arial"/>
                <w:sz w:val="24"/>
                <w:szCs w:val="24"/>
                <w:highlight w:val="yellow"/>
              </w:rPr>
            </w:pPr>
            <w:r>
              <w:rPr>
                <w:rFonts w:ascii="Arial" w:eastAsia="Arial" w:hAnsi="Arial" w:cs="Arial"/>
                <w:color w:val="000000"/>
                <w:sz w:val="24"/>
                <w:szCs w:val="24"/>
                <w:highlight w:val="yellow"/>
              </w:rPr>
              <w:t>7 - Group Exposure Ratio]</w:t>
            </w:r>
          </w:p>
        </w:tc>
      </w:tr>
      <w:tr w:rsidR="00F97929">
        <w:tc>
          <w:tcPr>
            <w:tcW w:w="4073"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[Entity 2 </w:t>
            </w:r>
            <w:proofErr w:type="spellStart"/>
            <w:r>
              <w:rPr>
                <w:rFonts w:ascii="Arial" w:eastAsia="Arial" w:hAnsi="Arial" w:cs="Arial"/>
                <w:color w:val="000000"/>
                <w:sz w:val="24"/>
                <w:szCs w:val="24"/>
                <w:highlight w:val="yellow"/>
              </w:rPr>
              <w:t>e.g</w:t>
            </w:r>
            <w:proofErr w:type="spellEnd"/>
            <w:r>
              <w:rPr>
                <w:rFonts w:ascii="Arial" w:eastAsia="Arial" w:hAnsi="Arial" w:cs="Arial"/>
                <w:color w:val="000000"/>
                <w:sz w:val="24"/>
                <w:szCs w:val="24"/>
                <w:highlight w:val="yellow"/>
              </w:rPr>
              <w:t xml:space="preserve"> GEO Group Member, Sub-contractor, Relevant Parent Company etc.]</w:t>
            </w:r>
          </w:p>
          <w:p w:rsidR="00F97929" w:rsidRDefault="00F97929">
            <w:pPr>
              <w:pBdr>
                <w:top w:val="nil"/>
                <w:left w:val="nil"/>
                <w:bottom w:val="nil"/>
                <w:right w:val="nil"/>
                <w:between w:val="nil"/>
              </w:pBdr>
              <w:spacing w:before="100" w:after="200"/>
              <w:jc w:val="left"/>
              <w:rPr>
                <w:rFonts w:ascii="Arial" w:eastAsia="Arial" w:hAnsi="Arial" w:cs="Arial"/>
                <w:sz w:val="24"/>
                <w:szCs w:val="24"/>
                <w:highlight w:val="yellow"/>
              </w:rPr>
            </w:pPr>
          </w:p>
        </w:tc>
        <w:tc>
          <w:tcPr>
            <w:tcW w:w="4223" w:type="dxa"/>
          </w:tcPr>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2 - Net Debt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3 - Net Debt + Net Pension Deficit to EBITDA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4 - Net Interest Paid Cover</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5 - Acid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sz w:val="24"/>
                <w:szCs w:val="24"/>
                <w:highlight w:val="yellow"/>
              </w:rPr>
              <w:t xml:space="preserve">6 - Net Asset Value </w:t>
            </w:r>
          </w:p>
          <w:p w:rsidR="00F97929" w:rsidRDefault="006E0B8C">
            <w:pPr>
              <w:keepNext/>
              <w:spacing w:before="240"/>
              <w:jc w:val="left"/>
              <w:rPr>
                <w:rFonts w:ascii="Arial" w:eastAsia="Arial" w:hAnsi="Arial" w:cs="Arial"/>
                <w:sz w:val="24"/>
                <w:szCs w:val="24"/>
                <w:highlight w:val="yellow"/>
              </w:rPr>
            </w:pPr>
            <w:r>
              <w:rPr>
                <w:rFonts w:ascii="Arial" w:eastAsia="Arial" w:hAnsi="Arial" w:cs="Arial"/>
                <w:color w:val="000000"/>
                <w:sz w:val="24"/>
                <w:szCs w:val="24"/>
                <w:highlight w:val="yellow"/>
              </w:rPr>
              <w:t>7 - Group Exposure Ratio]</w:t>
            </w:r>
          </w:p>
        </w:tc>
      </w:tr>
      <w:tr w:rsidR="00F97929">
        <w:tc>
          <w:tcPr>
            <w:tcW w:w="4073"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[Entity 3 </w:t>
            </w:r>
            <w:proofErr w:type="spellStart"/>
            <w:r>
              <w:rPr>
                <w:rFonts w:ascii="Arial" w:eastAsia="Arial" w:hAnsi="Arial" w:cs="Arial"/>
                <w:color w:val="000000"/>
                <w:sz w:val="24"/>
                <w:szCs w:val="24"/>
                <w:highlight w:val="yellow"/>
              </w:rPr>
              <w:t>e.g</w:t>
            </w:r>
            <w:proofErr w:type="spellEnd"/>
            <w:r>
              <w:rPr>
                <w:rFonts w:ascii="Arial" w:eastAsia="Arial" w:hAnsi="Arial" w:cs="Arial"/>
                <w:color w:val="000000"/>
                <w:sz w:val="24"/>
                <w:szCs w:val="24"/>
                <w:highlight w:val="yellow"/>
              </w:rPr>
              <w:t xml:space="preserve"> GEO Group Member, Sub-contractor, Relevant Parent Company etc.]</w:t>
            </w:r>
          </w:p>
        </w:tc>
        <w:tc>
          <w:tcPr>
            <w:tcW w:w="4223" w:type="dxa"/>
          </w:tcPr>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2 - Net Debt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3 - Net Debt + Net Pension Deficit to EBITDA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4 - Net Interest Paid Cover</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5 - Acid Ratio</w:t>
            </w:r>
          </w:p>
          <w:p w:rsidR="00F97929" w:rsidRDefault="006E0B8C">
            <w:pPr>
              <w:keepNext/>
              <w:tabs>
                <w:tab w:val="left" w:pos="142"/>
              </w:tabs>
              <w:spacing w:before="240"/>
              <w:jc w:val="left"/>
              <w:rPr>
                <w:rFonts w:ascii="Arial" w:eastAsia="Arial" w:hAnsi="Arial" w:cs="Arial"/>
                <w:color w:val="000000"/>
                <w:sz w:val="24"/>
                <w:szCs w:val="24"/>
                <w:highlight w:val="yellow"/>
              </w:rPr>
            </w:pPr>
            <w:r>
              <w:rPr>
                <w:rFonts w:ascii="Arial" w:eastAsia="Arial" w:hAnsi="Arial" w:cs="Arial"/>
                <w:sz w:val="24"/>
                <w:szCs w:val="24"/>
                <w:highlight w:val="yellow"/>
              </w:rPr>
              <w:t xml:space="preserve">6 - Net Asset Value </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7 - Group Exposure Ratio]</w:t>
            </w:r>
          </w:p>
        </w:tc>
      </w:tr>
    </w:tbl>
    <w:p w:rsidR="00F97929" w:rsidRDefault="00F97929">
      <w:pPr>
        <w:pBdr>
          <w:top w:val="nil"/>
          <w:left w:val="nil"/>
          <w:bottom w:val="nil"/>
          <w:right w:val="nil"/>
          <w:between w:val="nil"/>
        </w:pBdr>
        <w:tabs>
          <w:tab w:val="left" w:pos="1134"/>
        </w:tabs>
        <w:spacing w:before="120" w:after="120"/>
        <w:ind w:left="360" w:hanging="1004"/>
        <w:jc w:val="left"/>
        <w:rPr>
          <w:color w:val="000000"/>
        </w:rPr>
      </w:pP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Termination rights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Relevant Authority shall be entitled to terminate the Contract if:</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Supplier fails to notify the Relevant Authority of a Financial Distress Event in accordance with Paragraph 2.3.3;</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rsidR="00F97929" w:rsidRDefault="006E0B8C">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Primacy of Credit Ratings</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Supplier shall be relieved automatically of its obligations under Paragraphs 4.3 to 4.6; and</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the Relevant Authority shall not be entitled to require the Supplier to provide financial information in accordance with Paragraph 4.3.2(b).</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Board confirmation</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that a Financial Distress Event has occurred since the later of the Effective Date or the previous Board Confirmation or is subsisting; or</w:t>
      </w:r>
    </w:p>
    <w:p w:rsidR="00F97929" w:rsidRDefault="006E0B8C">
      <w:pPr>
        <w:numPr>
          <w:ilvl w:val="2"/>
          <w:numId w:val="2"/>
        </w:numPr>
        <w:pBdr>
          <w:top w:val="nil"/>
          <w:left w:val="nil"/>
          <w:bottom w:val="nil"/>
          <w:right w:val="nil"/>
          <w:between w:val="nil"/>
        </w:pBdr>
        <w:tabs>
          <w:tab w:val="left" w:pos="1985"/>
        </w:tabs>
        <w:spacing w:before="120" w:after="120"/>
      </w:pPr>
      <w:r>
        <w:rPr>
          <w:rFonts w:ascii="Arial" w:eastAsia="Arial" w:hAnsi="Arial" w:cs="Arial"/>
          <w:color w:val="000000"/>
          <w:sz w:val="24"/>
          <w:szCs w:val="24"/>
        </w:rPr>
        <w:t>of any matters which have occurred or are subsisting that could reasonably be expected to cause a Financial Distress Event.</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F97929" w:rsidRDefault="006E0B8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F97929" w:rsidRDefault="006E0B8C">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Optional Clauses</w:t>
      </w:r>
    </w:p>
    <w:p w:rsidR="00F97929" w:rsidRDefault="006E0B8C">
      <w:pPr>
        <w:numPr>
          <w:ilvl w:val="1"/>
          <w:numId w:val="2"/>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rsidR="00F97929" w:rsidRDefault="00F97929">
      <w:pPr>
        <w:pBdr>
          <w:top w:val="nil"/>
          <w:left w:val="nil"/>
          <w:bottom w:val="nil"/>
          <w:right w:val="nil"/>
          <w:between w:val="nil"/>
        </w:pBdr>
        <w:tabs>
          <w:tab w:val="left" w:pos="142"/>
        </w:tabs>
        <w:spacing w:before="120"/>
        <w:ind w:left="360" w:hanging="360"/>
        <w:rPr>
          <w:b/>
          <w:smallCaps/>
          <w:color w:val="000000"/>
        </w:rPr>
      </w:pPr>
    </w:p>
    <w:p w:rsidR="00F97929" w:rsidRDefault="006E0B8C">
      <w:pPr>
        <w:spacing w:after="200" w:line="276" w:lineRule="auto"/>
        <w:jc w:val="left"/>
        <w:rPr>
          <w:rFonts w:ascii="Arial" w:eastAsia="Arial" w:hAnsi="Arial" w:cs="Arial"/>
          <w:b/>
          <w:sz w:val="24"/>
          <w:szCs w:val="24"/>
        </w:rPr>
      </w:pPr>
      <w:r>
        <w:br w:type="page"/>
      </w:r>
      <w:r>
        <w:rPr>
          <w:rFonts w:ascii="Arial" w:eastAsia="Arial" w:hAnsi="Arial" w:cs="Arial"/>
          <w:b/>
          <w:sz w:val="24"/>
          <w:szCs w:val="24"/>
        </w:rPr>
        <w:t>Annex 1: Rating Agencies and their standard Rating System</w:t>
      </w:r>
    </w:p>
    <w:p w:rsidR="00F97929" w:rsidRDefault="006E0B8C">
      <w:pPr>
        <w:keepNext/>
        <w:pBdr>
          <w:top w:val="nil"/>
          <w:left w:val="nil"/>
          <w:bottom w:val="nil"/>
          <w:right w:val="nil"/>
          <w:between w:val="nil"/>
        </w:pBdr>
        <w:spacing w:before="240" w:after="120"/>
        <w:ind w:left="142"/>
        <w:jc w:val="left"/>
        <w:rPr>
          <w:rFonts w:ascii="Arial" w:eastAsia="Arial" w:hAnsi="Arial" w:cs="Arial"/>
          <w:sz w:val="24"/>
          <w:szCs w:val="24"/>
          <w:highlight w:val="yellow"/>
        </w:rPr>
      </w:pPr>
      <w:r>
        <w:rPr>
          <w:rFonts w:ascii="Arial" w:eastAsia="Arial" w:hAnsi="Arial" w:cs="Arial"/>
          <w:color w:val="000000"/>
          <w:sz w:val="24"/>
          <w:szCs w:val="24"/>
          <w:highlight w:val="yellow"/>
        </w:rPr>
        <w:t xml:space="preserve">[Rating Agency 1 - </w:t>
      </w:r>
      <w:r>
        <w:rPr>
          <w:rFonts w:ascii="Arial" w:eastAsia="Arial" w:hAnsi="Arial" w:cs="Arial"/>
          <w:sz w:val="24"/>
          <w:szCs w:val="24"/>
          <w:highlight w:val="yellow"/>
        </w:rPr>
        <w:t>Dun &amp; Bradstreet]</w:t>
      </w:r>
    </w:p>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[Rating Agency 2]</w:t>
      </w:r>
      <w:r>
        <w:rPr>
          <w:rFonts w:ascii="Arial" w:eastAsia="Arial" w:hAnsi="Arial" w:cs="Arial"/>
          <w:color w:val="000000"/>
          <w:sz w:val="24"/>
          <w:szCs w:val="24"/>
        </w:rPr>
        <w:t xml:space="preserve">  </w:t>
      </w:r>
    </w:p>
    <w:p w:rsidR="00F97929" w:rsidRDefault="006E0B8C">
      <w:pPr>
        <w:spacing w:after="200" w:line="276" w:lineRule="auto"/>
        <w:jc w:val="left"/>
        <w:rPr>
          <w:rFonts w:ascii="Arial" w:eastAsia="Arial" w:hAnsi="Arial" w:cs="Arial"/>
          <w:sz w:val="24"/>
          <w:szCs w:val="24"/>
        </w:rPr>
      </w:pPr>
      <w:r>
        <w:br w:type="page"/>
      </w:r>
    </w:p>
    <w:p w:rsidR="00F97929" w:rsidRDefault="006E0B8C">
      <w:pPr>
        <w:pBdr>
          <w:top w:val="nil"/>
          <w:left w:val="nil"/>
          <w:bottom w:val="nil"/>
          <w:right w:val="nil"/>
          <w:between w:val="nil"/>
        </w:pBdr>
        <w:spacing w:before="100" w:after="300"/>
        <w:rPr>
          <w:rFonts w:ascii="Arial Bold" w:eastAsia="Arial Bold" w:hAnsi="Arial Bold" w:cs="Arial Bold"/>
          <w:b/>
          <w:color w:val="000000"/>
          <w:sz w:val="24"/>
          <w:szCs w:val="24"/>
        </w:rPr>
      </w:pPr>
      <w:r>
        <w:rPr>
          <w:rFonts w:ascii="Arial Bold" w:eastAsia="Arial Bold" w:hAnsi="Arial Bold" w:cs="Arial Bold"/>
          <w:b/>
          <w:color w:val="000000"/>
          <w:sz w:val="24"/>
          <w:szCs w:val="24"/>
        </w:rPr>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2"/>
        <w:tblW w:w="6161"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97929">
        <w:tc>
          <w:tcPr>
            <w:tcW w:w="3080" w:type="dxa"/>
            <w:tcBorders>
              <w:top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F97929">
        <w:tc>
          <w:tcPr>
            <w:tcW w:w="3080"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[35]</w:t>
            </w:r>
          </w:p>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[insert rating]</w:t>
            </w:r>
          </w:p>
        </w:tc>
      </w:tr>
      <w:tr w:rsidR="00F97929">
        <w:tc>
          <w:tcPr>
            <w:tcW w:w="3080"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Guarantor</w:t>
            </w:r>
          </w:p>
        </w:tc>
        <w:tc>
          <w:tcPr>
            <w:tcW w:w="3081"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[35]</w:t>
            </w:r>
          </w:p>
          <w:p w:rsidR="00F97929" w:rsidRDefault="006E0B8C">
            <w:pPr>
              <w:keepNext/>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[insert rating]</w:t>
            </w:r>
          </w:p>
        </w:tc>
      </w:tr>
      <w:tr w:rsidR="00F97929">
        <w:tc>
          <w:tcPr>
            <w:tcW w:w="3080" w:type="dxa"/>
            <w:tcBorders>
              <w:bottom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white"/>
              </w:rPr>
            </w:pPr>
            <w:r>
              <w:rPr>
                <w:rFonts w:ascii="Arial" w:eastAsia="Arial" w:hAnsi="Arial" w:cs="Arial"/>
                <w:color w:val="000000"/>
                <w:sz w:val="24"/>
                <w:szCs w:val="24"/>
                <w:highlight w:val="white"/>
              </w:rPr>
              <w:t>Key Subcontractor</w:t>
            </w:r>
          </w:p>
        </w:tc>
        <w:tc>
          <w:tcPr>
            <w:tcW w:w="3081" w:type="dxa"/>
            <w:tcBorders>
              <w:bottom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[35]</w:t>
            </w:r>
          </w:p>
          <w:p w:rsidR="00F97929" w:rsidRDefault="006E0B8C">
            <w:pPr>
              <w:keepNext/>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[insert rating]</w:t>
            </w:r>
          </w:p>
        </w:tc>
      </w:tr>
      <w:tr w:rsidR="00F97929">
        <w:tc>
          <w:tcPr>
            <w:tcW w:w="3080" w:type="dxa"/>
            <w:tcBorders>
              <w:bottom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Monitored Suppliers</w:t>
            </w:r>
          </w:p>
        </w:tc>
        <w:tc>
          <w:tcPr>
            <w:tcW w:w="3081" w:type="dxa"/>
            <w:tcBorders>
              <w:bottom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[35]</w:t>
            </w:r>
          </w:p>
          <w:p w:rsidR="00F97929" w:rsidRDefault="006E0B8C">
            <w:pPr>
              <w:keepNext/>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[insert rating]</w:t>
            </w:r>
          </w:p>
        </w:tc>
      </w:tr>
    </w:tbl>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spacing w:after="200" w:line="276" w:lineRule="auto"/>
        <w:jc w:val="left"/>
        <w:rPr>
          <w:rFonts w:ascii="Arial" w:eastAsia="Arial" w:hAnsi="Arial" w:cs="Arial"/>
          <w:sz w:val="24"/>
          <w:szCs w:val="24"/>
        </w:rPr>
      </w:pPr>
      <w:r>
        <w:br w:type="page"/>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Annex 3: Calculation methodology for Financial Indicators</w:t>
      </w:r>
    </w:p>
    <w:p w:rsidR="00F97929" w:rsidRDefault="00F97929">
      <w:pPr>
        <w:pBdr>
          <w:top w:val="nil"/>
          <w:left w:val="nil"/>
          <w:bottom w:val="nil"/>
          <w:right w:val="nil"/>
          <w:between w:val="nil"/>
        </w:pBdr>
        <w:spacing w:before="100" w:after="200"/>
        <w:jc w:val="left"/>
        <w:rPr>
          <w:rFonts w:ascii="Arial" w:eastAsia="Arial" w:hAnsi="Arial" w:cs="Arial"/>
          <w:b/>
          <w:i/>
          <w:color w:val="000000"/>
          <w:sz w:val="24"/>
          <w:szCs w:val="24"/>
        </w:rPr>
      </w:pPr>
      <w:bookmarkStart w:id="3" w:name="_3znysh7" w:colFirst="0" w:colLast="0"/>
      <w:bookmarkEnd w:id="3"/>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bookmarkStart w:id="4" w:name="_2et92p0" w:colFirst="0" w:colLast="0"/>
      <w:bookmarkEnd w:id="4"/>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rsidR="00F97929" w:rsidRDefault="006E0B8C">
      <w:pPr>
        <w:numPr>
          <w:ilvl w:val="0"/>
          <w:numId w:val="3"/>
        </w:num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rsidR="00F97929" w:rsidRDefault="006E0B8C">
      <w:pPr>
        <w:pBdr>
          <w:top w:val="nil"/>
          <w:left w:val="nil"/>
          <w:bottom w:val="nil"/>
          <w:right w:val="nil"/>
          <w:between w:val="nil"/>
        </w:pBdr>
        <w:spacing w:before="100" w:after="200"/>
        <w:ind w:left="720" w:hanging="720"/>
        <w:jc w:val="left"/>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F97929">
        <w:tc>
          <w:tcPr>
            <w:tcW w:w="2538" w:type="dxa"/>
            <w:shd w:val="clear" w:color="auto" w:fill="D9D9D9"/>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Specific Methodology</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an entity has an operating loss (i.e. where the operating profit is negative), Operating Profit should be taken to be zero.</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2</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to EBITDA Ratio should be shown on the face of the</w:t>
            </w:r>
            <w:r>
              <w:rPr>
                <w:rFonts w:ascii="Arial" w:eastAsia="Arial" w:hAnsi="Arial" w:cs="Arial"/>
                <w:color w:val="000000"/>
                <w:sz w:val="24"/>
                <w:szCs w:val="24"/>
                <w:highlight w:val="yellow"/>
              </w:rPr>
              <w:t xml:space="preserve"> </w:t>
            </w:r>
            <w:r>
              <w:rPr>
                <w:rFonts w:ascii="Arial" w:eastAsia="Arial" w:hAnsi="Arial" w:cs="Arial"/>
                <w:color w:val="000000"/>
                <w:sz w:val="24"/>
                <w:szCs w:val="24"/>
              </w:rPr>
              <w:t>Balance sheet, Income statement and Statement of Cash Flows in a standard set of financial statements but will otherwise be found in the notes to the financial statements.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4"/>
                <w:szCs w:val="24"/>
              </w:rPr>
              <w:t>interest bearing</w:t>
            </w:r>
            <w:proofErr w:type="gramEnd"/>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 xml:space="preserve">Where Net debt is negative (i.e. an entity has net cash), the relevant Financial Target Threshold should be treated as having been met. </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bookmarkStart w:id="5" w:name="_tyjcwt" w:colFirst="0" w:colLast="0"/>
            <w:bookmarkEnd w:id="5"/>
            <w:r>
              <w:rPr>
                <w:rFonts w:ascii="Arial" w:eastAsia="Arial" w:hAnsi="Arial" w:cs="Arial"/>
                <w:i/>
                <w:color w:val="000000"/>
                <w:sz w:val="24"/>
                <w:szCs w:val="24"/>
                <w:u w:val="single"/>
              </w:rPr>
              <w:t>EBITDA</w:t>
            </w:r>
            <w:r>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3</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 xml:space="preserve">Net Debt + </w:t>
            </w:r>
            <w:proofErr w:type="gramStart"/>
            <w:r>
              <w:rPr>
                <w:rFonts w:ascii="Arial" w:eastAsia="Arial" w:hAnsi="Arial" w:cs="Arial"/>
                <w:b/>
                <w:color w:val="000000"/>
                <w:sz w:val="24"/>
                <w:szCs w:val="24"/>
              </w:rPr>
              <w:t>Net  Pension</w:t>
            </w:r>
            <w:proofErr w:type="gramEnd"/>
            <w:r>
              <w:rPr>
                <w:rFonts w:ascii="Arial" w:eastAsia="Arial" w:hAnsi="Arial" w:cs="Arial"/>
                <w:b/>
                <w:color w:val="000000"/>
                <w:sz w:val="24"/>
                <w:szCs w:val="24"/>
              </w:rPr>
              <w:t xml:space="preserve"> Deficit to EBITDA ratio</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Pension Deficit</w:t>
            </w:r>
            <w:r>
              <w:rPr>
                <w:rFonts w:ascii="Arial" w:eastAsia="Arial" w:hAnsi="Arial" w:cs="Arial"/>
                <w:i/>
                <w:color w:val="000000"/>
                <w:sz w:val="24"/>
                <w:szCs w:val="24"/>
              </w:rPr>
              <w:t>” = Retirement Benefit Obligations – Retirement Benefit Assets</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4"/>
                <w:szCs w:val="24"/>
              </w:rPr>
              <w:t>interest bearing</w:t>
            </w:r>
            <w:proofErr w:type="gramEnd"/>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rPr>
              <w:t>not</w:t>
            </w:r>
            <w:r>
              <w:rPr>
                <w:rFonts w:ascii="Arial" w:eastAsia="Arial" w:hAnsi="Arial" w:cs="Arial"/>
                <w:color w:val="000000"/>
                <w:sz w:val="24"/>
                <w:szCs w:val="24"/>
              </w:rPr>
              <w:t xml:space="preserve"> non-designated hedges). Borrowings should also include balances owed to other group members.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Net Pension Deficit</w:t>
            </w:r>
            <w:r>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‘Net Debt + Net Pension Deficit’ is negative, the relevant Financial Target Threshold should be treated as having been met.</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bookmarkStart w:id="6" w:name="_3dy6vkm" w:colFirst="0" w:colLast="0"/>
            <w:bookmarkEnd w:id="6"/>
            <w:r>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4</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5</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6</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Asset value</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F97929">
        <w:tc>
          <w:tcPr>
            <w:tcW w:w="2538" w:type="dxa"/>
          </w:tcPr>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7</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6478" w:type="dxa"/>
          </w:tcPr>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Group Exposure</w:t>
            </w:r>
            <w:r>
              <w:rPr>
                <w:rFonts w:ascii="Arial" w:eastAsia="Arial" w:hAnsi="Arial" w:cs="Arial"/>
                <w:i/>
                <w:color w:val="000000"/>
                <w:sz w:val="24"/>
                <w:szCs w:val="24"/>
              </w:rPr>
              <w:t>” = Balances owed by Group Undertakings + Contingent liabilities assumed in support of Group Undertakings</w:t>
            </w:r>
          </w:p>
          <w:p w:rsidR="00F97929" w:rsidRDefault="006E0B8C">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Gross Assets</w:t>
            </w:r>
            <w:r>
              <w:rPr>
                <w:rFonts w:ascii="Arial" w:eastAsia="Arial" w:hAnsi="Arial" w:cs="Arial"/>
                <w:i/>
                <w:color w:val="000000"/>
                <w:sz w:val="24"/>
                <w:szCs w:val="24"/>
              </w:rPr>
              <w:t>” = Fixed Assets + Current Assets</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Group Exposure</w:t>
            </w:r>
            <w:r>
              <w:rPr>
                <w:rFonts w:ascii="Arial" w:eastAsia="Arial" w:hAnsi="Arial" w:cs="Arial"/>
                <w:color w:val="000000"/>
                <w:sz w:val="24"/>
                <w:szCs w:val="24"/>
              </w:rPr>
              <w:t>:  Balances owed by (</w:t>
            </w:r>
            <w:proofErr w:type="spellStart"/>
            <w:r>
              <w:rPr>
                <w:rFonts w:ascii="Arial" w:eastAsia="Arial" w:hAnsi="Arial" w:cs="Arial"/>
                <w:color w:val="000000"/>
                <w:sz w:val="24"/>
                <w:szCs w:val="24"/>
              </w:rPr>
              <w:t>ie</w:t>
            </w:r>
            <w:proofErr w:type="spellEnd"/>
            <w:r>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00F97929" w:rsidRDefault="006E0B8C">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i/>
                <w:color w:val="000000"/>
                <w:sz w:val="24"/>
                <w:szCs w:val="24"/>
                <w:u w:val="single"/>
              </w:rPr>
              <w:t>Gross Assets</w:t>
            </w:r>
            <w:r>
              <w:rPr>
                <w:rFonts w:ascii="Arial" w:eastAsia="Arial" w:hAnsi="Arial" w:cs="Arial"/>
                <w:color w:val="000000"/>
                <w:sz w:val="24"/>
                <w:szCs w:val="24"/>
              </w:rPr>
              <w:t>: Both Fixed assets and Current assets are shown on the face of the Balance Sheet.</w:t>
            </w:r>
          </w:p>
        </w:tc>
      </w:tr>
    </w:tbl>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spacing w:after="200" w:line="276" w:lineRule="auto"/>
        <w:jc w:val="left"/>
        <w:rPr>
          <w:rFonts w:ascii="Arial" w:eastAsia="Arial" w:hAnsi="Arial" w:cs="Arial"/>
          <w:sz w:val="24"/>
          <w:szCs w:val="24"/>
        </w:rPr>
      </w:pPr>
      <w:r>
        <w:br w:type="page"/>
      </w:r>
    </w:p>
    <w:p w:rsidR="00F97929" w:rsidRDefault="006E0B8C">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7" w:name="_1t3h5sf" w:colFirst="0" w:colLast="0"/>
      <w:bookmarkEnd w:id="7"/>
      <w:r>
        <w:rPr>
          <w:rFonts w:ascii="Arial Bold" w:eastAsia="Arial Bold" w:hAnsi="Arial Bold" w:cs="Arial Bold"/>
          <w:b/>
          <w:smallCaps/>
          <w:color w:val="000000"/>
          <w:sz w:val="24"/>
          <w:szCs w:val="24"/>
        </w:rPr>
        <w:t>Annex 4: Board Confirmation</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Supplier Name:</w:t>
      </w:r>
    </w:p>
    <w:p w:rsidR="00F97929" w:rsidRDefault="006E0B8C">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Contract Reference Number:</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bookmarkStart w:id="8" w:name="_4d34og8" w:colFirst="0" w:colLast="0"/>
      <w:bookmarkEnd w:id="8"/>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rsidR="00F97929" w:rsidRDefault="006E0B8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that a Financial Distress Event has occurred since the later of the previous Board Confirmation and the Effective Date or is subsisting; or</w:t>
      </w:r>
    </w:p>
    <w:p w:rsidR="00F97929" w:rsidRDefault="006E0B8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of any matters which have occurred or are subsisting that could reasonably be expected to cause a Financial Distress Event</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On behalf of the Board of Directors:</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6E0B8C">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F97929" w:rsidRDefault="00F97929">
      <w:pPr>
        <w:pBdr>
          <w:top w:val="nil"/>
          <w:left w:val="nil"/>
          <w:bottom w:val="nil"/>
          <w:right w:val="nil"/>
          <w:between w:val="nil"/>
        </w:pBdr>
        <w:spacing w:before="100" w:after="200"/>
        <w:jc w:val="left"/>
        <w:rPr>
          <w:rFonts w:ascii="Arial" w:eastAsia="Arial" w:hAnsi="Arial" w:cs="Arial"/>
          <w:color w:val="000000"/>
          <w:sz w:val="24"/>
          <w:szCs w:val="24"/>
        </w:rPr>
      </w:pPr>
    </w:p>
    <w:p w:rsidR="00F97929" w:rsidRDefault="006E0B8C">
      <w:pPr>
        <w:spacing w:after="200" w:line="276" w:lineRule="auto"/>
        <w:jc w:val="left"/>
        <w:rPr>
          <w:rFonts w:ascii="Arial" w:eastAsia="Arial" w:hAnsi="Arial" w:cs="Arial"/>
          <w:sz w:val="36"/>
          <w:szCs w:val="36"/>
        </w:rPr>
      </w:pPr>
      <w:r>
        <w:br w:type="page"/>
      </w:r>
    </w:p>
    <w:p w:rsidR="00F97929" w:rsidRDefault="00F97929">
      <w:pPr>
        <w:spacing w:after="200" w:line="276" w:lineRule="auto"/>
        <w:jc w:val="left"/>
        <w:rPr>
          <w:rFonts w:ascii="Arial" w:eastAsia="Arial" w:hAnsi="Arial" w:cs="Arial"/>
          <w:sz w:val="36"/>
          <w:szCs w:val="36"/>
        </w:rPr>
      </w:pPr>
    </w:p>
    <w:p w:rsidR="00F97929" w:rsidRDefault="006E0B8C">
      <w:pPr>
        <w:spacing w:after="200" w:line="276" w:lineRule="auto"/>
        <w:jc w:val="left"/>
        <w:rPr>
          <w:rFonts w:ascii="Arial" w:eastAsia="Arial" w:hAnsi="Arial" w:cs="Arial"/>
          <w:b/>
          <w:smallCaps/>
          <w:sz w:val="36"/>
          <w:szCs w:val="36"/>
        </w:rPr>
      </w:pPr>
      <w:r>
        <w:rPr>
          <w:rFonts w:ascii="Arial" w:eastAsia="Arial" w:hAnsi="Arial" w:cs="Arial"/>
          <w:b/>
          <w:smallCaps/>
          <w:sz w:val="36"/>
          <w:szCs w:val="36"/>
        </w:rPr>
        <w:t>ANNEX 5: OPTIONAL CLAUSES FOR BRONZE CONTRACTS</w:t>
      </w:r>
    </w:p>
    <w:p w:rsidR="00F97929" w:rsidRDefault="006E0B8C">
      <w:pPr>
        <w:keepNext/>
        <w:numPr>
          <w:ilvl w:val="0"/>
          <w:numId w:val="4"/>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Definitions</w:t>
      </w:r>
    </w:p>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In this Annex 5, the following words shall have the following meanings and they shall supplement Joint Schedule 1 (Definitions):</w:t>
      </w:r>
    </w:p>
    <w:tbl>
      <w:tblPr>
        <w:tblStyle w:val="a4"/>
        <w:tblW w:w="756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F97929">
        <w:tc>
          <w:tcPr>
            <w:tcW w:w="2462" w:type="dxa"/>
          </w:tcPr>
          <w:p w:rsidR="00F97929" w:rsidRDefault="006E0B8C">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minimum credit rating level for the Monitored Company as set out in Appendix 2;</w:t>
            </w:r>
          </w:p>
        </w:tc>
      </w:tr>
      <w:tr w:rsidR="00F97929">
        <w:tc>
          <w:tcPr>
            <w:tcW w:w="2462" w:type="dxa"/>
          </w:tcPr>
          <w:p w:rsidR="00F97929" w:rsidRDefault="006E0B8C">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occurrence or one or more of the following events:</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the credit rating of the Monitored Company dropping below the applicable Credit Rating Threshold;</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 xml:space="preserve">Monitored Company committing a material breach of covenant to its lenders; </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F97929" w:rsidRDefault="006E0B8C">
            <w:pPr>
              <w:numPr>
                <w:ilvl w:val="1"/>
                <w:numId w:val="1"/>
              </w:numPr>
              <w:pBdr>
                <w:top w:val="nil"/>
                <w:left w:val="nil"/>
                <w:bottom w:val="nil"/>
                <w:right w:val="nil"/>
                <w:between w:val="nil"/>
              </w:pBdr>
              <w:tabs>
                <w:tab w:val="left" w:pos="175"/>
              </w:tabs>
              <w:spacing w:after="120"/>
              <w:ind w:hanging="544"/>
              <w:jc w:val="left"/>
              <w:rPr>
                <w:rFonts w:ascii="Arial" w:eastAsia="Arial" w:hAnsi="Arial" w:cs="Arial"/>
                <w:sz w:val="24"/>
                <w:szCs w:val="24"/>
              </w:rPr>
            </w:pPr>
            <w:r>
              <w:rPr>
                <w:rFonts w:ascii="Arial" w:eastAsia="Arial" w:hAnsi="Arial" w:cs="Arial"/>
                <w:color w:val="000000"/>
                <w:sz w:val="24"/>
                <w:szCs w:val="24"/>
              </w:rPr>
              <w:t>any of the following:</w:t>
            </w:r>
          </w:p>
          <w:p w:rsidR="00F97929" w:rsidRDefault="006E0B8C">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rsidR="00F97929" w:rsidRDefault="006E0B8C">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non-payment by the Monitored Company of any financial indebtedness;</w:t>
            </w:r>
          </w:p>
          <w:p w:rsidR="00F97929" w:rsidRDefault="006E0B8C">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any financial indebtedness of the Monitored Company becoming due as a result of an event of default; or</w:t>
            </w:r>
          </w:p>
          <w:p w:rsidR="00F97929" w:rsidRDefault="006E0B8C">
            <w:pPr>
              <w:numPr>
                <w:ilvl w:val="2"/>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cancellation or suspension of any financial indebtedness in respect of the Monitored Company</w:t>
            </w:r>
          </w:p>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F97929">
        <w:tc>
          <w:tcPr>
            <w:tcW w:w="2462" w:type="dxa"/>
          </w:tcPr>
          <w:p w:rsidR="00F97929" w:rsidRDefault="006E0B8C">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"Financial Distress Service Continuity Plan"</w:t>
            </w:r>
          </w:p>
        </w:tc>
        <w:tc>
          <w:tcPr>
            <w:tcW w:w="5098" w:type="dxa"/>
          </w:tcPr>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F97929">
        <w:tc>
          <w:tcPr>
            <w:tcW w:w="2462" w:type="dxa"/>
          </w:tcPr>
          <w:p w:rsidR="00F97929" w:rsidRDefault="006E0B8C">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 xml:space="preserve">Supplier, </w:t>
            </w:r>
            <w:r>
              <w:rPr>
                <w:rFonts w:ascii="Arial" w:eastAsia="Arial" w:hAnsi="Arial" w:cs="Arial"/>
                <w:color w:val="000000"/>
                <w:sz w:val="24"/>
                <w:szCs w:val="24"/>
                <w:highlight w:val="yellow"/>
              </w:rPr>
              <w:t>the Guarantor or any Key Subcontractor</w:t>
            </w:r>
          </w:p>
        </w:tc>
      </w:tr>
      <w:tr w:rsidR="00F97929">
        <w:tc>
          <w:tcPr>
            <w:tcW w:w="2462" w:type="dxa"/>
          </w:tcPr>
          <w:p w:rsidR="00F97929" w:rsidRDefault="006E0B8C">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rsidR="00F97929" w:rsidRDefault="006E0B8C">
            <w:pPr>
              <w:numPr>
                <w:ilvl w:val="0"/>
                <w:numId w:val="1"/>
              </w:numPr>
              <w:pBdr>
                <w:top w:val="nil"/>
                <w:left w:val="nil"/>
                <w:bottom w:val="nil"/>
                <w:right w:val="nil"/>
                <w:between w:val="nil"/>
              </w:pBdr>
              <w:tabs>
                <w:tab w:val="left" w:pos="175"/>
              </w:tabs>
              <w:spacing w:after="120"/>
              <w:jc w:val="left"/>
              <w:rPr>
                <w:color w:val="000000"/>
              </w:rPr>
            </w:pPr>
            <w:r>
              <w:rPr>
                <w:rFonts w:ascii="Arial" w:eastAsia="Arial" w:hAnsi="Arial" w:cs="Arial"/>
                <w:color w:val="000000"/>
                <w:sz w:val="24"/>
                <w:szCs w:val="24"/>
              </w:rPr>
              <w:t>the rating agencies listed in Appendix 1.</w:t>
            </w:r>
          </w:p>
        </w:tc>
      </w:tr>
    </w:tbl>
    <w:p w:rsidR="00F97929" w:rsidRDefault="006E0B8C">
      <w:pPr>
        <w:keepNext/>
        <w:numPr>
          <w:ilvl w:val="0"/>
          <w:numId w:val="4"/>
        </w:numPr>
        <w:pBdr>
          <w:top w:val="nil"/>
          <w:left w:val="nil"/>
          <w:bottom w:val="nil"/>
          <w:right w:val="nil"/>
          <w:between w:val="nil"/>
        </w:pBdr>
        <w:tabs>
          <w:tab w:val="left" w:pos="142"/>
        </w:tabs>
        <w:spacing w:before="120"/>
        <w:jc w:val="left"/>
      </w:pPr>
      <w:bookmarkStart w:id="9" w:name="_2s8eyo1" w:colFirst="0" w:colLast="0"/>
      <w:bookmarkEnd w:id="9"/>
      <w:r>
        <w:rPr>
          <w:rFonts w:ascii="Arial Bold" w:eastAsia="Arial Bold" w:hAnsi="Arial Bold" w:cs="Arial Bold"/>
          <w:b/>
          <w:color w:val="000000"/>
          <w:sz w:val="24"/>
          <w:szCs w:val="24"/>
        </w:rPr>
        <w:t>When this Schedule applies</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 xml:space="preserve">    The terms of this Annex 5 shall survive: </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under the Call-Off Contract until the termination or expiry of the Call-Off Contract.</w:t>
      </w:r>
    </w:p>
    <w:p w:rsidR="00F97929" w:rsidRDefault="006E0B8C">
      <w:pPr>
        <w:keepNext/>
        <w:numPr>
          <w:ilvl w:val="0"/>
          <w:numId w:val="4"/>
        </w:numPr>
        <w:pBdr>
          <w:top w:val="nil"/>
          <w:left w:val="nil"/>
          <w:bottom w:val="nil"/>
          <w:right w:val="nil"/>
          <w:between w:val="nil"/>
        </w:pBdr>
        <w:tabs>
          <w:tab w:val="left" w:pos="142"/>
        </w:tabs>
        <w:spacing w:before="120"/>
        <w:jc w:val="left"/>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bookmarkStart w:id="10" w:name="_17dp8vu" w:colFirst="0" w:colLast="0"/>
      <w:bookmarkEnd w:id="10"/>
      <w:r>
        <w:rPr>
          <w:rFonts w:ascii="Arial" w:eastAsia="Arial" w:hAnsi="Arial" w:cs="Arial"/>
          <w:color w:val="000000"/>
          <w:sz w:val="24"/>
          <w:szCs w:val="24"/>
        </w:rPr>
        <w:t xml:space="preserve">The Supplier warrants and represents to the Relevant Authority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Appendix 2. </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rsidR="00F97929" w:rsidRDefault="006E0B8C">
      <w:pPr>
        <w:ind w:firstLine="1134"/>
        <w:jc w:val="left"/>
        <w:rPr>
          <w:rFonts w:ascii="Arial" w:eastAsia="Arial" w:hAnsi="Arial" w:cs="Arial"/>
          <w:sz w:val="24"/>
          <w:szCs w:val="24"/>
        </w:rPr>
      </w:pPr>
      <w:r>
        <w:rPr>
          <w:rFonts w:ascii="Arial" w:eastAsia="Arial" w:hAnsi="Arial" w:cs="Arial"/>
          <w:noProof/>
          <w:sz w:val="24"/>
          <w:szCs w:val="24"/>
        </w:rPr>
        <w:drawing>
          <wp:inline distT="0" distB="0" distL="0" distR="0">
            <wp:extent cx="609600" cy="1631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extent cx="609600" cy="3155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9600" cy="315595"/>
                    </a:xfrm>
                    <a:prstGeom prst="rect">
                      <a:avLst/>
                    </a:prstGeom>
                    <a:ln/>
                  </pic:spPr>
                </pic:pic>
              </a:graphicData>
            </a:graphic>
          </wp:inline>
        </w:drawing>
      </w:r>
    </w:p>
    <w:p w:rsidR="00F97929" w:rsidRDefault="006E0B8C">
      <w:pPr>
        <w:pBdr>
          <w:top w:val="nil"/>
          <w:left w:val="nil"/>
          <w:bottom w:val="nil"/>
          <w:right w:val="nil"/>
          <w:between w:val="nil"/>
        </w:pBdr>
        <w:tabs>
          <w:tab w:val="left" w:pos="3402"/>
        </w:tabs>
        <w:spacing w:after="220"/>
        <w:ind w:left="720"/>
        <w:jc w:val="left"/>
        <w:rPr>
          <w:rFonts w:ascii="Arial" w:eastAsia="Arial" w:hAnsi="Arial" w:cs="Arial"/>
          <w:color w:val="000000"/>
          <w:sz w:val="24"/>
          <w:szCs w:val="24"/>
        </w:rPr>
      </w:pPr>
      <w:r>
        <w:rPr>
          <w:rFonts w:ascii="Arial" w:eastAsia="Arial" w:hAnsi="Arial" w:cs="Arial"/>
          <w:color w:val="000000"/>
          <w:sz w:val="24"/>
          <w:szCs w:val="24"/>
        </w:rPr>
        <w:t>where:</w:t>
      </w:r>
    </w:p>
    <w:tbl>
      <w:tblPr>
        <w:tblStyle w:val="a5"/>
        <w:tblW w:w="831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F97929">
        <w:tc>
          <w:tcPr>
            <w:tcW w:w="1524"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F97929">
        <w:tc>
          <w:tcPr>
            <w:tcW w:w="1524"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F97929">
        <w:tc>
          <w:tcPr>
            <w:tcW w:w="1524"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F97929">
        <w:tc>
          <w:tcPr>
            <w:tcW w:w="1524"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rsidR="00F97929" w:rsidRDefault="006E0B8C">
            <w:pPr>
              <w:pBdr>
                <w:top w:val="nil"/>
                <w:left w:val="nil"/>
                <w:bottom w:val="nil"/>
                <w:right w:val="nil"/>
                <w:between w:val="nil"/>
              </w:pBdr>
              <w:tabs>
                <w:tab w:val="left" w:pos="3402"/>
              </w:tabs>
              <w:spacing w:after="220"/>
              <w:ind w:left="1134"/>
              <w:jc w:val="left"/>
              <w:rPr>
                <w:rFonts w:ascii="Arial" w:eastAsia="Arial" w:hAnsi="Arial" w:cs="Arial"/>
                <w:color w:val="000000"/>
                <w:sz w:val="24"/>
                <w:szCs w:val="24"/>
              </w:rPr>
            </w:pPr>
            <w:r>
              <w:rPr>
                <w:rFonts w:ascii="Arial" w:eastAsia="Arial" w:hAnsi="Arial" w:cs="Arial"/>
                <w:color w:val="000000"/>
                <w:sz w:val="24"/>
                <w:szCs w:val="24"/>
              </w:rPr>
              <w:t xml:space="preserve">is the value at the relevant date of the current liabilities of the Monitored </w:t>
            </w:r>
            <w:proofErr w:type="gramStart"/>
            <w:r>
              <w:rPr>
                <w:rFonts w:ascii="Arial" w:eastAsia="Arial" w:hAnsi="Arial" w:cs="Arial"/>
                <w:color w:val="000000"/>
                <w:sz w:val="24"/>
                <w:szCs w:val="24"/>
              </w:rPr>
              <w:t>Company].</w:t>
            </w:r>
            <w:proofErr w:type="gramEnd"/>
          </w:p>
        </w:tc>
      </w:tr>
    </w:tbl>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bookmarkStart w:id="11" w:name="_3rdcrjn" w:colFirst="0" w:colLast="0"/>
      <w:bookmarkEnd w:id="11"/>
      <w:r>
        <w:rPr>
          <w:rFonts w:ascii="Arial" w:eastAsia="Arial" w:hAnsi="Arial" w:cs="Arial"/>
          <w:color w:val="000000"/>
          <w:sz w:val="24"/>
          <w:szCs w:val="24"/>
        </w:rPr>
        <w:t xml:space="preserve">The Supplier shall: </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regularly monitor the credit ratings of each Monitored Company with the Rating Agencies; and </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12" w:name="_26in1rg" w:colFirst="0" w:colLast="0"/>
      <w:bookmarkEnd w:id="12"/>
      <w:r>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F97929" w:rsidRDefault="006E0B8C">
      <w:pPr>
        <w:keepNext/>
        <w:numPr>
          <w:ilvl w:val="0"/>
          <w:numId w:val="4"/>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What happens if there is a financial distress event</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bookmarkStart w:id="13" w:name="_lnxbz9" w:colFirst="0" w:colLast="0"/>
      <w:bookmarkEnd w:id="13"/>
      <w:r>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rsidR="00F97929" w:rsidRDefault="006E0B8C">
      <w:pPr>
        <w:pBdr>
          <w:top w:val="nil"/>
          <w:left w:val="nil"/>
          <w:bottom w:val="nil"/>
          <w:right w:val="nil"/>
          <w:between w:val="nil"/>
        </w:pBdr>
        <w:tabs>
          <w:tab w:val="left" w:pos="1134"/>
        </w:tabs>
        <w:spacing w:before="120" w:after="120"/>
        <w:ind w:left="936" w:hanging="1004"/>
        <w:jc w:val="left"/>
        <w:rPr>
          <w:rFonts w:ascii="Arial" w:eastAsia="Arial" w:hAnsi="Arial" w:cs="Arial"/>
          <w:color w:val="000000"/>
          <w:sz w:val="24"/>
          <w:szCs w:val="24"/>
        </w:rPr>
      </w:pPr>
      <w:bookmarkStart w:id="14" w:name="_35nkun2" w:colFirst="0" w:colLast="0"/>
      <w:bookmarkEnd w:id="14"/>
      <w:r>
        <w:rPr>
          <w:rFonts w:ascii="Arial" w:eastAsia="Arial" w:hAnsi="Arial" w:cs="Arial"/>
          <w:b/>
          <w:color w:val="000000"/>
          <w:sz w:val="24"/>
          <w:szCs w:val="24"/>
          <w:highlight w:val="yellow"/>
        </w:rPr>
        <w:t>[Guidance</w:t>
      </w:r>
      <w:r>
        <w:rPr>
          <w:rFonts w:ascii="Arial" w:eastAsia="Arial" w:hAnsi="Arial" w:cs="Arial"/>
          <w:color w:val="000000"/>
          <w:sz w:val="24"/>
          <w:szCs w:val="24"/>
        </w:rPr>
        <w:t>: delete this clause if there are no Key Subcontractors or the Key Subcontractors are not</w:t>
      </w:r>
      <w:bookmarkStart w:id="15" w:name="1ksv4uv" w:colFirst="0" w:colLast="0"/>
      <w:bookmarkEnd w:id="15"/>
      <w:r>
        <w:rPr>
          <w:rFonts w:ascii="Arial" w:eastAsia="Arial" w:hAnsi="Arial" w:cs="Arial"/>
          <w:color w:val="000000"/>
          <w:sz w:val="24"/>
          <w:szCs w:val="24"/>
        </w:rPr>
        <w:t xml:space="preserve"> Monitored Company]</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rectify such late or non-payment; or </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demonstrate to the Relevant Authority's reasonable satisfaction that there is a valid reason for late or non-payment.]</w:t>
      </w:r>
    </w:p>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bookmarkStart w:id="16" w:name="_44sinio" w:colFirst="0" w:colLast="0"/>
      <w:bookmarkEnd w:id="16"/>
      <w:r>
        <w:rPr>
          <w:rFonts w:ascii="Arial" w:eastAsia="Arial" w:hAnsi="Arial" w:cs="Arial"/>
          <w:color w:val="000000"/>
          <w:sz w:val="24"/>
          <w:szCs w:val="24"/>
        </w:rPr>
        <w:t>The Supplier shall and shall procure that the other Monitored Companies shall:</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17" w:name="_2jxsxqh" w:colFirst="0" w:colLast="0"/>
      <w:bookmarkEnd w:id="17"/>
      <w:r>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18" w:name="_z337ya" w:colFirst="0" w:colLast="0"/>
      <w:bookmarkEnd w:id="18"/>
      <w:r>
        <w:rPr>
          <w:rFonts w:ascii="Arial" w:eastAsia="Arial" w:hAnsi="Arial" w:cs="Arial"/>
          <w:color w:val="000000"/>
          <w:sz w:val="24"/>
          <w:szCs w:val="24"/>
        </w:rPr>
        <w:t>where the Relevant Authority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rsidR="00F97929" w:rsidRDefault="006E0B8C">
      <w:pPr>
        <w:numPr>
          <w:ilvl w:val="3"/>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rsidR="00F97929" w:rsidRDefault="006E0B8C">
      <w:pPr>
        <w:numPr>
          <w:ilvl w:val="3"/>
          <w:numId w:val="4"/>
        </w:numPr>
        <w:pBdr>
          <w:top w:val="nil"/>
          <w:left w:val="nil"/>
          <w:bottom w:val="nil"/>
          <w:right w:val="nil"/>
          <w:between w:val="nil"/>
        </w:pBdr>
        <w:tabs>
          <w:tab w:val="left" w:pos="1985"/>
        </w:tabs>
        <w:spacing w:before="120" w:after="120"/>
        <w:jc w:val="left"/>
      </w:pPr>
      <w:bookmarkStart w:id="19" w:name="_3j2qqm3" w:colFirst="0" w:colLast="0"/>
      <w:bookmarkEnd w:id="19"/>
      <w:r>
        <w:rPr>
          <w:rFonts w:ascii="Arial" w:eastAsia="Arial" w:hAnsi="Arial" w:cs="Arial"/>
          <w:color w:val="000000"/>
          <w:sz w:val="24"/>
          <w:szCs w:val="24"/>
        </w:rPr>
        <w:t>provide such financial information relating to the Monitored Company as the Relevant Authority may reasonably require.</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bookmarkStart w:id="20" w:name="_1y810tw" w:colFirst="0" w:colLast="0"/>
      <w:bookmarkEnd w:id="20"/>
      <w:r>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bookmarkStart w:id="21" w:name="_4i7ojhp" w:colFirst="0" w:colLast="0"/>
      <w:bookmarkEnd w:id="21"/>
      <w:r>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bookmarkStart w:id="22" w:name="_2xcytpi" w:colFirst="0" w:colLast="0"/>
      <w:bookmarkEnd w:id="22"/>
      <w:r>
        <w:rPr>
          <w:rFonts w:ascii="Arial" w:eastAsia="Arial" w:hAnsi="Arial" w:cs="Arial"/>
          <w:color w:val="000000"/>
          <w:sz w:val="24"/>
          <w:szCs w:val="24"/>
        </w:rPr>
        <w:t>Following Approval of the Financial Distress Service Continuity Plan by the Relevant Authority, the Supplier shall:</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23" w:name="_1ci93xb" w:colFirst="0" w:colLast="0"/>
      <w:bookmarkEnd w:id="23"/>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24" w:name="_3whwml4" w:colFirst="0" w:colLast="0"/>
      <w:bookmarkEnd w:id="24"/>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F97929" w:rsidRDefault="006E0B8C">
      <w:pPr>
        <w:numPr>
          <w:ilvl w:val="2"/>
          <w:numId w:val="4"/>
        </w:numPr>
        <w:pBdr>
          <w:top w:val="nil"/>
          <w:left w:val="nil"/>
          <w:bottom w:val="nil"/>
          <w:right w:val="nil"/>
          <w:between w:val="nil"/>
        </w:pBdr>
        <w:tabs>
          <w:tab w:val="left" w:pos="1985"/>
        </w:tabs>
        <w:spacing w:before="120" w:after="120"/>
        <w:jc w:val="left"/>
      </w:pPr>
      <w:bookmarkStart w:id="25" w:name="_2bn6wsx" w:colFirst="0" w:colLast="0"/>
      <w:bookmarkEnd w:id="25"/>
      <w:r>
        <w:rPr>
          <w:rFonts w:ascii="Arial" w:eastAsia="Arial" w:hAnsi="Arial" w:cs="Arial"/>
          <w:color w:val="000000"/>
          <w:sz w:val="24"/>
          <w:szCs w:val="24"/>
        </w:rPr>
        <w:t>comply with the Financial Distress Service Continuity Plan (including any updated Financial Distress Service Continuity Plan).</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bookmarkStart w:id="26" w:name="_qsh70q" w:colFirst="0" w:colLast="0"/>
      <w:bookmarkEnd w:id="26"/>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rsidR="00F97929" w:rsidRDefault="006E0B8C">
      <w:pPr>
        <w:keepNext/>
        <w:numPr>
          <w:ilvl w:val="0"/>
          <w:numId w:val="4"/>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 xml:space="preserve">When CCS or the Buyer can terminate for financial distress </w:t>
      </w:r>
    </w:p>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bookmarkStart w:id="27" w:name="_3as4poj" w:colFirst="0" w:colLast="0"/>
      <w:bookmarkEnd w:id="27"/>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the Supplier fails to notify the Relevant Authority of a Financial Distress Event in accordance with Paragraph 3.4; </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rsidR="00F97929" w:rsidRDefault="006E0B8C">
      <w:pPr>
        <w:keepNext/>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rsidR="00F97929" w:rsidRDefault="006E0B8C">
      <w:pPr>
        <w:keepNext/>
        <w:numPr>
          <w:ilvl w:val="0"/>
          <w:numId w:val="4"/>
        </w:numPr>
        <w:pBdr>
          <w:top w:val="nil"/>
          <w:left w:val="nil"/>
          <w:bottom w:val="nil"/>
          <w:right w:val="nil"/>
          <w:between w:val="nil"/>
        </w:pBdr>
        <w:tabs>
          <w:tab w:val="left" w:pos="142"/>
        </w:tabs>
        <w:spacing w:before="120"/>
        <w:jc w:val="left"/>
      </w:pPr>
      <w:bookmarkStart w:id="28" w:name="_1pxezwc" w:colFirst="0" w:colLast="0"/>
      <w:bookmarkEnd w:id="28"/>
      <w:r>
        <w:rPr>
          <w:rFonts w:ascii="Arial Bold" w:eastAsia="Arial Bold" w:hAnsi="Arial Bold" w:cs="Arial Bold"/>
          <w:b/>
          <w:color w:val="000000"/>
          <w:sz w:val="24"/>
          <w:szCs w:val="24"/>
        </w:rPr>
        <w:t>What happens If your credit rating is still good</w:t>
      </w:r>
    </w:p>
    <w:p w:rsidR="00F97929" w:rsidRDefault="006E0B8C">
      <w:pPr>
        <w:numPr>
          <w:ilvl w:val="1"/>
          <w:numId w:val="4"/>
        </w:numPr>
        <w:pBdr>
          <w:top w:val="nil"/>
          <w:left w:val="nil"/>
          <w:bottom w:val="nil"/>
          <w:right w:val="nil"/>
          <w:between w:val="nil"/>
        </w:pBdr>
        <w:tabs>
          <w:tab w:val="left" w:pos="1134"/>
        </w:tabs>
        <w:spacing w:before="120" w:after="120"/>
        <w:ind w:hanging="360"/>
        <w:jc w:val="left"/>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the Supplier shall be relieved automatically of its obligations under Paragraphs 4.3 to 4.6; and</w:t>
      </w:r>
    </w:p>
    <w:p w:rsidR="00F97929" w:rsidRDefault="006E0B8C">
      <w:pPr>
        <w:numPr>
          <w:ilvl w:val="2"/>
          <w:numId w:val="4"/>
        </w:numPr>
        <w:pBdr>
          <w:top w:val="nil"/>
          <w:left w:val="nil"/>
          <w:bottom w:val="nil"/>
          <w:right w:val="nil"/>
          <w:between w:val="nil"/>
        </w:pBdr>
        <w:tabs>
          <w:tab w:val="left" w:pos="1985"/>
        </w:tabs>
        <w:spacing w:before="120" w:after="120"/>
        <w:jc w:val="left"/>
      </w:pPr>
      <w:r>
        <w:rPr>
          <w:rFonts w:ascii="Arial" w:eastAsia="Arial" w:hAnsi="Arial" w:cs="Arial"/>
          <w:color w:val="000000"/>
          <w:sz w:val="24"/>
          <w:szCs w:val="24"/>
        </w:rPr>
        <w:t xml:space="preserve">The Relevant Authority shall not be entitled to require the Supplier to provide financial information in accordance with Paragraph 4.3.2(b). </w:t>
      </w:r>
    </w:p>
    <w:p w:rsidR="00F97929" w:rsidRDefault="00F97929"/>
    <w:p w:rsidR="00F97929" w:rsidRDefault="00F97929">
      <w:pPr>
        <w:pBdr>
          <w:top w:val="nil"/>
          <w:left w:val="nil"/>
          <w:bottom w:val="nil"/>
          <w:right w:val="nil"/>
          <w:between w:val="nil"/>
        </w:pBdr>
        <w:spacing w:after="0"/>
        <w:jc w:val="left"/>
        <w:rPr>
          <w:rFonts w:ascii="Arial" w:eastAsia="Arial" w:hAnsi="Arial" w:cs="Arial"/>
          <w:color w:val="FFFFFF"/>
          <w:sz w:val="24"/>
          <w:szCs w:val="24"/>
        </w:rPr>
      </w:pPr>
      <w:bookmarkStart w:id="29" w:name="_49x2ik5" w:colFirst="0" w:colLast="0"/>
      <w:bookmarkEnd w:id="29"/>
    </w:p>
    <w:p w:rsidR="00F97929" w:rsidRDefault="006E0B8C">
      <w:pPr>
        <w:keepNext/>
        <w:pBdr>
          <w:top w:val="nil"/>
          <w:left w:val="nil"/>
          <w:bottom w:val="nil"/>
          <w:right w:val="nil"/>
          <w:between w:val="nil"/>
        </w:pBdr>
        <w:ind w:firstLine="426"/>
        <w:jc w:val="left"/>
        <w:rPr>
          <w:rFonts w:ascii="Arial" w:eastAsia="Arial" w:hAnsi="Arial" w:cs="Arial"/>
          <w:b/>
          <w:smallCaps/>
          <w:color w:val="000000"/>
          <w:sz w:val="24"/>
          <w:szCs w:val="24"/>
        </w:rPr>
      </w:pPr>
      <w:bookmarkStart w:id="30" w:name="_2p2csry" w:colFirst="0" w:colLast="0"/>
      <w:bookmarkEnd w:id="30"/>
      <w:r>
        <w:br w:type="page"/>
      </w:r>
    </w:p>
    <w:p w:rsidR="00F97929" w:rsidRDefault="006E0B8C">
      <w:pPr>
        <w:keepNext/>
        <w:pBdr>
          <w:top w:val="nil"/>
          <w:left w:val="nil"/>
          <w:bottom w:val="nil"/>
          <w:right w:val="nil"/>
          <w:between w:val="nil"/>
        </w:pBdr>
        <w:ind w:firstLine="426"/>
        <w:jc w:val="left"/>
        <w:rPr>
          <w:rFonts w:ascii="Arial" w:eastAsia="Arial" w:hAnsi="Arial" w:cs="Arial"/>
          <w:b/>
          <w:smallCaps/>
          <w:color w:val="000000"/>
          <w:sz w:val="36"/>
          <w:szCs w:val="36"/>
        </w:rPr>
      </w:pPr>
      <w:bookmarkStart w:id="31" w:name="_147n2zr" w:colFirst="0" w:colLast="0"/>
      <w:bookmarkEnd w:id="31"/>
      <w:r>
        <w:rPr>
          <w:rFonts w:ascii="Arial" w:eastAsia="Arial" w:hAnsi="Arial" w:cs="Arial"/>
          <w:b/>
          <w:smallCaps/>
          <w:color w:val="000000"/>
          <w:sz w:val="36"/>
          <w:szCs w:val="36"/>
        </w:rPr>
        <w:t>Appendix 1: RATING AGENCIES</w:t>
      </w:r>
    </w:p>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[Rating Agency 1 – Dunn and Bradstreet]</w:t>
      </w:r>
    </w:p>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bookmarkStart w:id="32" w:name="_3o7alnk" w:colFirst="0" w:colLast="0"/>
      <w:bookmarkEnd w:id="32"/>
      <w:r>
        <w:rPr>
          <w:rFonts w:ascii="Arial" w:eastAsia="Arial" w:hAnsi="Arial" w:cs="Arial"/>
          <w:color w:val="000000"/>
          <w:sz w:val="24"/>
          <w:szCs w:val="24"/>
          <w:highlight w:val="yellow"/>
        </w:rPr>
        <w:t>[Rating Agency 2]</w:t>
      </w:r>
    </w:p>
    <w:p w:rsidR="00F97929" w:rsidRDefault="006E0B8C">
      <w:pPr>
        <w:keepNext/>
        <w:pBdr>
          <w:top w:val="nil"/>
          <w:left w:val="nil"/>
          <w:bottom w:val="nil"/>
          <w:right w:val="nil"/>
          <w:between w:val="nil"/>
        </w:pBdr>
        <w:ind w:firstLine="426"/>
        <w:jc w:val="left"/>
        <w:rPr>
          <w:rFonts w:ascii="Arial" w:eastAsia="Arial" w:hAnsi="Arial" w:cs="Arial"/>
          <w:b/>
          <w:smallCaps/>
          <w:color w:val="000000"/>
          <w:sz w:val="24"/>
          <w:szCs w:val="24"/>
        </w:rPr>
      </w:pPr>
      <w:bookmarkStart w:id="33" w:name="_23ckvvd" w:colFirst="0" w:colLast="0"/>
      <w:bookmarkEnd w:id="33"/>
      <w:r>
        <w:br w:type="page"/>
      </w:r>
      <w:r>
        <w:rPr>
          <w:rFonts w:ascii="Arial" w:eastAsia="Arial" w:hAnsi="Arial" w:cs="Arial"/>
          <w:b/>
          <w:smallCaps/>
          <w:color w:val="000000"/>
          <w:sz w:val="36"/>
          <w:szCs w:val="36"/>
        </w:rPr>
        <w:t>Appendix 2: CREDIT RATINGS &amp; CREDIT RATING THRESHOLDS</w:t>
      </w:r>
    </w:p>
    <w:p w:rsidR="00F97929" w:rsidRDefault="006E0B8C">
      <w:pPr>
        <w:keepNext/>
        <w:pBdr>
          <w:top w:val="nil"/>
          <w:left w:val="nil"/>
          <w:bottom w:val="nil"/>
          <w:right w:val="nil"/>
          <w:between w:val="nil"/>
        </w:pBdr>
        <w:ind w:firstLine="426"/>
        <w:jc w:val="left"/>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6"/>
        <w:tblW w:w="6168"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F97929">
        <w:trPr>
          <w:gridAfter w:val="1"/>
          <w:wAfter w:w="7" w:type="dxa"/>
        </w:trPr>
        <w:tc>
          <w:tcPr>
            <w:tcW w:w="3080" w:type="dxa"/>
            <w:tcBorders>
              <w:top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F97929">
        <w:tc>
          <w:tcPr>
            <w:tcW w:w="3080"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Supplier</w:t>
            </w:r>
          </w:p>
        </w:tc>
        <w:tc>
          <w:tcPr>
            <w:tcW w:w="3088" w:type="dxa"/>
            <w:gridSpan w:val="2"/>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[D&amp;B Threshold - 35]</w:t>
            </w:r>
          </w:p>
          <w:p w:rsidR="00F97929" w:rsidRDefault="006E0B8C">
            <w:pPr>
              <w:keepNext/>
              <w:pBdr>
                <w:top w:val="nil"/>
                <w:left w:val="nil"/>
                <w:bottom w:val="nil"/>
                <w:right w:val="nil"/>
                <w:between w:val="nil"/>
              </w:pBdr>
              <w:spacing w:before="240" w:after="120"/>
              <w:ind w:left="142"/>
              <w:jc w:val="left"/>
              <w:rPr>
                <w:rFonts w:ascii="Arial" w:eastAsia="Arial" w:hAnsi="Arial" w:cs="Arial"/>
                <w:sz w:val="24"/>
                <w:szCs w:val="24"/>
                <w:highlight w:val="yellow"/>
              </w:rPr>
            </w:pPr>
            <w:r>
              <w:rPr>
                <w:rFonts w:ascii="Arial" w:eastAsia="Arial" w:hAnsi="Arial" w:cs="Arial"/>
                <w:sz w:val="24"/>
                <w:szCs w:val="24"/>
                <w:highlight w:val="yellow"/>
              </w:rPr>
              <w:t>[insert credit rating]</w:t>
            </w:r>
          </w:p>
        </w:tc>
      </w:tr>
      <w:tr w:rsidR="00F97929">
        <w:tc>
          <w:tcPr>
            <w:tcW w:w="3080" w:type="dxa"/>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[Guarantor]</w:t>
            </w:r>
          </w:p>
        </w:tc>
        <w:tc>
          <w:tcPr>
            <w:tcW w:w="3088" w:type="dxa"/>
            <w:gridSpan w:val="2"/>
            <w:shd w:val="clear" w:color="auto" w:fill="FFFFFF"/>
          </w:tcPr>
          <w:p w:rsidR="00F97929" w:rsidRDefault="006E0B8C">
            <w:pPr>
              <w:keepNext/>
              <w:spacing w:before="240" w:after="120"/>
              <w:ind w:left="142"/>
              <w:jc w:val="left"/>
              <w:rPr>
                <w:rFonts w:ascii="Arial" w:eastAsia="Arial" w:hAnsi="Arial" w:cs="Arial"/>
                <w:sz w:val="24"/>
                <w:szCs w:val="24"/>
                <w:highlight w:val="yellow"/>
              </w:rPr>
            </w:pPr>
            <w:r>
              <w:rPr>
                <w:rFonts w:ascii="Arial" w:eastAsia="Arial" w:hAnsi="Arial" w:cs="Arial"/>
                <w:sz w:val="24"/>
                <w:szCs w:val="24"/>
                <w:highlight w:val="yellow"/>
              </w:rPr>
              <w:t>[D&amp;B Threshold - 35]</w:t>
            </w:r>
          </w:p>
          <w:p w:rsidR="00F97929" w:rsidRDefault="006E0B8C">
            <w:pPr>
              <w:keepNext/>
              <w:spacing w:before="240" w:after="120"/>
              <w:ind w:left="142"/>
              <w:jc w:val="left"/>
              <w:rPr>
                <w:rFonts w:ascii="Arial" w:eastAsia="Arial" w:hAnsi="Arial" w:cs="Arial"/>
                <w:sz w:val="24"/>
                <w:szCs w:val="24"/>
              </w:rPr>
            </w:pPr>
            <w:r>
              <w:rPr>
                <w:rFonts w:ascii="Arial" w:eastAsia="Arial" w:hAnsi="Arial" w:cs="Arial"/>
                <w:sz w:val="24"/>
                <w:szCs w:val="24"/>
                <w:highlight w:val="yellow"/>
              </w:rPr>
              <w:t>[insert credit rating]</w:t>
            </w:r>
          </w:p>
        </w:tc>
      </w:tr>
      <w:tr w:rsidR="00F97929">
        <w:trPr>
          <w:gridAfter w:val="1"/>
          <w:wAfter w:w="7" w:type="dxa"/>
        </w:trPr>
        <w:tc>
          <w:tcPr>
            <w:tcW w:w="3080" w:type="dxa"/>
            <w:tcBorders>
              <w:bottom w:val="single" w:sz="4" w:space="0" w:color="000000"/>
            </w:tcBorders>
            <w:shd w:val="clear" w:color="auto" w:fill="FFFFFF"/>
          </w:tcPr>
          <w:p w:rsidR="00F97929" w:rsidRDefault="006E0B8C">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rsidR="00F97929" w:rsidRDefault="006E0B8C">
            <w:pPr>
              <w:keepNext/>
              <w:spacing w:before="240" w:after="120"/>
              <w:ind w:left="142"/>
              <w:jc w:val="left"/>
              <w:rPr>
                <w:rFonts w:ascii="Arial" w:eastAsia="Arial" w:hAnsi="Arial" w:cs="Arial"/>
                <w:sz w:val="24"/>
                <w:szCs w:val="24"/>
                <w:highlight w:val="yellow"/>
              </w:rPr>
            </w:pPr>
            <w:r>
              <w:rPr>
                <w:rFonts w:ascii="Arial" w:eastAsia="Arial" w:hAnsi="Arial" w:cs="Arial"/>
                <w:sz w:val="24"/>
                <w:szCs w:val="24"/>
                <w:highlight w:val="yellow"/>
              </w:rPr>
              <w:t>[D&amp;B Threshold - 35]</w:t>
            </w:r>
          </w:p>
          <w:p w:rsidR="00F97929" w:rsidRDefault="006E0B8C">
            <w:pPr>
              <w:keepNext/>
              <w:spacing w:before="240" w:after="120"/>
              <w:ind w:left="142"/>
              <w:jc w:val="left"/>
              <w:rPr>
                <w:rFonts w:ascii="Arial" w:eastAsia="Arial" w:hAnsi="Arial" w:cs="Arial"/>
                <w:sz w:val="24"/>
                <w:szCs w:val="24"/>
              </w:rPr>
            </w:pPr>
            <w:r>
              <w:rPr>
                <w:rFonts w:ascii="Arial" w:eastAsia="Arial" w:hAnsi="Arial" w:cs="Arial"/>
                <w:sz w:val="24"/>
                <w:szCs w:val="24"/>
                <w:highlight w:val="yellow"/>
              </w:rPr>
              <w:t>[insert credit rating]</w:t>
            </w:r>
          </w:p>
        </w:tc>
      </w:tr>
      <w:tr w:rsidR="00F97929">
        <w:trPr>
          <w:gridAfter w:val="1"/>
          <w:wAfter w:w="7" w:type="dxa"/>
        </w:trPr>
        <w:tc>
          <w:tcPr>
            <w:tcW w:w="3080" w:type="dxa"/>
            <w:tcBorders>
              <w:bottom w:val="single" w:sz="4" w:space="0" w:color="000000"/>
            </w:tcBorders>
            <w:shd w:val="clear" w:color="auto" w:fill="FFFFFF"/>
          </w:tcPr>
          <w:p w:rsidR="00F97929" w:rsidRDefault="006E0B8C">
            <w:pPr>
              <w:keepNext/>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[Monitored Supplier]</w:t>
            </w:r>
          </w:p>
        </w:tc>
        <w:tc>
          <w:tcPr>
            <w:tcW w:w="3081" w:type="dxa"/>
            <w:tcBorders>
              <w:bottom w:val="single" w:sz="4" w:space="0" w:color="000000"/>
            </w:tcBorders>
            <w:shd w:val="clear" w:color="auto" w:fill="FFFFFF"/>
          </w:tcPr>
          <w:p w:rsidR="00F97929" w:rsidRDefault="006E0B8C">
            <w:pPr>
              <w:keepNext/>
              <w:spacing w:before="240" w:after="120"/>
              <w:ind w:left="142"/>
              <w:jc w:val="left"/>
              <w:rPr>
                <w:rFonts w:ascii="Arial" w:eastAsia="Arial" w:hAnsi="Arial" w:cs="Arial"/>
                <w:sz w:val="24"/>
                <w:szCs w:val="24"/>
                <w:highlight w:val="yellow"/>
              </w:rPr>
            </w:pPr>
            <w:r>
              <w:rPr>
                <w:rFonts w:ascii="Arial" w:eastAsia="Arial" w:hAnsi="Arial" w:cs="Arial"/>
                <w:sz w:val="24"/>
                <w:szCs w:val="24"/>
                <w:highlight w:val="yellow"/>
              </w:rPr>
              <w:t>[D&amp;B Threshold - 35]</w:t>
            </w:r>
          </w:p>
          <w:p w:rsidR="00F97929" w:rsidRDefault="006E0B8C">
            <w:pPr>
              <w:keepNext/>
              <w:spacing w:before="240" w:after="120"/>
              <w:ind w:left="142"/>
              <w:jc w:val="left"/>
              <w:rPr>
                <w:rFonts w:ascii="Arial" w:eastAsia="Arial" w:hAnsi="Arial" w:cs="Arial"/>
                <w:sz w:val="24"/>
                <w:szCs w:val="24"/>
              </w:rPr>
            </w:pPr>
            <w:r>
              <w:rPr>
                <w:rFonts w:ascii="Arial" w:eastAsia="Arial" w:hAnsi="Arial" w:cs="Arial"/>
                <w:sz w:val="24"/>
                <w:szCs w:val="24"/>
                <w:highlight w:val="yellow"/>
              </w:rPr>
              <w:t>[insert credit rating]</w:t>
            </w:r>
          </w:p>
        </w:tc>
      </w:tr>
    </w:tbl>
    <w:p w:rsidR="00F97929" w:rsidRDefault="00F97929">
      <w:pPr>
        <w:spacing w:after="0"/>
        <w:rPr>
          <w:rFonts w:ascii="Arial" w:eastAsia="Arial" w:hAnsi="Arial" w:cs="Arial"/>
          <w:sz w:val="24"/>
          <w:szCs w:val="24"/>
        </w:rPr>
      </w:pPr>
    </w:p>
    <w:p w:rsidR="00F97929" w:rsidRDefault="00F97929">
      <w:pPr>
        <w:spacing w:after="200" w:line="276" w:lineRule="auto"/>
        <w:jc w:val="left"/>
        <w:rPr>
          <w:rFonts w:ascii="Arial" w:eastAsia="Arial" w:hAnsi="Arial" w:cs="Arial"/>
          <w:sz w:val="24"/>
          <w:szCs w:val="24"/>
        </w:rPr>
      </w:pPr>
    </w:p>
    <w:sectPr w:rsidR="00F97929" w:rsidSect="00E46C8C">
      <w:headerReference w:type="default" r:id="rId9"/>
      <w:footerReference w:type="default" r:id="rId10"/>
      <w:footerReference w:type="first" r:id="rId11"/>
      <w:pgSz w:w="11906" w:h="16838"/>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850" w:rsidRDefault="00A52850">
      <w:pPr>
        <w:spacing w:after="0"/>
      </w:pPr>
      <w:r>
        <w:separator/>
      </w:r>
    </w:p>
  </w:endnote>
  <w:endnote w:type="continuationSeparator" w:id="0">
    <w:p w:rsidR="00A52850" w:rsidRDefault="00A52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929" w:rsidRDefault="006E0B8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rsidR="00F97929" w:rsidRDefault="006E0B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46C8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F97929" w:rsidRDefault="006E0B8C">
    <w:pPr>
      <w:spacing w:after="0"/>
      <w:rPr>
        <w:rFonts w:ascii="Arial" w:eastAsia="Arial" w:hAnsi="Arial" w:cs="Arial"/>
        <w:sz w:val="20"/>
        <w:szCs w:val="20"/>
      </w:rPr>
    </w:pPr>
    <w:r>
      <w:rPr>
        <w:rFonts w:ascii="Arial" w:eastAsia="Arial" w:hAnsi="Arial" w:cs="Arial"/>
        <w:sz w:val="20"/>
        <w:szCs w:val="20"/>
      </w:rPr>
      <w:t>Model Version: v3.4 fix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929" w:rsidRDefault="006E0B8C">
    <w:pPr>
      <w:tabs>
        <w:tab w:val="center" w:pos="4513"/>
        <w:tab w:val="right" w:pos="9026"/>
      </w:tabs>
      <w:spacing w:after="0"/>
      <w:rPr>
        <w:color w:val="BFBFBF"/>
      </w:rPr>
    </w:pPr>
    <w:r>
      <w:rPr>
        <w:color w:val="BFBFBF"/>
      </w:rPr>
      <w:t>Framework Ref: RM</w:t>
    </w:r>
    <w:r>
      <w:rPr>
        <w:color w:val="BFBFBF"/>
      </w:rPr>
      <w:tab/>
      <w:t xml:space="preserve">                                           </w:t>
    </w:r>
  </w:p>
  <w:p w:rsidR="00F97929" w:rsidRDefault="006E0B8C">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F97929" w:rsidRDefault="006E0B8C">
    <w:pPr>
      <w:spacing w:after="0"/>
      <w:rPr>
        <w:rFonts w:ascii="Arial" w:eastAsia="Arial" w:hAnsi="Arial" w:cs="Arial"/>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850" w:rsidRDefault="00A52850">
      <w:pPr>
        <w:spacing w:after="0"/>
      </w:pPr>
      <w:r>
        <w:separator/>
      </w:r>
    </w:p>
  </w:footnote>
  <w:footnote w:type="continuationSeparator" w:id="0">
    <w:p w:rsidR="00A52850" w:rsidRDefault="00A528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929" w:rsidRDefault="006E0B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7 (Financial Difficulties)</w:t>
    </w:r>
  </w:p>
  <w:p w:rsidR="00F97929" w:rsidRDefault="006E0B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412E"/>
    <w:multiLevelType w:val="multilevel"/>
    <w:tmpl w:val="8B0238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8E5CBA"/>
    <w:multiLevelType w:val="multilevel"/>
    <w:tmpl w:val="46A478E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B2510F9"/>
    <w:multiLevelType w:val="multilevel"/>
    <w:tmpl w:val="8EA2882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EF231AA"/>
    <w:multiLevelType w:val="multilevel"/>
    <w:tmpl w:val="064E5B4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29"/>
    <w:rsid w:val="006E0B8C"/>
    <w:rsid w:val="00795558"/>
    <w:rsid w:val="00981174"/>
    <w:rsid w:val="00A52850"/>
    <w:rsid w:val="00B0383D"/>
    <w:rsid w:val="00E46C8C"/>
    <w:rsid w:val="00F741B7"/>
    <w:rsid w:val="00F9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7CF44-AED3-4FEE-A0F8-2947D537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0"/>
      <w:szCs w:val="20"/>
    </w:rPr>
    <w:tblPr>
      <w:tblStyleRowBandSize w:val="1"/>
      <w:tblStyleColBandSize w:val="1"/>
      <w:tblCellMar>
        <w:left w:w="115" w:type="dxa"/>
        <w:right w:w="115" w:type="dxa"/>
      </w:tblCellMar>
    </w:tblPr>
  </w:style>
  <w:style w:type="table" w:customStyle="1" w:styleId="a0">
    <w:basedOn w:val="TableNormal"/>
    <w:pPr>
      <w:spacing w:after="0"/>
    </w:pPr>
    <w:rPr>
      <w:sz w:val="20"/>
      <w:szCs w:val="20"/>
    </w:rPr>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CellMar>
        <w:left w:w="115" w:type="dxa"/>
        <w:right w:w="115" w:type="dxa"/>
      </w:tblCellMar>
    </w:tblPr>
  </w:style>
  <w:style w:type="table" w:customStyle="1" w:styleId="a2">
    <w:basedOn w:val="TableNormal"/>
    <w:pPr>
      <w:spacing w:after="0"/>
    </w:pPr>
    <w:rPr>
      <w:sz w:val="20"/>
      <w:szCs w:val="20"/>
    </w:rPr>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styleId="TableGrid">
    <w:name w:val="Table Grid"/>
    <w:basedOn w:val="TableNormal"/>
    <w:uiPriority w:val="39"/>
    <w:rsid w:val="00B038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Smith</dc:creator>
  <cp:lastModifiedBy>Jenny Tarrant</cp:lastModifiedBy>
  <cp:revision>2</cp:revision>
  <dcterms:created xsi:type="dcterms:W3CDTF">2024-03-04T09:13:00Z</dcterms:created>
  <dcterms:modified xsi:type="dcterms:W3CDTF">2024-03-04T09:13:00Z</dcterms:modified>
</cp:coreProperties>
</file>