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D7FA" w14:textId="5A2E041D" w:rsidR="00C95898" w:rsidRDefault="00DD6329" w:rsidP="00F35D0D">
      <w:pPr>
        <w:spacing w:before="120" w:after="120" w:line="240" w:lineRule="auto"/>
        <w:rPr>
          <w:rFonts w:eastAsia="Arial"/>
          <w:b/>
          <w:sz w:val="36"/>
          <w:szCs w:val="36"/>
        </w:rPr>
      </w:pPr>
      <w:r w:rsidRPr="001A718C">
        <w:rPr>
          <w:rFonts w:eastAsia="Arial"/>
          <w:b/>
          <w:sz w:val="36"/>
          <w:szCs w:val="36"/>
        </w:rPr>
        <w:t>Framework Schedule 3 (Framework Prices)</w:t>
      </w:r>
    </w:p>
    <w:p w14:paraId="1D10452B" w14:textId="1B04207B" w:rsidR="00B04D4F" w:rsidRPr="00F35D0D" w:rsidRDefault="00B04D4F" w:rsidP="00BE1D8F">
      <w:pPr>
        <w:pBdr>
          <w:top w:val="nil"/>
          <w:left w:val="nil"/>
          <w:bottom w:val="nil"/>
          <w:right w:val="nil"/>
          <w:between w:val="nil"/>
        </w:pBdr>
        <w:tabs>
          <w:tab w:val="left" w:pos="142"/>
        </w:tabs>
        <w:spacing w:before="120" w:after="120" w:line="240" w:lineRule="auto"/>
        <w:jc w:val="both"/>
      </w:pPr>
      <w:bookmarkStart w:id="0" w:name="_heading=h.gjdgxs" w:colFirst="0" w:colLast="0"/>
      <w:bookmarkEnd w:id="0"/>
    </w:p>
    <w:p w14:paraId="31003929" w14:textId="70B52A09" w:rsidR="00C95898" w:rsidRPr="00F35D0D" w:rsidRDefault="00F35D0D" w:rsidP="001A718C">
      <w:pPr>
        <w:pStyle w:val="GPSL1CLAUSEHEADING"/>
        <w:spacing w:before="120" w:after="120"/>
        <w:ind w:left="426" w:hanging="426"/>
        <w:rPr>
          <w:rFonts w:hint="eastAsia"/>
        </w:rPr>
      </w:pPr>
      <w:r>
        <w:rPr>
          <w:rFonts w:hint="eastAsia"/>
          <w:caps w:val="0"/>
        </w:rPr>
        <w:t xml:space="preserve">How Framework Prices </w:t>
      </w:r>
      <w:r>
        <w:rPr>
          <w:caps w:val="0"/>
        </w:rPr>
        <w:t>a</w:t>
      </w:r>
      <w:r w:rsidR="001A718C">
        <w:rPr>
          <w:rFonts w:hint="eastAsia"/>
          <w:caps w:val="0"/>
        </w:rPr>
        <w:t>re u</w:t>
      </w:r>
      <w:r>
        <w:rPr>
          <w:rFonts w:hint="eastAsia"/>
          <w:caps w:val="0"/>
        </w:rPr>
        <w:t xml:space="preserve">sed </w:t>
      </w:r>
      <w:r>
        <w:rPr>
          <w:caps w:val="0"/>
        </w:rPr>
        <w:t>t</w:t>
      </w:r>
      <w:r>
        <w:rPr>
          <w:rFonts w:hint="eastAsia"/>
          <w:caps w:val="0"/>
        </w:rPr>
        <w:t xml:space="preserve">o </w:t>
      </w:r>
      <w:r>
        <w:rPr>
          <w:caps w:val="0"/>
        </w:rPr>
        <w:t>c</w:t>
      </w:r>
      <w:r w:rsidRPr="00F35D0D">
        <w:rPr>
          <w:rFonts w:hint="eastAsia"/>
          <w:caps w:val="0"/>
        </w:rPr>
        <w:t xml:space="preserve">alculate Call-Off </w:t>
      </w:r>
      <w:r w:rsidR="00C120BF">
        <w:rPr>
          <w:caps w:val="0"/>
        </w:rPr>
        <w:t xml:space="preserve">Contract </w:t>
      </w:r>
      <w:r w:rsidRPr="00F35D0D">
        <w:rPr>
          <w:rFonts w:hint="eastAsia"/>
          <w:caps w:val="0"/>
        </w:rPr>
        <w:t>Charges</w:t>
      </w:r>
    </w:p>
    <w:p w14:paraId="709D9B3B" w14:textId="77777777" w:rsidR="00C95898" w:rsidRPr="00F35D0D"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F35D0D">
        <w:rPr>
          <w:rFonts w:eastAsia="Arial"/>
        </w:rPr>
        <w:t xml:space="preserve">The Framework Prices: </w:t>
      </w:r>
    </w:p>
    <w:p w14:paraId="69590F42" w14:textId="2BE481D4" w:rsidR="00C95898" w:rsidRPr="00F35D0D" w:rsidRDefault="00DD6329" w:rsidP="001A718C">
      <w:pPr>
        <w:numPr>
          <w:ilvl w:val="2"/>
          <w:numId w:val="1"/>
        </w:numPr>
        <w:pBdr>
          <w:top w:val="nil"/>
          <w:left w:val="nil"/>
          <w:bottom w:val="nil"/>
          <w:right w:val="nil"/>
          <w:between w:val="nil"/>
        </w:pBdr>
        <w:tabs>
          <w:tab w:val="left" w:pos="1985"/>
          <w:tab w:val="left" w:pos="2127"/>
          <w:tab w:val="left" w:pos="1440"/>
        </w:tabs>
        <w:spacing w:before="120" w:after="120" w:line="240" w:lineRule="auto"/>
        <w:ind w:left="1980" w:hanging="846"/>
        <w:rPr>
          <w:rFonts w:eastAsia="Arial"/>
        </w:rPr>
      </w:pPr>
      <w:r w:rsidRPr="00F35D0D">
        <w:rPr>
          <w:rFonts w:eastAsia="Arial"/>
        </w:rPr>
        <w:t xml:space="preserve">will be used as the basis for the </w:t>
      </w:r>
      <w:r w:rsidR="006F5BAF" w:rsidRPr="00F35D0D">
        <w:rPr>
          <w:rFonts w:eastAsia="Arial"/>
        </w:rPr>
        <w:t>C</w:t>
      </w:r>
      <w:r w:rsidRPr="00F35D0D">
        <w:rPr>
          <w:rFonts w:eastAsia="Arial"/>
        </w:rPr>
        <w:t>harges (and are maximums that the Suppl</w:t>
      </w:r>
      <w:r w:rsidR="00995C9E">
        <w:rPr>
          <w:rFonts w:eastAsia="Arial"/>
        </w:rPr>
        <w:t>ier may charge) under each Call-</w:t>
      </w:r>
      <w:r w:rsidRPr="00F35D0D">
        <w:rPr>
          <w:rFonts w:eastAsia="Arial"/>
        </w:rPr>
        <w:t>Off Contract; and</w:t>
      </w:r>
    </w:p>
    <w:p w14:paraId="18AB3550" w14:textId="77777777" w:rsidR="00C95898" w:rsidRPr="00F35D0D"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F35D0D">
        <w:rPr>
          <w:rFonts w:eastAsia="Arial"/>
        </w:rPr>
        <w:t>cannot be increased except as in accordance with this Schedule.</w:t>
      </w:r>
    </w:p>
    <w:p w14:paraId="7B290BD6" w14:textId="77777777" w:rsidR="00C95898" w:rsidRPr="00F35D0D" w:rsidRDefault="00DD6329" w:rsidP="001A718C">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r w:rsidRPr="00F35D0D">
        <w:rPr>
          <w:rFonts w:eastAsia="Arial"/>
        </w:rPr>
        <w:t>The Charges:</w:t>
      </w:r>
    </w:p>
    <w:p w14:paraId="70B7FF69" w14:textId="1FC3397F" w:rsidR="00C95898" w:rsidRPr="00F35D0D"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F35D0D">
        <w:rPr>
          <w:rFonts w:eastAsia="Arial"/>
        </w:rPr>
        <w:t>shall be calculated in accord</w:t>
      </w:r>
      <w:r w:rsidR="00995C9E">
        <w:rPr>
          <w:rFonts w:eastAsia="Arial"/>
        </w:rPr>
        <w:t>ance with the terms of the Call-</w:t>
      </w:r>
      <w:r w:rsidRPr="00F35D0D">
        <w:rPr>
          <w:rFonts w:eastAsia="Arial"/>
        </w:rPr>
        <w:t xml:space="preserve">Off Contract and in particular in accordance with the terms of the Order Form; </w:t>
      </w:r>
    </w:p>
    <w:p w14:paraId="5DCE43EC" w14:textId="44BF61FB" w:rsidR="00C95898" w:rsidRPr="00DD6B95"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DD6B95">
        <w:rPr>
          <w:rFonts w:eastAsia="Arial"/>
        </w:rPr>
        <w:t>cannot be increased except as specificall</w:t>
      </w:r>
      <w:r w:rsidR="00995C9E" w:rsidRPr="00DD6B95">
        <w:rPr>
          <w:rFonts w:eastAsia="Arial"/>
        </w:rPr>
        <w:t>y permitted by the Call-</w:t>
      </w:r>
      <w:r w:rsidRPr="00DD6B95">
        <w:rPr>
          <w:rFonts w:eastAsia="Arial"/>
        </w:rPr>
        <w:t>Off Contract and in particular shall only be subject to Indexation where specifically stated in the Order Form; and</w:t>
      </w:r>
    </w:p>
    <w:p w14:paraId="4D109A69" w14:textId="4A94428D" w:rsidR="00C95898" w:rsidRPr="00DD6B95"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DD6B95">
        <w:rPr>
          <w:rFonts w:eastAsia="Arial"/>
        </w:rPr>
        <w:t xml:space="preserve">shall not be impacted by any change to the Framework Prices. </w:t>
      </w:r>
    </w:p>
    <w:p w14:paraId="11009AA5" w14:textId="64F35B4C" w:rsidR="00C95898" w:rsidRPr="0055195C" w:rsidRDefault="00DD6329" w:rsidP="001A718C">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bookmarkStart w:id="1" w:name="_heading=h.30j0zll" w:colFirst="0" w:colLast="0"/>
      <w:bookmarkEnd w:id="1"/>
      <w:r w:rsidRPr="001348C3">
        <w:rPr>
          <w:rFonts w:eastAsia="Arial"/>
        </w:rPr>
        <w:t>Any variation to t</w:t>
      </w:r>
      <w:r w:rsidR="00995C9E" w:rsidRPr="001348C3">
        <w:rPr>
          <w:rFonts w:eastAsia="Arial"/>
        </w:rPr>
        <w:t>he Charges payable under a Call-</w:t>
      </w:r>
      <w:r w:rsidRPr="001348C3">
        <w:rPr>
          <w:rFonts w:eastAsia="Arial"/>
        </w:rPr>
        <w:t xml:space="preserve">Off Contract must be agreed between the Supplier and the Buyer and implemented using the procedure for altering </w:t>
      </w:r>
      <w:r w:rsidR="005503D8" w:rsidRPr="001348C3">
        <w:rPr>
          <w:rFonts w:eastAsia="Arial"/>
        </w:rPr>
        <w:t>Charges</w:t>
      </w:r>
      <w:r w:rsidRPr="001348C3">
        <w:rPr>
          <w:rFonts w:eastAsia="Arial"/>
        </w:rPr>
        <w:t xml:space="preserve"> </w:t>
      </w:r>
      <w:r w:rsidR="005503D8" w:rsidRPr="001348C3">
        <w:rPr>
          <w:rFonts w:eastAsia="Arial"/>
        </w:rPr>
        <w:t xml:space="preserve">set out </w:t>
      </w:r>
      <w:r w:rsidRPr="001348C3">
        <w:rPr>
          <w:rFonts w:eastAsia="Arial"/>
        </w:rPr>
        <w:t xml:space="preserve">in </w:t>
      </w:r>
      <w:r w:rsidR="005503D8" w:rsidRPr="0055195C">
        <w:rPr>
          <w:rFonts w:eastAsia="Arial"/>
        </w:rPr>
        <w:t>Call-Off Schedule 5 (Pricing Details and Expenses Policy).</w:t>
      </w:r>
    </w:p>
    <w:p w14:paraId="5F396004" w14:textId="77777777" w:rsidR="00C95898" w:rsidRPr="00F35D0D" w:rsidRDefault="00DD6329" w:rsidP="001A718C">
      <w:pPr>
        <w:numPr>
          <w:ilvl w:val="0"/>
          <w:numId w:val="1"/>
        </w:numPr>
        <w:pBdr>
          <w:top w:val="nil"/>
          <w:left w:val="nil"/>
          <w:bottom w:val="nil"/>
          <w:right w:val="nil"/>
          <w:between w:val="nil"/>
        </w:pBdr>
        <w:tabs>
          <w:tab w:val="left" w:pos="142"/>
        </w:tabs>
        <w:spacing w:before="120" w:after="120" w:line="240" w:lineRule="auto"/>
        <w:ind w:left="426" w:hanging="426"/>
        <w:jc w:val="both"/>
      </w:pPr>
      <w:r w:rsidRPr="00F35D0D">
        <w:rPr>
          <w:rFonts w:eastAsia="Arial"/>
          <w:b/>
        </w:rPr>
        <w:t>How Framework Prices are calculated</w:t>
      </w:r>
    </w:p>
    <w:p w14:paraId="2AB42915" w14:textId="77777777" w:rsidR="002B6368" w:rsidRDefault="005503D8" w:rsidP="001348C3">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r w:rsidRPr="001348C3">
        <w:rPr>
          <w:rFonts w:eastAsia="Arial"/>
        </w:rPr>
        <w:t xml:space="preserve">The prices submitted to the Platform </w:t>
      </w:r>
      <w:r>
        <w:rPr>
          <w:rFonts w:eastAsia="Arial"/>
        </w:rPr>
        <w:t xml:space="preserve">as updated during the </w:t>
      </w:r>
      <w:r w:rsidR="003774CB">
        <w:rPr>
          <w:rFonts w:eastAsia="Arial"/>
        </w:rPr>
        <w:t xml:space="preserve">Contract Period </w:t>
      </w:r>
      <w:r w:rsidRPr="001348C3">
        <w:rPr>
          <w:rFonts w:eastAsia="Arial"/>
        </w:rPr>
        <w:t>shall form the Supplier’s Framework Prices.</w:t>
      </w:r>
    </w:p>
    <w:p w14:paraId="296EB532" w14:textId="2247E46F" w:rsidR="003774CB" w:rsidRPr="002B6368" w:rsidRDefault="00A16AAF" w:rsidP="001348C3">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r>
        <w:rPr>
          <w:rFonts w:eastAsia="Arial"/>
        </w:rPr>
        <w:t>For Lot 4, d</w:t>
      </w:r>
      <w:r w:rsidR="003774CB" w:rsidRPr="002B6368">
        <w:rPr>
          <w:rFonts w:eastAsia="Arial"/>
        </w:rPr>
        <w:t xml:space="preserve">uring a </w:t>
      </w:r>
      <w:r w:rsidR="002B6368">
        <w:rPr>
          <w:rFonts w:eastAsia="Arial"/>
        </w:rPr>
        <w:t>Competitive Selection Process</w:t>
      </w:r>
      <w:r w:rsidR="003774CB" w:rsidRPr="002B6368">
        <w:rPr>
          <w:rFonts w:eastAsia="Arial"/>
        </w:rPr>
        <w:t xml:space="preserve"> the Supplier will provide a total cost per Participant recruited based on the Buyer’s Statement of Requirements. Participant Charges will include for all incentives, recruitment and any travel and subsistence costs paid to Participants. The Supplier may be asked by the Buyer to provide a breakdown of this pricing which the Supplier shall provide.  </w:t>
      </w:r>
    </w:p>
    <w:p w14:paraId="2F5AC603" w14:textId="4CAB1E7C" w:rsidR="00C95898" w:rsidRPr="00F35D0D" w:rsidRDefault="00DD6329" w:rsidP="001A718C">
      <w:pPr>
        <w:numPr>
          <w:ilvl w:val="0"/>
          <w:numId w:val="1"/>
        </w:numPr>
        <w:pBdr>
          <w:top w:val="nil"/>
          <w:left w:val="nil"/>
          <w:bottom w:val="nil"/>
          <w:right w:val="nil"/>
          <w:between w:val="nil"/>
        </w:pBdr>
        <w:tabs>
          <w:tab w:val="left" w:pos="142"/>
        </w:tabs>
        <w:spacing w:before="120" w:after="120" w:line="240" w:lineRule="auto"/>
        <w:ind w:left="426" w:hanging="426"/>
        <w:jc w:val="both"/>
      </w:pPr>
      <w:bookmarkStart w:id="2" w:name="bookmark=id.3znysh7" w:colFirst="0" w:colLast="0"/>
      <w:bookmarkStart w:id="3" w:name="_heading=h.1fob9te" w:colFirst="0" w:colLast="0"/>
      <w:bookmarkEnd w:id="2"/>
      <w:bookmarkEnd w:id="3"/>
      <w:r w:rsidRPr="00F35D0D">
        <w:rPr>
          <w:rFonts w:eastAsia="Arial"/>
          <w:b/>
        </w:rPr>
        <w:t>Are costs and expenses included in the Framework Prices</w:t>
      </w:r>
    </w:p>
    <w:p w14:paraId="486B3250" w14:textId="2C42A488" w:rsidR="00C95898" w:rsidRPr="00F35D0D" w:rsidRDefault="00DD6329" w:rsidP="001A718C">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r w:rsidRPr="001348C3">
        <w:rPr>
          <w:rFonts w:eastAsia="Arial"/>
        </w:rPr>
        <w:t>Except as expressly set out in Paragraph 4 below</w:t>
      </w:r>
      <w:r w:rsidR="00995C9E" w:rsidRPr="001348C3">
        <w:rPr>
          <w:rFonts w:eastAsia="Arial"/>
        </w:rPr>
        <w:t xml:space="preserve">, or otherwise stated in the </w:t>
      </w:r>
      <w:r w:rsidRPr="001348C3">
        <w:rPr>
          <w:rFonts w:eastAsia="Arial"/>
        </w:rPr>
        <w:t>Order Form</w:t>
      </w:r>
      <w:r w:rsidRPr="00F35D0D">
        <w:rPr>
          <w:rFonts w:eastAsia="Arial"/>
        </w:rPr>
        <w:t xml:space="preserve"> the Framework Prices shall include all costs and expenses relating to the provision of Deliverables. No further amounts shall be payable in respect of matters such as:</w:t>
      </w:r>
    </w:p>
    <w:p w14:paraId="5375FD01" w14:textId="13AED072" w:rsidR="00C95898" w:rsidRPr="00F35D0D" w:rsidRDefault="00DD6329" w:rsidP="001A718C">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46"/>
        <w:rPr>
          <w:rFonts w:eastAsia="Arial"/>
        </w:rPr>
      </w:pPr>
      <w:r w:rsidRPr="00F35D0D">
        <w:rPr>
          <w:rFonts w:eastAsia="Arial"/>
        </w:rPr>
        <w:t>document or report reproduction, shipping, desktop or office equipment costs, network or data interchange costs or other telecommunications charges; or</w:t>
      </w:r>
    </w:p>
    <w:p w14:paraId="7077F650" w14:textId="0A7450A1" w:rsidR="00C95898" w:rsidRPr="00F35D0D" w:rsidRDefault="00DD6329" w:rsidP="001A718C">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46"/>
        <w:rPr>
          <w:rFonts w:eastAsia="Arial"/>
        </w:rPr>
      </w:pPr>
      <w:r w:rsidRPr="00F35D0D">
        <w:rPr>
          <w:rFonts w:eastAsia="Arial"/>
        </w:rPr>
        <w:t xml:space="preserve">costs incurred prior </w:t>
      </w:r>
      <w:r w:rsidR="00995C9E">
        <w:rPr>
          <w:rFonts w:eastAsia="Arial"/>
        </w:rPr>
        <w:t>to the commencement of any Call-</w:t>
      </w:r>
      <w:r w:rsidRPr="00F35D0D">
        <w:rPr>
          <w:rFonts w:eastAsia="Arial"/>
        </w:rPr>
        <w:t>Off Contract.</w:t>
      </w:r>
    </w:p>
    <w:p w14:paraId="45314AEE" w14:textId="77777777" w:rsidR="00C95898" w:rsidRPr="001348C3" w:rsidRDefault="00DD6329" w:rsidP="001A718C">
      <w:pPr>
        <w:numPr>
          <w:ilvl w:val="0"/>
          <w:numId w:val="1"/>
        </w:numPr>
        <w:pBdr>
          <w:top w:val="nil"/>
          <w:left w:val="nil"/>
          <w:bottom w:val="nil"/>
          <w:right w:val="nil"/>
          <w:between w:val="nil"/>
        </w:pBdr>
        <w:tabs>
          <w:tab w:val="left" w:pos="426"/>
        </w:tabs>
        <w:spacing w:before="120" w:after="120" w:line="240" w:lineRule="auto"/>
        <w:ind w:left="426" w:hanging="426"/>
        <w:jc w:val="both"/>
        <w:rPr>
          <w:rFonts w:eastAsia="Calibri"/>
        </w:rPr>
      </w:pPr>
      <w:r w:rsidRPr="00F35D0D">
        <w:rPr>
          <w:rFonts w:eastAsia="Arial"/>
          <w:b/>
        </w:rPr>
        <w:t>When the Supplier can ask to change the Framework Prices</w:t>
      </w:r>
    </w:p>
    <w:p w14:paraId="67B3CE67" w14:textId="3726AF1B" w:rsidR="0055195C" w:rsidRPr="00F35D0D" w:rsidRDefault="0055195C" w:rsidP="001348C3">
      <w:pPr>
        <w:pStyle w:val="GPSL1CLAUSEHEADING"/>
        <w:numPr>
          <w:ilvl w:val="0"/>
          <w:numId w:val="0"/>
        </w:numPr>
        <w:ind w:left="624"/>
        <w:rPr>
          <w:rFonts w:hint="eastAsia"/>
        </w:rPr>
      </w:pPr>
      <w:r w:rsidRPr="001348C3">
        <w:rPr>
          <w:rFonts w:ascii="Arial" w:eastAsia="Arial" w:hAnsi="Arial" w:hint="eastAsia"/>
          <w:b w:val="0"/>
          <w:caps w:val="0"/>
          <w:lang w:eastAsia="en-GB"/>
        </w:rPr>
        <w:lastRenderedPageBreak/>
        <w:t>[</w:t>
      </w:r>
      <w:r>
        <w:rPr>
          <w:rFonts w:ascii="Arial" w:eastAsia="Arial" w:hAnsi="Arial"/>
          <w:b w:val="0"/>
          <w:caps w:val="0"/>
          <w:lang w:eastAsia="en-GB"/>
        </w:rPr>
        <w:t xml:space="preserve">Supplier </w:t>
      </w:r>
      <w:r w:rsidRPr="001348C3">
        <w:rPr>
          <w:rFonts w:ascii="Arial" w:eastAsia="Arial" w:hAnsi="Arial" w:hint="eastAsia"/>
          <w:b w:val="0"/>
          <w:caps w:val="0"/>
          <w:lang w:eastAsia="en-GB"/>
        </w:rPr>
        <w:t xml:space="preserve">Guidance: </w:t>
      </w:r>
      <w:proofErr w:type="gramStart"/>
      <w:r w:rsidRPr="001348C3">
        <w:rPr>
          <w:rFonts w:ascii="Arial" w:eastAsia="Arial" w:hAnsi="Arial" w:hint="eastAsia"/>
          <w:b w:val="0"/>
          <w:caps w:val="0"/>
          <w:lang w:eastAsia="en-GB"/>
        </w:rPr>
        <w:t>Suppliers</w:t>
      </w:r>
      <w:proofErr w:type="gramEnd"/>
      <w:r w:rsidRPr="001348C3">
        <w:rPr>
          <w:rFonts w:ascii="Arial" w:eastAsia="Arial" w:hAnsi="Arial" w:hint="eastAsia"/>
          <w:b w:val="0"/>
          <w:caps w:val="0"/>
          <w:lang w:eastAsia="en-GB"/>
        </w:rPr>
        <w:t xml:space="preserve"> please note that RM1043.9 Digital Outcomes &amp; Specialists 7 is an Open Framework and you will be able to submit new Framework Pric</w:t>
      </w:r>
      <w:r>
        <w:rPr>
          <w:rFonts w:ascii="Arial" w:eastAsia="Arial" w:hAnsi="Arial"/>
          <w:b w:val="0"/>
          <w:caps w:val="0"/>
          <w:lang w:eastAsia="en-GB"/>
        </w:rPr>
        <w:t>es or retain prior prices</w:t>
      </w:r>
      <w:r w:rsidRPr="001348C3">
        <w:rPr>
          <w:rFonts w:ascii="Arial" w:eastAsia="Arial" w:hAnsi="Arial" w:hint="eastAsia"/>
          <w:b w:val="0"/>
          <w:caps w:val="0"/>
          <w:lang w:eastAsia="en-GB"/>
        </w:rPr>
        <w:t xml:space="preserve"> for any future framework iterations as noted in the tender notice. Any changes to Framework Pric</w:t>
      </w:r>
      <w:r>
        <w:rPr>
          <w:rFonts w:ascii="Arial" w:eastAsia="Arial" w:hAnsi="Arial"/>
          <w:b w:val="0"/>
          <w:caps w:val="0"/>
          <w:lang w:eastAsia="en-GB"/>
        </w:rPr>
        <w:t>es</w:t>
      </w:r>
      <w:r w:rsidRPr="001348C3">
        <w:rPr>
          <w:rFonts w:ascii="Arial" w:eastAsia="Arial" w:hAnsi="Arial" w:hint="eastAsia"/>
          <w:b w:val="0"/>
          <w:caps w:val="0"/>
          <w:lang w:eastAsia="en-GB"/>
        </w:rPr>
        <w:t xml:space="preserve"> shall have no effect on existing Call-Off Contracts]</w:t>
      </w:r>
    </w:p>
    <w:p w14:paraId="1DBF1CF9" w14:textId="57FA4CAA" w:rsidR="00C95898" w:rsidRPr="00F35D0D" w:rsidRDefault="00DD6329" w:rsidP="004B2ADB">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F35D0D">
        <w:rPr>
          <w:rFonts w:eastAsia="Arial"/>
        </w:rPr>
        <w:t xml:space="preserve">The Framework Prices will be fixed for </w:t>
      </w:r>
      <w:r w:rsidR="004B2ADB">
        <w:rPr>
          <w:rFonts w:eastAsia="Arial"/>
        </w:rPr>
        <w:t xml:space="preserve">the </w:t>
      </w:r>
      <w:bookmarkStart w:id="4" w:name="_heading=h.2et92p0" w:colFirst="0" w:colLast="0"/>
      <w:bookmarkEnd w:id="4"/>
      <w:r w:rsidR="000B5E6A">
        <w:rPr>
          <w:rFonts w:eastAsia="Arial"/>
        </w:rPr>
        <w:t>Contract</w:t>
      </w:r>
      <w:r w:rsidR="004B2ADB">
        <w:rPr>
          <w:rFonts w:eastAsia="Arial"/>
        </w:rPr>
        <w:t xml:space="preserve"> Period.</w:t>
      </w:r>
    </w:p>
    <w:p w14:paraId="47C7419E" w14:textId="77777777" w:rsidR="00C95898" w:rsidRPr="00F35D0D"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F35D0D">
        <w:rPr>
          <w:rFonts w:eastAsia="Arial"/>
        </w:rPr>
        <w:t>Any notice requesting an increase shall include:</w:t>
      </w:r>
    </w:p>
    <w:p w14:paraId="422D16FA" w14:textId="77777777" w:rsidR="00C95898" w:rsidRPr="00F35D0D" w:rsidRDefault="00DD6329" w:rsidP="001A718C">
      <w:pPr>
        <w:numPr>
          <w:ilvl w:val="2"/>
          <w:numId w:val="1"/>
        </w:numPr>
        <w:pBdr>
          <w:top w:val="nil"/>
          <w:left w:val="nil"/>
          <w:bottom w:val="nil"/>
          <w:right w:val="nil"/>
          <w:between w:val="nil"/>
        </w:pBdr>
        <w:tabs>
          <w:tab w:val="left" w:pos="1985"/>
        </w:tabs>
        <w:spacing w:before="120" w:after="120" w:line="240" w:lineRule="auto"/>
        <w:ind w:left="1980" w:hanging="846"/>
        <w:rPr>
          <w:rFonts w:eastAsia="Arial"/>
        </w:rPr>
      </w:pPr>
      <w:r w:rsidRPr="00F35D0D">
        <w:rPr>
          <w:rFonts w:eastAsia="Arial"/>
        </w:rPr>
        <w:t>a list of the Framework Prices to be reviewed;</w:t>
      </w:r>
    </w:p>
    <w:p w14:paraId="56D740B9" w14:textId="77777777" w:rsidR="00C95898" w:rsidRPr="00F35D0D"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F35D0D">
        <w:rPr>
          <w:rFonts w:eastAsia="Arial"/>
        </w:rPr>
        <w:t>for each Framework Price under review, written evidence of the justification for the requested increase including:</w:t>
      </w:r>
    </w:p>
    <w:p w14:paraId="1ADAD320" w14:textId="3BA45F81" w:rsidR="00C95898" w:rsidRPr="001348C3" w:rsidRDefault="00DD6329" w:rsidP="001A718C">
      <w:pPr>
        <w:numPr>
          <w:ilvl w:val="3"/>
          <w:numId w:val="1"/>
        </w:numPr>
        <w:pBdr>
          <w:top w:val="nil"/>
          <w:left w:val="nil"/>
          <w:bottom w:val="nil"/>
          <w:right w:val="nil"/>
          <w:between w:val="nil"/>
        </w:pBdr>
        <w:spacing w:before="120" w:after="120" w:line="240" w:lineRule="auto"/>
        <w:ind w:left="2835" w:hanging="850"/>
        <w:rPr>
          <w:rFonts w:eastAsia="Arial"/>
          <w:b/>
          <w:i/>
        </w:rPr>
      </w:pPr>
      <w:r w:rsidRPr="001348C3">
        <w:rPr>
          <w:rFonts w:eastAsia="Arial"/>
        </w:rPr>
        <w:t>a breakdown of the profit and cost components that compris</w:t>
      </w:r>
      <w:r w:rsidR="001A718C" w:rsidRPr="001348C3">
        <w:rPr>
          <w:rFonts w:eastAsia="Arial"/>
        </w:rPr>
        <w:t>e the relevant Framework Price;</w:t>
      </w:r>
    </w:p>
    <w:p w14:paraId="19AE8730" w14:textId="7CB794A8" w:rsidR="00C95898" w:rsidRPr="001348C3" w:rsidRDefault="00DD6329" w:rsidP="001A718C">
      <w:pPr>
        <w:numPr>
          <w:ilvl w:val="3"/>
          <w:numId w:val="1"/>
        </w:numPr>
        <w:pBdr>
          <w:top w:val="nil"/>
          <w:left w:val="nil"/>
          <w:bottom w:val="nil"/>
          <w:right w:val="nil"/>
          <w:between w:val="nil"/>
        </w:pBdr>
        <w:spacing w:before="120" w:after="120" w:line="240" w:lineRule="auto"/>
        <w:ind w:left="2836" w:hanging="851"/>
        <w:rPr>
          <w:rFonts w:eastAsia="Arial"/>
        </w:rPr>
      </w:pPr>
      <w:r w:rsidRPr="001348C3">
        <w:rPr>
          <w:rFonts w:eastAsia="Arial"/>
        </w:rPr>
        <w:t>details of the movement in the different identified cost components of the relevant Framework Price;</w:t>
      </w:r>
    </w:p>
    <w:p w14:paraId="57850B09" w14:textId="001B1E60" w:rsidR="00C95898" w:rsidRPr="001348C3" w:rsidRDefault="00DD6329" w:rsidP="001A718C">
      <w:pPr>
        <w:numPr>
          <w:ilvl w:val="3"/>
          <w:numId w:val="1"/>
        </w:numPr>
        <w:pBdr>
          <w:top w:val="nil"/>
          <w:left w:val="nil"/>
          <w:bottom w:val="nil"/>
          <w:right w:val="nil"/>
          <w:between w:val="nil"/>
        </w:pBdr>
        <w:spacing w:before="120" w:after="120" w:line="240" w:lineRule="auto"/>
        <w:ind w:left="2836" w:hanging="851"/>
        <w:rPr>
          <w:rFonts w:eastAsia="Arial"/>
        </w:rPr>
      </w:pPr>
      <w:r w:rsidRPr="001348C3">
        <w:rPr>
          <w:rFonts w:eastAsia="Arial"/>
        </w:rPr>
        <w:t>reasons for the movement in the different identified cost components of the relevant Framework Price;</w:t>
      </w:r>
    </w:p>
    <w:p w14:paraId="260546DE" w14:textId="77E1E0A1" w:rsidR="00C95898" w:rsidRPr="001348C3" w:rsidRDefault="00DD6329" w:rsidP="001A718C">
      <w:pPr>
        <w:numPr>
          <w:ilvl w:val="3"/>
          <w:numId w:val="1"/>
        </w:numPr>
        <w:pBdr>
          <w:top w:val="nil"/>
          <w:left w:val="nil"/>
          <w:bottom w:val="nil"/>
          <w:right w:val="nil"/>
          <w:between w:val="nil"/>
        </w:pBdr>
        <w:spacing w:before="120" w:after="120" w:line="240" w:lineRule="auto"/>
        <w:ind w:left="2836" w:hanging="851"/>
        <w:rPr>
          <w:rFonts w:eastAsia="Arial"/>
        </w:rPr>
      </w:pPr>
      <w:r w:rsidRPr="001348C3">
        <w:rPr>
          <w:rFonts w:eastAsia="Arial"/>
        </w:rPr>
        <w:t>evidence that the Supplier has attempted to mitigate against the increase in the relevant cost components; and</w:t>
      </w:r>
    </w:p>
    <w:p w14:paraId="337C6A06" w14:textId="79E83CAA" w:rsidR="00C95898" w:rsidRPr="001348C3" w:rsidRDefault="00DD6329" w:rsidP="001A718C">
      <w:pPr>
        <w:numPr>
          <w:ilvl w:val="3"/>
          <w:numId w:val="1"/>
        </w:numPr>
        <w:pBdr>
          <w:top w:val="nil"/>
          <w:left w:val="nil"/>
          <w:bottom w:val="nil"/>
          <w:right w:val="nil"/>
          <w:between w:val="nil"/>
        </w:pBdr>
        <w:spacing w:before="120" w:after="120" w:line="240" w:lineRule="auto"/>
        <w:ind w:left="2836" w:hanging="851"/>
        <w:rPr>
          <w:rFonts w:eastAsia="Arial"/>
        </w:rPr>
      </w:pPr>
      <w:r w:rsidRPr="001348C3">
        <w:rPr>
          <w:rFonts w:eastAsia="Arial"/>
        </w:rPr>
        <w:t xml:space="preserve">evidence that the Supplier’s profit component of the relevant Framework Price is no greater than that applying to Framework Prices using the same pricing mechanism as at the </w:t>
      </w:r>
      <w:r w:rsidR="006F5BAF" w:rsidRPr="001348C3">
        <w:rPr>
          <w:rFonts w:eastAsia="Arial"/>
        </w:rPr>
        <w:t>Framework Start</w:t>
      </w:r>
      <w:r w:rsidRPr="001348C3">
        <w:rPr>
          <w:rFonts w:eastAsia="Arial"/>
        </w:rPr>
        <w:t xml:space="preserve"> Date.</w:t>
      </w:r>
    </w:p>
    <w:p w14:paraId="5213DE50" w14:textId="35E3AB84" w:rsidR="00C95898" w:rsidRPr="001348C3"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1348C3">
        <w:rPr>
          <w:rFonts w:eastAsia="Arial"/>
        </w:rPr>
        <w:t xml:space="preserve">CCS shall consider each request for a </w:t>
      </w:r>
      <w:r w:rsidR="00321F02" w:rsidRPr="001348C3">
        <w:rPr>
          <w:rFonts w:eastAsia="Arial"/>
        </w:rPr>
        <w:t>price increase. CCS may grant a</w:t>
      </w:r>
      <w:r w:rsidRPr="001348C3">
        <w:rPr>
          <w:rFonts w:eastAsia="Arial"/>
        </w:rPr>
        <w:t>pproval to an increase at its sole discretion.</w:t>
      </w:r>
    </w:p>
    <w:p w14:paraId="5F4484C4" w14:textId="5E6F2C15" w:rsidR="00C95898" w:rsidRPr="00935044"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1348C3">
        <w:rPr>
          <w:rFonts w:eastAsia="Arial"/>
        </w:rPr>
        <w:t xml:space="preserve">Where CCS approves an increase then it will be implemented from the first (1st) Working Day following the relevant </w:t>
      </w:r>
      <w:r w:rsidR="00462545">
        <w:rPr>
          <w:rFonts w:eastAsia="Arial"/>
        </w:rPr>
        <w:t xml:space="preserve">anniversary of the Framework Start Date </w:t>
      </w:r>
      <w:r w:rsidRPr="001348C3">
        <w:rPr>
          <w:rFonts w:eastAsia="Arial"/>
        </w:rPr>
        <w:t xml:space="preserve">or such later date as CCS may determine at its sole discretion and </w:t>
      </w:r>
      <w:r w:rsidR="00935044" w:rsidRPr="001348C3">
        <w:rPr>
          <w:rFonts w:eastAsia="Arial"/>
        </w:rPr>
        <w:t>the Platform</w:t>
      </w:r>
      <w:r w:rsidRPr="001348C3">
        <w:rPr>
          <w:rFonts w:eastAsia="Arial"/>
        </w:rPr>
        <w:t xml:space="preserve"> shall be updated accordingly.</w:t>
      </w:r>
    </w:p>
    <w:p w14:paraId="62A64E02" w14:textId="77777777" w:rsidR="00C95898" w:rsidRPr="00F35D0D" w:rsidRDefault="00DD6329" w:rsidP="001A718C">
      <w:pPr>
        <w:numPr>
          <w:ilvl w:val="0"/>
          <w:numId w:val="1"/>
        </w:numPr>
        <w:pBdr>
          <w:top w:val="nil"/>
          <w:left w:val="nil"/>
          <w:bottom w:val="nil"/>
          <w:right w:val="nil"/>
          <w:between w:val="nil"/>
        </w:pBdr>
        <w:tabs>
          <w:tab w:val="left" w:pos="142"/>
        </w:tabs>
        <w:spacing w:before="120" w:after="120" w:line="240" w:lineRule="auto"/>
        <w:ind w:left="426" w:hanging="426"/>
        <w:jc w:val="both"/>
      </w:pPr>
      <w:r w:rsidRPr="00F35D0D">
        <w:rPr>
          <w:rFonts w:eastAsia="Arial"/>
          <w:b/>
        </w:rPr>
        <w:t>Other events that allow the Supplier to change the Framework Prices</w:t>
      </w:r>
    </w:p>
    <w:p w14:paraId="210B97C4" w14:textId="69FB013C" w:rsidR="00C95898" w:rsidRPr="00F35D0D"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F35D0D">
        <w:rPr>
          <w:rFonts w:eastAsia="Arial"/>
        </w:rPr>
        <w:t xml:space="preserve">The Framework Prices can also be varied (and </w:t>
      </w:r>
      <w:r w:rsidR="00416F40">
        <w:rPr>
          <w:rFonts w:eastAsia="Arial"/>
        </w:rPr>
        <w:t>the Platform</w:t>
      </w:r>
      <w:r w:rsidRPr="00F35D0D">
        <w:rPr>
          <w:rFonts w:eastAsia="Arial"/>
        </w:rPr>
        <w:t xml:space="preserve"> will be updated accordingly) due to:</w:t>
      </w:r>
    </w:p>
    <w:p w14:paraId="54CA0967" w14:textId="4CEFC641" w:rsidR="00C95898" w:rsidRPr="00F35D0D"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F35D0D">
        <w:rPr>
          <w:rFonts w:eastAsia="Arial"/>
        </w:rPr>
        <w:t xml:space="preserve">a Specific Change in Law in accordance with Clause </w:t>
      </w:r>
      <w:r w:rsidR="00995C9E">
        <w:rPr>
          <w:rFonts w:eastAsia="Arial"/>
        </w:rPr>
        <w:t>27</w:t>
      </w:r>
      <w:r w:rsidR="00730A44">
        <w:rPr>
          <w:rFonts w:eastAsia="Arial"/>
        </w:rPr>
        <w:t xml:space="preserve"> </w:t>
      </w:r>
      <w:r w:rsidR="00730A44" w:rsidRPr="00730A44">
        <w:rPr>
          <w:rFonts w:eastAsia="Arial"/>
          <w:i/>
        </w:rPr>
        <w:t>(Changing the Contract)</w:t>
      </w:r>
      <w:r w:rsidR="00730A44">
        <w:rPr>
          <w:rFonts w:eastAsia="Arial"/>
        </w:rPr>
        <w:t xml:space="preserve"> of the General Terms</w:t>
      </w:r>
      <w:r w:rsidRPr="00F35D0D">
        <w:rPr>
          <w:rFonts w:eastAsia="Arial"/>
        </w:rPr>
        <w:t>;</w:t>
      </w:r>
    </w:p>
    <w:p w14:paraId="65D78E08" w14:textId="27CF5380" w:rsidR="00C95898" w:rsidRPr="00F35D0D"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F35D0D">
        <w:rPr>
          <w:rFonts w:eastAsia="Arial"/>
        </w:rPr>
        <w:t xml:space="preserve">a review in accordance with insurance requirements in Clause </w:t>
      </w:r>
      <w:r w:rsidR="00995C9E">
        <w:rPr>
          <w:rFonts w:eastAsia="Arial"/>
        </w:rPr>
        <w:t>16</w:t>
      </w:r>
      <w:r w:rsidR="00730A44">
        <w:rPr>
          <w:rFonts w:eastAsia="Arial"/>
        </w:rPr>
        <w:t xml:space="preserve"> </w:t>
      </w:r>
      <w:r w:rsidR="00730A44" w:rsidRPr="00730A44">
        <w:rPr>
          <w:rFonts w:eastAsia="Arial"/>
          <w:i/>
        </w:rPr>
        <w:t>(Insurance)</w:t>
      </w:r>
      <w:r w:rsidR="00730A44">
        <w:rPr>
          <w:rFonts w:eastAsia="Arial"/>
        </w:rPr>
        <w:t xml:space="preserve"> of the General Terms</w:t>
      </w:r>
      <w:r w:rsidR="00995C9E">
        <w:rPr>
          <w:rFonts w:eastAsia="Arial"/>
        </w:rPr>
        <w:t>;</w:t>
      </w:r>
    </w:p>
    <w:p w14:paraId="1970AC0A" w14:textId="75B7E2C3" w:rsidR="00C95898" w:rsidRPr="00416F40" w:rsidRDefault="00DD6329" w:rsidP="001A718C">
      <w:pPr>
        <w:numPr>
          <w:ilvl w:val="2"/>
          <w:numId w:val="1"/>
        </w:numPr>
        <w:pBdr>
          <w:top w:val="nil"/>
          <w:left w:val="nil"/>
          <w:bottom w:val="nil"/>
          <w:right w:val="nil"/>
          <w:between w:val="nil"/>
        </w:pBdr>
        <w:tabs>
          <w:tab w:val="left" w:pos="1985"/>
          <w:tab w:val="left" w:pos="2127"/>
        </w:tabs>
        <w:spacing w:before="120" w:after="120" w:line="240" w:lineRule="auto"/>
        <w:ind w:left="1980" w:hanging="846"/>
        <w:rPr>
          <w:rFonts w:eastAsia="Arial"/>
        </w:rPr>
      </w:pPr>
      <w:r w:rsidRPr="001348C3">
        <w:rPr>
          <w:rFonts w:eastAsia="Arial"/>
        </w:rPr>
        <w:t>a benchmarking</w:t>
      </w:r>
      <w:r w:rsidR="00995C9E" w:rsidRPr="001348C3">
        <w:rPr>
          <w:rFonts w:eastAsia="Arial"/>
        </w:rPr>
        <w:t xml:space="preserve"> review in accordance with Call-</w:t>
      </w:r>
      <w:r w:rsidRPr="001348C3">
        <w:rPr>
          <w:rFonts w:eastAsia="Arial"/>
        </w:rPr>
        <w:t xml:space="preserve">Off Schedule 16 </w:t>
      </w:r>
      <w:r w:rsidRPr="001348C3">
        <w:rPr>
          <w:rFonts w:eastAsia="Arial"/>
          <w:i/>
        </w:rPr>
        <w:t>(Benchmarking)</w:t>
      </w:r>
      <w:r w:rsidR="00995C9E" w:rsidRPr="001348C3">
        <w:rPr>
          <w:rFonts w:eastAsia="Arial"/>
        </w:rPr>
        <w:t>;</w:t>
      </w:r>
    </w:p>
    <w:p w14:paraId="1284BB06" w14:textId="77777777" w:rsidR="00C95898" w:rsidRPr="00F35D0D" w:rsidRDefault="00DD6329" w:rsidP="00F35D0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eastAsia="Arial"/>
        </w:rPr>
      </w:pPr>
      <w:r w:rsidRPr="00F35D0D">
        <w:rPr>
          <w:rFonts w:eastAsia="Arial"/>
        </w:rPr>
        <w:t>a request from the Supplier, which it can make at any time, to decrease the Framework Prices; and</w:t>
      </w:r>
    </w:p>
    <w:p w14:paraId="04E97A7A" w14:textId="40184B1F" w:rsidR="00C95898" w:rsidRPr="00F35D0D" w:rsidRDefault="00C120BF" w:rsidP="00F35D0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eastAsia="Arial"/>
        </w:rPr>
      </w:pPr>
      <w:r w:rsidRPr="001348C3">
        <w:rPr>
          <w:rFonts w:eastAsia="Arial"/>
        </w:rPr>
        <w:lastRenderedPageBreak/>
        <w:t>I</w:t>
      </w:r>
      <w:r w:rsidR="00DD6329" w:rsidRPr="001348C3">
        <w:rPr>
          <w:rFonts w:eastAsia="Arial"/>
        </w:rPr>
        <w:t xml:space="preserve">ndexation, </w:t>
      </w:r>
      <w:r w:rsidR="00D442B9" w:rsidRPr="001348C3">
        <w:rPr>
          <w:rFonts w:eastAsia="Arial"/>
        </w:rPr>
        <w:t>if CCS gives</w:t>
      </w:r>
      <w:r w:rsidR="00D442B9">
        <w:rPr>
          <w:rFonts w:eastAsia="Arial"/>
        </w:rPr>
        <w:t xml:space="preserve"> notice to the Supplier of its intention to apply</w:t>
      </w:r>
      <w:r w:rsidR="0068632F">
        <w:rPr>
          <w:rFonts w:eastAsia="Arial"/>
        </w:rPr>
        <w:t xml:space="preserve"> the</w:t>
      </w:r>
      <w:r w:rsidR="00D442B9">
        <w:rPr>
          <w:rFonts w:eastAsia="Arial"/>
        </w:rPr>
        <w:t xml:space="preserve"> </w:t>
      </w:r>
      <w:r w:rsidR="0068632F" w:rsidRPr="001348C3">
        <w:rPr>
          <w:rFonts w:eastAsia="Arial"/>
          <w:bCs/>
        </w:rPr>
        <w:t>Services Producer Price Index</w:t>
      </w:r>
      <w:r w:rsidR="0068632F" w:rsidRPr="00E453CE">
        <w:rPr>
          <w:rFonts w:eastAsia="Arial"/>
          <w:b/>
        </w:rPr>
        <w:t xml:space="preserve"> </w:t>
      </w:r>
      <w:r w:rsidR="00462545" w:rsidRPr="001348C3">
        <w:rPr>
          <w:rFonts w:eastAsia="Arial"/>
          <w:bCs/>
        </w:rPr>
        <w:t>(“SPPI</w:t>
      </w:r>
      <w:r w:rsidR="00462545">
        <w:rPr>
          <w:rFonts w:eastAsia="Arial"/>
          <w:bCs/>
        </w:rPr>
        <w:t xml:space="preserve">”) Information and Communication Services HQVC </w:t>
      </w:r>
      <w:r w:rsidR="00976A54" w:rsidRPr="001348C3">
        <w:rPr>
          <w:rFonts w:eastAsia="Arial"/>
          <w:bCs/>
        </w:rPr>
        <w:t>(or an alternative index)</w:t>
      </w:r>
      <w:r w:rsidR="00976A54">
        <w:rPr>
          <w:rFonts w:eastAsia="Arial"/>
          <w:b/>
        </w:rPr>
        <w:t xml:space="preserve"> </w:t>
      </w:r>
      <w:r w:rsidR="00D442B9">
        <w:rPr>
          <w:rFonts w:eastAsia="Arial"/>
        </w:rPr>
        <w:t xml:space="preserve">setting out when </w:t>
      </w:r>
      <w:r w:rsidR="001348C3">
        <w:rPr>
          <w:rFonts w:eastAsia="Arial"/>
        </w:rPr>
        <w:t>I</w:t>
      </w:r>
      <w:r w:rsidR="00D442B9">
        <w:rPr>
          <w:rFonts w:eastAsia="Arial"/>
        </w:rPr>
        <w:t xml:space="preserve">ndexation will take effect </w:t>
      </w:r>
      <w:r w:rsidR="00976A54">
        <w:rPr>
          <w:rFonts w:eastAsia="Arial"/>
        </w:rPr>
        <w:t>on all</w:t>
      </w:r>
      <w:r w:rsidR="00D442B9">
        <w:rPr>
          <w:rFonts w:eastAsia="Arial"/>
        </w:rPr>
        <w:t xml:space="preserve"> Framework Prices.</w:t>
      </w:r>
      <w:r w:rsidR="00DD6329" w:rsidRPr="00F35D0D">
        <w:rPr>
          <w:rFonts w:eastAsia="Arial"/>
        </w:rPr>
        <w:t xml:space="preserve"> </w:t>
      </w:r>
    </w:p>
    <w:p w14:paraId="3CD0B91D" w14:textId="08C96C66" w:rsidR="00C95898" w:rsidRPr="001348C3" w:rsidRDefault="00DD6329" w:rsidP="001A718C">
      <w:pPr>
        <w:numPr>
          <w:ilvl w:val="0"/>
          <w:numId w:val="1"/>
        </w:numPr>
        <w:pBdr>
          <w:top w:val="nil"/>
          <w:left w:val="nil"/>
          <w:bottom w:val="nil"/>
          <w:right w:val="nil"/>
          <w:between w:val="nil"/>
        </w:pBdr>
        <w:tabs>
          <w:tab w:val="left" w:pos="142"/>
        </w:tabs>
        <w:spacing w:before="120" w:after="120" w:line="240" w:lineRule="auto"/>
        <w:ind w:left="426" w:hanging="426"/>
        <w:jc w:val="both"/>
        <w:rPr>
          <w:rFonts w:eastAsia="Arial"/>
          <w:b/>
        </w:rPr>
      </w:pPr>
      <w:r w:rsidRPr="001348C3">
        <w:rPr>
          <w:rFonts w:eastAsia="Arial"/>
          <w:b/>
        </w:rPr>
        <w:t>When you will be reimbursed for travel and subsistence</w:t>
      </w:r>
    </w:p>
    <w:p w14:paraId="2E5A6B7F" w14:textId="325048DE" w:rsidR="00C95898" w:rsidRPr="001348C3" w:rsidRDefault="00DD6329" w:rsidP="001A718C">
      <w:pPr>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1348C3">
        <w:rPr>
          <w:rFonts w:eastAsia="Arial"/>
        </w:rPr>
        <w:t>Expenses shall only be recoverable where:</w:t>
      </w:r>
    </w:p>
    <w:p w14:paraId="2AE2573D" w14:textId="77777777" w:rsidR="00C95898" w:rsidRPr="001348C3" w:rsidRDefault="00DD6329" w:rsidP="001A718C">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46"/>
        <w:rPr>
          <w:rFonts w:eastAsia="Arial"/>
        </w:rPr>
      </w:pPr>
      <w:r w:rsidRPr="001348C3">
        <w:rPr>
          <w:rFonts w:eastAsia="Arial"/>
        </w:rPr>
        <w:t>the Order Form states that recovery is permitted; and</w:t>
      </w:r>
    </w:p>
    <w:p w14:paraId="48397BA1" w14:textId="33CC08E0" w:rsidR="00C95898" w:rsidRPr="001348C3" w:rsidRDefault="00995C9E" w:rsidP="001A718C">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46"/>
        <w:rPr>
          <w:rFonts w:eastAsia="Arial"/>
        </w:rPr>
      </w:pPr>
      <w:r w:rsidRPr="001348C3">
        <w:rPr>
          <w:rFonts w:eastAsia="Arial"/>
        </w:rPr>
        <w:t>they are Reimburs</w:t>
      </w:r>
      <w:r w:rsidR="00DD6329" w:rsidRPr="001348C3">
        <w:rPr>
          <w:rFonts w:eastAsia="Arial"/>
        </w:rPr>
        <w:t>able Expenses and are supported by Supporting Documentation.</w:t>
      </w:r>
    </w:p>
    <w:p w14:paraId="5C3088BC" w14:textId="2097A1C1" w:rsidR="00C95898" w:rsidRPr="001348C3" w:rsidRDefault="00DD6329" w:rsidP="001A718C">
      <w:pPr>
        <w:numPr>
          <w:ilvl w:val="1"/>
          <w:numId w:val="1"/>
        </w:numPr>
        <w:pBdr>
          <w:top w:val="nil"/>
          <w:left w:val="nil"/>
          <w:bottom w:val="nil"/>
          <w:right w:val="nil"/>
          <w:between w:val="nil"/>
        </w:pBdr>
        <w:tabs>
          <w:tab w:val="left" w:pos="709"/>
        </w:tabs>
        <w:spacing w:before="120" w:after="120" w:line="240" w:lineRule="auto"/>
        <w:ind w:left="1134" w:hanging="708"/>
        <w:rPr>
          <w:rFonts w:eastAsia="Arial"/>
        </w:rPr>
      </w:pPr>
      <w:bookmarkStart w:id="5" w:name="_heading=h.tyjcwt" w:colFirst="0" w:colLast="0"/>
      <w:bookmarkStart w:id="6" w:name="_heading=h.3dy6vkm" w:colFirst="0" w:colLast="0"/>
      <w:bookmarkEnd w:id="5"/>
      <w:bookmarkEnd w:id="6"/>
      <w:r w:rsidRPr="001348C3">
        <w:rPr>
          <w:rFonts w:eastAsia="Arial"/>
        </w:rPr>
        <w:t>The Buyer shall provide a copy of their current expenses policy to the Supplier upon request.</w:t>
      </w:r>
    </w:p>
    <w:p w14:paraId="4CFA691E" w14:textId="77777777" w:rsidR="00C95898" w:rsidRPr="00F35D0D" w:rsidRDefault="00C95898" w:rsidP="00F35D0D">
      <w:pPr>
        <w:pBdr>
          <w:top w:val="nil"/>
          <w:left w:val="nil"/>
          <w:bottom w:val="nil"/>
          <w:right w:val="nil"/>
          <w:between w:val="nil"/>
        </w:pBdr>
        <w:tabs>
          <w:tab w:val="left" w:pos="0"/>
        </w:tabs>
        <w:spacing w:before="120" w:after="120" w:line="240" w:lineRule="auto"/>
        <w:ind w:left="644" w:hanging="360"/>
        <w:jc w:val="both"/>
        <w:rPr>
          <w:rFonts w:eastAsia="Arial Bold"/>
          <w:b/>
          <w:smallCaps/>
          <w:highlight w:val="yellow"/>
        </w:rPr>
      </w:pPr>
    </w:p>
    <w:p w14:paraId="2587E583" w14:textId="77777777" w:rsidR="00C95898" w:rsidRPr="00F35D0D" w:rsidRDefault="00C95898" w:rsidP="001348C3">
      <w:pPr>
        <w:spacing w:before="120" w:after="120" w:line="240" w:lineRule="auto"/>
        <w:rPr>
          <w:rFonts w:eastAsia="Arial"/>
          <w:b/>
        </w:rPr>
      </w:pPr>
      <w:bookmarkStart w:id="7" w:name="_heading=h.1t3h5sf" w:colFirst="0" w:colLast="0"/>
      <w:bookmarkStart w:id="8" w:name="_heading=h.4d34og8" w:colFirst="0" w:colLast="0"/>
      <w:bookmarkEnd w:id="7"/>
      <w:bookmarkEnd w:id="8"/>
    </w:p>
    <w:sectPr w:rsidR="00C95898" w:rsidRPr="00F35D0D">
      <w:headerReference w:type="default" r:id="rId9"/>
      <w:footerReference w:type="default" r:id="rId10"/>
      <w:headerReference w:type="first" r:id="rId11"/>
      <w:footerReference w:type="first" r:id="rId12"/>
      <w:pgSz w:w="11906" w:h="16838"/>
      <w:pgMar w:top="1888"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AA95" w14:textId="77777777" w:rsidR="009F1CB6" w:rsidRDefault="009F1CB6">
      <w:pPr>
        <w:spacing w:after="0" w:line="240" w:lineRule="auto"/>
      </w:pPr>
      <w:r>
        <w:separator/>
      </w:r>
    </w:p>
  </w:endnote>
  <w:endnote w:type="continuationSeparator" w:id="0">
    <w:p w14:paraId="1427820A" w14:textId="77777777" w:rsidR="009F1CB6" w:rsidRDefault="009F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D4B" w14:textId="1058B52C" w:rsidR="00F35D0D" w:rsidRDefault="00F35D0D" w:rsidP="00F35D0D">
    <w:pPr>
      <w:tabs>
        <w:tab w:val="center" w:pos="4513"/>
        <w:tab w:val="right" w:pos="9026"/>
      </w:tabs>
      <w:spacing w:after="0" w:line="240" w:lineRule="auto"/>
      <w:rPr>
        <w:rFonts w:eastAsia="Arial"/>
        <w:sz w:val="20"/>
        <w:szCs w:val="20"/>
      </w:rPr>
    </w:pPr>
    <w:r>
      <w:rPr>
        <w:rFonts w:eastAsia="Arial"/>
        <w:sz w:val="20"/>
        <w:szCs w:val="20"/>
      </w:rPr>
      <w:t xml:space="preserve">Framework Ref: </w:t>
    </w:r>
    <w:r w:rsidR="00C120BF">
      <w:rPr>
        <w:rFonts w:eastAsia="Arial"/>
        <w:sz w:val="20"/>
      </w:rPr>
      <w:t>RM1043.9</w:t>
    </w:r>
    <w:r>
      <w:rPr>
        <w:rFonts w:eastAsia="Arial"/>
        <w:sz w:val="20"/>
        <w:szCs w:val="20"/>
      </w:rPr>
      <w:tab/>
      <w:t xml:space="preserve">                                           </w:t>
    </w:r>
  </w:p>
  <w:p w14:paraId="38FFF4C4" w14:textId="00003950" w:rsidR="00F35D0D" w:rsidRDefault="00F35D0D" w:rsidP="00F35D0D">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BE1D8F">
      <w:rPr>
        <w:rFonts w:eastAsia="Arial"/>
        <w:noProof/>
        <w:sz w:val="20"/>
        <w:szCs w:val="20"/>
      </w:rPr>
      <w:t>1</w:t>
    </w:r>
    <w:r>
      <w:rPr>
        <w:rFonts w:eastAsia="Arial"/>
        <w:sz w:val="20"/>
        <w:szCs w:val="20"/>
      </w:rPr>
      <w:fldChar w:fldCharType="end"/>
    </w:r>
  </w:p>
  <w:p w14:paraId="5511C920" w14:textId="0EF7C1D9" w:rsidR="00C95898" w:rsidRPr="00F35D0D" w:rsidRDefault="00F35D0D" w:rsidP="00F35D0D">
    <w:pPr>
      <w:spacing w:after="0" w:line="240" w:lineRule="auto"/>
      <w:jc w:val="both"/>
      <w:rPr>
        <w:rFonts w:eastAsia="Arial"/>
        <w:sz w:val="14"/>
        <w:szCs w:val="20"/>
      </w:rPr>
    </w:pPr>
    <w:r>
      <w:rPr>
        <w:rFonts w:eastAsia="Arial"/>
        <w:sz w:val="20"/>
        <w:szCs w:val="20"/>
      </w:rPr>
      <w:t>Model Version: v1.0 PA</w:t>
    </w:r>
    <w:r>
      <w:rPr>
        <w:rFonts w:eastAsia="Arial"/>
        <w:sz w:val="20"/>
        <w:szCs w:val="20"/>
      </w:rPr>
      <w:tab/>
    </w:r>
    <w:r w:rsidR="00DD6329">
      <w:rPr>
        <w:rFonts w:eastAsia="Arial"/>
        <w:sz w:val="20"/>
        <w:szCs w:val="20"/>
      </w:rPr>
      <w:tab/>
    </w:r>
    <w:r w:rsidR="00DD6329">
      <w:rPr>
        <w:rFonts w:eastAsia="Arial"/>
        <w:color w:val="BFBFBF"/>
        <w:sz w:val="20"/>
        <w:szCs w:val="20"/>
      </w:rPr>
      <w:tab/>
    </w:r>
    <w:r w:rsidR="00DD6329">
      <w:rPr>
        <w:color w:val="BFBFBF"/>
      </w:rPr>
      <w:tab/>
    </w:r>
    <w:r w:rsidR="00DD6329">
      <w:rPr>
        <w:color w:val="BFBFBF"/>
      </w:rPr>
      <w:tab/>
    </w:r>
    <w:r w:rsidR="00DD6329">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506C" w14:textId="77777777" w:rsidR="00C95898" w:rsidRDefault="00DD6329">
    <w:pPr>
      <w:tabs>
        <w:tab w:val="center" w:pos="4513"/>
        <w:tab w:val="right" w:pos="9026"/>
      </w:tabs>
      <w:spacing w:after="0"/>
    </w:pPr>
    <w:r>
      <w:t>Framework Ref: RM</w:t>
    </w:r>
    <w:r>
      <w:tab/>
      <w:t xml:space="preserve">                                           </w:t>
    </w:r>
  </w:p>
  <w:p w14:paraId="4A5A27E9" w14:textId="77777777" w:rsidR="00C95898" w:rsidRDefault="00DD6329">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end"/>
    </w:r>
  </w:p>
  <w:p w14:paraId="7FB9E60A" w14:textId="77777777" w:rsidR="00C95898" w:rsidRDefault="00DD6329">
    <w:pPr>
      <w:tabs>
        <w:tab w:val="left" w:pos="720"/>
        <w:tab w:val="left" w:pos="1440"/>
        <w:tab w:val="left" w:pos="2160"/>
        <w:tab w:val="left" w:pos="2880"/>
        <w:tab w:val="left" w:pos="3600"/>
        <w:tab w:val="left" w:pos="4320"/>
        <w:tab w:val="left" w:pos="4905"/>
      </w:tabs>
      <w:spacing w:after="0" w:line="240" w:lineRule="auto"/>
      <w:jc w:val="both"/>
      <w:rPr>
        <w:rFonts w:eastAsia="Arial"/>
        <w:sz w:val="20"/>
        <w:szCs w:val="20"/>
      </w:rPr>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A59F" w14:textId="77777777" w:rsidR="009F1CB6" w:rsidRDefault="009F1CB6">
      <w:pPr>
        <w:spacing w:after="0" w:line="240" w:lineRule="auto"/>
      </w:pPr>
      <w:r>
        <w:separator/>
      </w:r>
    </w:p>
  </w:footnote>
  <w:footnote w:type="continuationSeparator" w:id="0">
    <w:p w14:paraId="6EDF4663" w14:textId="77777777" w:rsidR="009F1CB6" w:rsidRDefault="009F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C601" w14:textId="77777777" w:rsidR="00C95898" w:rsidRPr="00F35D0D" w:rsidRDefault="00DD6329">
    <w:pPr>
      <w:pBdr>
        <w:top w:val="nil"/>
        <w:left w:val="nil"/>
        <w:bottom w:val="nil"/>
        <w:right w:val="nil"/>
        <w:between w:val="nil"/>
      </w:pBdr>
      <w:tabs>
        <w:tab w:val="center" w:pos="4513"/>
        <w:tab w:val="right" w:pos="9026"/>
      </w:tabs>
      <w:spacing w:after="0" w:line="240" w:lineRule="auto"/>
      <w:rPr>
        <w:rFonts w:eastAsia="Arial"/>
        <w:b/>
        <w:sz w:val="22"/>
      </w:rPr>
    </w:pPr>
    <w:r w:rsidRPr="00F35D0D">
      <w:rPr>
        <w:rFonts w:eastAsia="Arial"/>
        <w:b/>
        <w:sz w:val="22"/>
      </w:rPr>
      <w:t>Framework Schedule 3 (Framework Prices)</w:t>
    </w:r>
  </w:p>
  <w:p w14:paraId="77D3E715" w14:textId="32E14D82" w:rsidR="00C95898" w:rsidRDefault="00DD6329">
    <w:pPr>
      <w:pBdr>
        <w:top w:val="nil"/>
        <w:left w:val="nil"/>
        <w:bottom w:val="nil"/>
        <w:right w:val="nil"/>
        <w:between w:val="nil"/>
      </w:pBdr>
      <w:tabs>
        <w:tab w:val="center" w:pos="4513"/>
        <w:tab w:val="right" w:pos="9026"/>
      </w:tabs>
      <w:spacing w:after="0" w:line="240" w:lineRule="auto"/>
      <w:rPr>
        <w:rFonts w:eastAsia="Arial"/>
        <w:sz w:val="22"/>
      </w:rPr>
    </w:pPr>
    <w:r w:rsidRPr="00F35D0D">
      <w:rPr>
        <w:rFonts w:eastAsia="Arial"/>
        <w:sz w:val="22"/>
      </w:rPr>
      <w:t>Crown Copyright 202</w:t>
    </w:r>
    <w:r w:rsidR="00F40545" w:rsidRPr="00F35D0D">
      <w:rPr>
        <w:rFonts w:eastAsia="Arial"/>
        <w:sz w:val="22"/>
      </w:rPr>
      <w:t>5</w:t>
    </w:r>
  </w:p>
  <w:p w14:paraId="52D7B81F" w14:textId="057F71B7" w:rsidR="00F35D0D" w:rsidRPr="00F35D0D" w:rsidRDefault="00F35D0D">
    <w:pPr>
      <w:pBdr>
        <w:top w:val="nil"/>
        <w:left w:val="nil"/>
        <w:bottom w:val="nil"/>
        <w:right w:val="nil"/>
        <w:between w:val="nil"/>
      </w:pBdr>
      <w:tabs>
        <w:tab w:val="center" w:pos="4513"/>
        <w:tab w:val="right" w:pos="9026"/>
      </w:tabs>
      <w:spacing w:after="0" w:line="240" w:lineRule="auto"/>
      <w:rPr>
        <w:rFonts w:eastAsia="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27AA" w14:textId="77777777" w:rsidR="00C95898" w:rsidRDefault="00DD6329">
    <w:pPr>
      <w:pBdr>
        <w:top w:val="nil"/>
        <w:left w:val="nil"/>
        <w:bottom w:val="nil"/>
        <w:right w:val="nil"/>
        <w:between w:val="nil"/>
      </w:pBdr>
      <w:tabs>
        <w:tab w:val="center" w:pos="4513"/>
        <w:tab w:val="right" w:pos="9026"/>
      </w:tabs>
      <w:spacing w:after="0" w:line="240" w:lineRule="auto"/>
      <w:rPr>
        <w:rFonts w:eastAsia="Arial"/>
        <w:b/>
        <w:sz w:val="20"/>
        <w:szCs w:val="20"/>
      </w:rPr>
    </w:pPr>
    <w:r>
      <w:rPr>
        <w:rFonts w:eastAsia="Arial"/>
        <w:b/>
        <w:sz w:val="20"/>
        <w:szCs w:val="20"/>
      </w:rPr>
      <w:t>Framework Schedule 3 (Framework Prices)</w:t>
    </w:r>
  </w:p>
  <w:p w14:paraId="52B28D35" w14:textId="77777777" w:rsidR="00C95898" w:rsidRDefault="00DD6329">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A13C8"/>
    <w:multiLevelType w:val="multilevel"/>
    <w:tmpl w:val="139E124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7E3E16"/>
    <w:multiLevelType w:val="multilevel"/>
    <w:tmpl w:val="2716C254"/>
    <w:lvl w:ilvl="0">
      <w:start w:val="1"/>
      <w:numFmt w:val="decimal"/>
      <w:pStyle w:val="GPSL1CLAUSEHEADING"/>
      <w:lvlText w:val="%1."/>
      <w:lvlJc w:val="left"/>
      <w:pPr>
        <w:ind w:left="624" w:hanging="624"/>
      </w:pPr>
      <w:rPr>
        <w:rFonts w:hint="default"/>
        <w:b/>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ind w:left="4548"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BC0613B"/>
    <w:multiLevelType w:val="multilevel"/>
    <w:tmpl w:val="15604502"/>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98"/>
    <w:rsid w:val="000379FF"/>
    <w:rsid w:val="000B5E6A"/>
    <w:rsid w:val="000C32F0"/>
    <w:rsid w:val="001348C3"/>
    <w:rsid w:val="00137C10"/>
    <w:rsid w:val="001A718C"/>
    <w:rsid w:val="00261169"/>
    <w:rsid w:val="002B6368"/>
    <w:rsid w:val="00321F02"/>
    <w:rsid w:val="003774CB"/>
    <w:rsid w:val="003A4E16"/>
    <w:rsid w:val="003F20B7"/>
    <w:rsid w:val="00416F40"/>
    <w:rsid w:val="00462545"/>
    <w:rsid w:val="004B2ADB"/>
    <w:rsid w:val="004C195A"/>
    <w:rsid w:val="00512F39"/>
    <w:rsid w:val="00527F04"/>
    <w:rsid w:val="005419BD"/>
    <w:rsid w:val="005503D8"/>
    <w:rsid w:val="0055195C"/>
    <w:rsid w:val="00554F16"/>
    <w:rsid w:val="00642BED"/>
    <w:rsid w:val="0068632F"/>
    <w:rsid w:val="006F5BAF"/>
    <w:rsid w:val="007147F8"/>
    <w:rsid w:val="0072364A"/>
    <w:rsid w:val="00730A44"/>
    <w:rsid w:val="0080329C"/>
    <w:rsid w:val="00832421"/>
    <w:rsid w:val="008C7FD5"/>
    <w:rsid w:val="00935044"/>
    <w:rsid w:val="00966C42"/>
    <w:rsid w:val="00976A54"/>
    <w:rsid w:val="00995C9E"/>
    <w:rsid w:val="009A4C2B"/>
    <w:rsid w:val="009F1CB6"/>
    <w:rsid w:val="00A03433"/>
    <w:rsid w:val="00A0618C"/>
    <w:rsid w:val="00A16AAF"/>
    <w:rsid w:val="00A3479C"/>
    <w:rsid w:val="00AE4A77"/>
    <w:rsid w:val="00AE75F3"/>
    <w:rsid w:val="00B04D4F"/>
    <w:rsid w:val="00B354B5"/>
    <w:rsid w:val="00B43FB6"/>
    <w:rsid w:val="00B85494"/>
    <w:rsid w:val="00BE1D8F"/>
    <w:rsid w:val="00BE4E20"/>
    <w:rsid w:val="00BF72A8"/>
    <w:rsid w:val="00C02C19"/>
    <w:rsid w:val="00C120BF"/>
    <w:rsid w:val="00C95898"/>
    <w:rsid w:val="00D14EA8"/>
    <w:rsid w:val="00D442B9"/>
    <w:rsid w:val="00D90939"/>
    <w:rsid w:val="00DD6329"/>
    <w:rsid w:val="00DD6B95"/>
    <w:rsid w:val="00DF08BC"/>
    <w:rsid w:val="00ED021C"/>
    <w:rsid w:val="00F35D0D"/>
    <w:rsid w:val="00F40545"/>
    <w:rsid w:val="00F7529A"/>
    <w:rsid w:val="00F97489"/>
    <w:rsid w:val="00FC446F"/>
    <w:rsid w:val="00FC79EF"/>
    <w:rsid w:val="00FD64A7"/>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B670"/>
  <w15:docId w15:val="{453B4431-F84B-49E4-941D-264FDB45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5C"/>
  </w:style>
  <w:style w:type="paragraph" w:styleId="Heading1">
    <w:name w:val="heading 1"/>
    <w:basedOn w:val="Normal"/>
    <w:next w:val="Normal"/>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3272"/>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2Indent">
    <w:name w:val="GPS L2 Indent"/>
    <w:basedOn w:val="GPSL2numberedclause"/>
    <w:link w:val="GPSL2IndentChar"/>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link w:val="GPSDefinitionL2Char"/>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pPr>
      <w:numPr>
        <w:ilvl w:val="2"/>
      </w:numPr>
      <w:tabs>
        <w:tab w:val="num" w:pos="360"/>
      </w:tabs>
    </w:pPr>
  </w:style>
  <w:style w:type="paragraph" w:customStyle="1" w:styleId="GPSDefinitionL4">
    <w:name w:val="GPS Definition L4"/>
    <w:basedOn w:val="GPSDefinitionL3"/>
    <w:pPr>
      <w:numPr>
        <w:ilvl w:val="3"/>
      </w:numPr>
      <w:tabs>
        <w:tab w:val="num" w:pos="360"/>
        <w:tab w:val="num" w:pos="2160"/>
      </w:tabs>
    </w:pPr>
  </w:style>
  <w:style w:type="paragraph" w:customStyle="1" w:styleId="GPSL2Guidance">
    <w:name w:val="GPS L2 Guidance"/>
    <w:basedOn w:val="GPSL2numberedclause"/>
    <w:link w:val="GPSL2GuidanceChar"/>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ind w:left="360"/>
      <w:outlineLvl w:val="9"/>
    </w:pPr>
    <w:rPr>
      <w:rFonts w:ascii="Arial" w:hAnsi="Arial"/>
      <w:caps w:val="0"/>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pPr>
      <w:tabs>
        <w:tab w:val="left" w:pos="1134"/>
      </w:tabs>
      <w:adjustRightInd w:val="0"/>
      <w:spacing w:before="120" w:after="120" w:line="240" w:lineRule="auto"/>
      <w:ind w:left="644" w:hanging="218"/>
      <w:jc w:val="both"/>
    </w:pPr>
    <w:rPr>
      <w:rFonts w:eastAsia="Times New Roman"/>
      <w:b/>
      <w:lang w:eastAsia="zh-CN"/>
    </w:rPr>
  </w:style>
  <w:style w:type="paragraph" w:customStyle="1" w:styleId="GPSL1Guidance">
    <w:name w:val="GPS L1 Guidance"/>
    <w:basedOn w:val="Normal"/>
    <w:link w:val="GPSL1GuidanceChar"/>
    <w:pPr>
      <w:overflowPunct w:val="0"/>
      <w:autoSpaceDE w:val="0"/>
      <w:autoSpaceDN w:val="0"/>
      <w:adjustRightInd w:val="0"/>
      <w:spacing w:before="240" w:after="120" w:line="240" w:lineRule="auto"/>
      <w:ind w:left="426"/>
      <w:jc w:val="both"/>
      <w:textAlignment w:val="baseline"/>
    </w:pPr>
    <w:rPr>
      <w:rFonts w:eastAsia="Times New Roman"/>
      <w:b/>
      <w:i/>
    </w:rPr>
  </w:style>
  <w:style w:type="paragraph" w:customStyle="1" w:styleId="GPSL2GuidanceNumbered">
    <w:name w:val="GPS L2 Guidance Numbered"/>
    <w:basedOn w:val="Normal"/>
    <w:link w:val="GPSL2GuidanceNumberedChar"/>
    <w:pPr>
      <w:tabs>
        <w:tab w:val="num" w:pos="720"/>
        <w:tab w:val="left" w:pos="1418"/>
      </w:tabs>
      <w:adjustRightInd w:val="0"/>
      <w:spacing w:before="120" w:after="120" w:line="240" w:lineRule="auto"/>
      <w:ind w:left="720" w:hanging="720"/>
      <w:jc w:val="both"/>
    </w:pPr>
    <w:rPr>
      <w:rFonts w:eastAsia="Times New Roman"/>
      <w:b/>
      <w:i/>
      <w:lang w:eastAsia="zh-CN"/>
    </w:rPr>
  </w:style>
  <w:style w:type="paragraph" w:customStyle="1" w:styleId="GPSL3Guidance">
    <w:name w:val="GPS L3 Guidance"/>
    <w:basedOn w:val="GPSL3numberedclause"/>
    <w:link w:val="GPSL3GuidanceChar"/>
    <w:pPr>
      <w:numPr>
        <w:ilvl w:val="0"/>
        <w:numId w:val="0"/>
      </w:numPr>
      <w:tabs>
        <w:tab w:val="clear" w:pos="2127"/>
      </w:tabs>
      <w:ind w:left="1985"/>
    </w:pPr>
    <w:rPr>
      <w:b/>
      <w:i/>
    </w:rPr>
  </w:style>
  <w:style w:type="paragraph" w:customStyle="1" w:styleId="GPSmacrorestart">
    <w:name w:val="GPS macro restart"/>
    <w:basedOn w:val="Normal"/>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SchPart">
    <w:name w:val="GPS Sch Part"/>
    <w:basedOn w:val="GPSSchAnnexname"/>
    <w:link w:val="GPSSchPartChar"/>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0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9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8R25Sc0n1sPox4EkAdK8Mn8yVw==">AMUW2mWmbAEBcV3UTMvL/qSlY+O5Hm78CimZNQld528v0Kd0CBS8fJZ4P//A/P1DYiTJbmMLtMnKC+QJbZSL5Z8/0+h2QVA71BqEGk/6W1Eq8kzi6zujfEsKjUd0SygTezGVOY5CqJHbmxG1EerrC8hfQCxYI9se1A9LTyq/Qp7EHUXHhNqMbXSGt+exhp19Vh0jOTaELY9+2VJ0j/TLjX7k+LSPeo+Si51Ri7gvaTqQCArd6zCJeQI=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279D23-F0DD-4C46-B3FD-4FD0AC40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Jordan Hill</cp:lastModifiedBy>
  <cp:revision>33</cp:revision>
  <dcterms:created xsi:type="dcterms:W3CDTF">2024-05-21T13:37:00Z</dcterms:created>
  <dcterms:modified xsi:type="dcterms:W3CDTF">2025-05-10T15:04:00Z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