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bookmarkStart w:colFirst="0" w:colLast="0" w:name="_gjdgxs" w:id="0"/>
      <w:bookmarkEnd w:id="0"/>
      <w:r w:rsidDel="00000000" w:rsidR="00000000" w:rsidRPr="00000000">
        <w:rPr>
          <w:rFonts w:ascii="Arial" w:cs="Arial" w:eastAsia="Arial" w:hAnsi="Arial"/>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Relevant Convictions</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134"/>
          <w:tab w:val="left" w:leader="none" w:pos="2127"/>
        </w:tabs>
        <w:spacing w:after="120" w:before="120" w:line="240" w:lineRule="auto"/>
        <w:ind w:left="2127" w:hanging="993"/>
        <w:rPr/>
      </w:pPr>
      <w:bookmarkStart w:colFirst="0" w:colLast="0" w:name="_30j0zll" w:id="1"/>
      <w:bookmarkEnd w:id="1"/>
      <w:r w:rsidDel="00000000" w:rsidR="00000000" w:rsidRPr="00000000">
        <w:rPr>
          <w:rFonts w:ascii="Arial" w:cs="Arial" w:eastAsia="Arial" w:hAnsi="Arial"/>
          <w:color w:val="000000"/>
          <w:sz w:val="24"/>
          <w:szCs w:val="24"/>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134"/>
          <w:tab w:val="left" w:leader="none" w:pos="2127"/>
        </w:tabs>
        <w:spacing w:after="120" w:before="120" w:line="240" w:lineRule="auto"/>
        <w:ind w:left="2127" w:hanging="993"/>
        <w:rPr/>
      </w:pPr>
      <w:r w:rsidDel="00000000" w:rsidR="00000000" w:rsidRPr="00000000">
        <w:rPr>
          <w:rFonts w:ascii="Arial" w:cs="Arial" w:eastAsia="Arial" w:hAnsi="Arial"/>
          <w:color w:val="000000"/>
          <w:sz w:val="24"/>
          <w:szCs w:val="24"/>
          <w:rtl w:val="0"/>
        </w:rPr>
        <w:t xml:space="preserve">Notwithstanding Paragraph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carry out a check with the records held by the Department for Education (DfE);</w:t>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conduct thorough questioning regarding any Relevant Convictions; and</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127"/>
        </w:tabs>
        <w:spacing w:after="120" w:before="120" w:line="240" w:lineRule="auto"/>
        <w:ind w:left="212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127"/>
        </w:tabs>
        <w:spacing w:after="120" w:before="120" w:line="240" w:lineRule="auto"/>
        <w:ind w:left="212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2127"/>
        </w:tabs>
        <w:spacing w:after="0" w:before="120" w:line="240" w:lineRule="auto"/>
        <w:ind w:left="720" w:hanging="720"/>
        <w:rPr/>
      </w:pPr>
      <w:r w:rsidDel="00000000" w:rsidR="00000000" w:rsidRPr="00000000">
        <w:rPr>
          <w:rFonts w:ascii="Arial" w:cs="Arial" w:eastAsia="Arial" w:hAnsi="Arial"/>
          <w:sz w:val="24"/>
          <w:szCs w:val="24"/>
          <w:rtl w:val="0"/>
        </w:rPr>
        <w:t xml:space="preserve">Supplier Requirements</w:t>
      </w:r>
      <w:r w:rsidDel="00000000" w:rsidR="00000000" w:rsidRPr="00000000">
        <w:rPr>
          <w:rtl w:val="0"/>
        </w:rPr>
      </w:r>
    </w:p>
    <w:p w:rsidR="00000000" w:rsidDel="00000000" w:rsidP="00000000" w:rsidRDefault="00000000" w:rsidRPr="00000000" w14:paraId="0000000F">
      <w:pPr>
        <w:numPr>
          <w:ilvl w:val="1"/>
          <w:numId w:val="1"/>
        </w:numPr>
        <w:spacing w:after="0" w:lineRule="auto"/>
        <w:ind w:left="1440" w:hanging="720"/>
        <w:rPr/>
      </w:pPr>
      <w:r w:rsidDel="00000000" w:rsidR="00000000" w:rsidRPr="00000000">
        <w:rPr>
          <w:rFonts w:ascii="Arial" w:cs="Arial" w:eastAsia="Arial" w:hAnsi="Arial"/>
          <w:rtl w:val="0"/>
        </w:rPr>
        <w:t xml:space="preserve">Where specified in the Call Off Order, the supplier shall ensure that all relevant staff, including that of sub-contractors, meet the personnel standards as stipulated by the Buyer to carry out the required services. These standards may include but are not limited to: </w:t>
      </w:r>
    </w:p>
    <w:p w:rsidR="00000000" w:rsidDel="00000000" w:rsidP="00000000" w:rsidRDefault="00000000" w:rsidRPr="00000000" w14:paraId="00000010">
      <w:pPr>
        <w:numPr>
          <w:ilvl w:val="1"/>
          <w:numId w:val="1"/>
        </w:numPr>
        <w:spacing w:after="0" w:lineRule="auto"/>
        <w:ind w:left="1440" w:hanging="720"/>
        <w:rPr/>
      </w:pPr>
      <w:r w:rsidDel="00000000" w:rsidR="00000000" w:rsidRPr="00000000">
        <w:rPr>
          <w:rFonts w:ascii="Arial" w:cs="Arial" w:eastAsia="Arial" w:hAnsi="Arial"/>
          <w:rtl w:val="0"/>
        </w:rPr>
        <w:t xml:space="preserve">Have been subject to and satisfied a Disclosure and Barring (DBS), Disclosure Scotland, and/or AccessNI checks</w:t>
      </w:r>
    </w:p>
    <w:p w:rsidR="00000000" w:rsidDel="00000000" w:rsidP="00000000" w:rsidRDefault="00000000" w:rsidRPr="00000000" w14:paraId="00000011">
      <w:pPr>
        <w:numPr>
          <w:ilvl w:val="1"/>
          <w:numId w:val="1"/>
        </w:numPr>
        <w:spacing w:after="0" w:lineRule="auto"/>
        <w:ind w:left="1440" w:hanging="720"/>
        <w:rPr/>
      </w:pPr>
      <w:r w:rsidDel="00000000" w:rsidR="00000000" w:rsidRPr="00000000">
        <w:rPr>
          <w:rFonts w:ascii="Arial" w:cs="Arial" w:eastAsia="Arial" w:hAnsi="Arial"/>
          <w:rtl w:val="0"/>
        </w:rPr>
        <w:t xml:space="preserve">Have been subject to and satisfied Immigration and Right to Work checks</w:t>
      </w:r>
    </w:p>
    <w:p w:rsidR="00000000" w:rsidDel="00000000" w:rsidP="00000000" w:rsidRDefault="00000000" w:rsidRPr="00000000" w14:paraId="00000012">
      <w:pPr>
        <w:numPr>
          <w:ilvl w:val="1"/>
          <w:numId w:val="1"/>
        </w:numPr>
        <w:spacing w:after="0" w:lineRule="auto"/>
        <w:ind w:left="1440" w:hanging="720"/>
        <w:rPr/>
      </w:pPr>
      <w:r w:rsidDel="00000000" w:rsidR="00000000" w:rsidRPr="00000000">
        <w:rPr>
          <w:rFonts w:ascii="Arial" w:cs="Arial" w:eastAsia="Arial" w:hAnsi="Arial"/>
          <w:rtl w:val="0"/>
        </w:rPr>
        <w:t xml:space="preserve">Hold SC and/or DV security clearance</w:t>
      </w:r>
    </w:p>
    <w:p w:rsidR="00000000" w:rsidDel="00000000" w:rsidP="00000000" w:rsidRDefault="00000000" w:rsidRPr="00000000" w14:paraId="00000013">
      <w:pPr>
        <w:rPr>
          <w:rFonts w:ascii="Arial" w:cs="Arial" w:eastAsia="Arial" w:hAnsi="Arial"/>
          <w:b w:val="1"/>
          <w:smallCaps w:val="1"/>
          <w:sz w:val="20"/>
          <w:szCs w:val="20"/>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14">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5">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v3.1</w:t>
    </w:r>
    <w:bookmarkStart w:colFirst="0" w:colLast="0" w:name="3znysh7" w:id="3"/>
    <w:bookmarkEnd w:id="3"/>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18 (Background Checks)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lowerLetter"/>
      <w:lvlText w:val="%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lowerRoman"/>
      <w:lvlText w:val="%3."/>
      <w:lvlJc w:val="right"/>
      <w:pPr>
        <w:ind w:left="1996" w:hanging="720"/>
      </w:pPr>
      <w:rPr>
        <w:rFonts w:ascii="Arial" w:cs="Arial" w:eastAsia="Arial" w:hAnsi="Arial"/>
        <w:b w:val="0"/>
        <w:i w:val="0"/>
        <w:smallCaps w:val="0"/>
        <w:strike w:val="0"/>
        <w:color w:val="000000"/>
        <w:sz w:val="24"/>
        <w:szCs w:val="24"/>
        <w:u w:val="none"/>
        <w:vertAlign w:val="baseline"/>
      </w:rPr>
    </w:lvl>
    <w:lvl w:ilvl="3">
      <w:start w:val="1"/>
      <w:numFmt w:val="decimal"/>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Letter"/>
      <w:lvlText w:val="%5."/>
      <w:lvlJc w:val="left"/>
      <w:pPr>
        <w:ind w:left="3600" w:hanging="720"/>
      </w:pPr>
      <w:rPr>
        <w:b w:val="0"/>
        <w:i w:val="0"/>
        <w:smallCaps w:val="0"/>
        <w:strike w:val="0"/>
        <w:u w:val="none"/>
        <w:vertAlign w:val="baseline"/>
      </w:rPr>
    </w:lvl>
    <w:lvl w:ilvl="5">
      <w:start w:val="1"/>
      <w:numFmt w:val="lowerRoman"/>
      <w:lvlText w:val="%6."/>
      <w:lvlJc w:val="right"/>
      <w:pPr>
        <w:ind w:left="1440" w:hanging="1080"/>
      </w:pPr>
      <w:rPr>
        <w:b w:val="0"/>
        <w:i w:val="0"/>
        <w:smallCaps w:val="0"/>
        <w:strike w:val="0"/>
        <w:u w:val="none"/>
        <w:vertAlign w:val="baseline"/>
      </w:rPr>
    </w:lvl>
    <w:lvl w:ilvl="6">
      <w:start w:val="1"/>
      <w:numFmt w:val="decimal"/>
      <w:lvlText w:val="%7."/>
      <w:lvlJc w:val="left"/>
      <w:pPr>
        <w:ind w:left="1800" w:hanging="1440"/>
      </w:pPr>
      <w:rPr/>
    </w:lvl>
    <w:lvl w:ilvl="7">
      <w:start w:val="1"/>
      <w:numFmt w:val="lowerLetter"/>
      <w:lvlText w:val="%8."/>
      <w:lvlJc w:val="left"/>
      <w:pPr>
        <w:ind w:left="1800" w:hanging="1440"/>
      </w:pPr>
      <w:rPr/>
    </w:lvl>
    <w:lvl w:ilvl="8">
      <w:start w:val="1"/>
      <w:numFmt w:val="lowerRoman"/>
      <w:lvlText w:val="%9."/>
      <w:lvlJc w:val="righ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