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6 (ICT Services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201.0" w:type="dxa"/>
        <w:jc w:val="left"/>
        <w:tblInd w:w="71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741"/>
        <w:gridCol w:w="5460"/>
        <w:tblGridChange w:id="0">
          <w:tblGrid>
            <w:gridCol w:w="2741"/>
            <w:gridCol w:w="5460"/>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 Property" </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property, other than real property and IPR, including the Buyer System, any equipment issued or made available to the Supplier by the Buyer in connection with this Contract;</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 Software"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which is owned by or licensed to the Buyer and which is or will be used by the Supplier for the purposes of providing the Deliverables;</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 System"</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“Commercial off the shelf Software” or “COTS Software”</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"Defect"</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240" w:lineRule="auto"/>
              <w:ind w:left="17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of the following: </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error, damage or defect in the manufacturing of a Deliverable; or</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error or failure of code within the Software which causes a Deliverable to malfunction or to produce unintelligible or incorrect results; or</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bookmarkStart w:colFirst="0" w:colLast="0" w:name="_heading=h.1pxezwc" w:id="2"/>
            <w:bookmarkEnd w:id="2"/>
            <w:r w:rsidDel="00000000" w:rsidR="00000000" w:rsidRPr="00000000">
              <w:rPr>
                <w:rtl w:val="0"/>
              </w:rPr>
            </w:r>
          </w:p>
        </w:tc>
        <w:tc>
          <w:tcPr/>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342" w:hanging="34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"Emergency Maintenance"</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"ICT Environment"</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System and the Supplier System;</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"Licensed Software"</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and any Software licensed by or through the Supplier, its Sub-Contractors or any third party to the Buyer for the purposes of or pursuant to this Call Off Contract, including any COTS Software;</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Schedule"</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 of this Schedule;</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"Malicious Software"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"New Release"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New Release may incorporate the correct of any defects present in the Software and/or Deliverable, on condition that it does not constitute a complete overhaul or replacement of the existing Online Booking Solution, and maintains adherence to the predetermined and primary purpose for which the item was originally intended. </w:t>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“Online Booking Solution”</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digital platform, system or Software application that enables the Buyer and its users to arrange, schedule, reserve or purchase Travel services or accommodations over the internet without the need for direct human intervention. </w:t>
            </w:r>
            <w:r w:rsidDel="00000000" w:rsidR="00000000" w:rsidRPr="00000000">
              <w:rPr>
                <w:rtl w:val="0"/>
              </w:rPr>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"Open Source Software"</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34"/>
              </w:tabs>
              <w:spacing w:after="120" w:before="120" w:line="276"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“Open Standards”</w:t>
            </w:r>
          </w:p>
        </w:tc>
        <w:tc>
          <w:tcPr>
            <w:tcBorders>
              <w:top w:color="000000" w:space="0" w:sz="8" w:val="single"/>
              <w:left w:color="000000" w:space="0" w:sz="8" w:val="single"/>
              <w:bottom w:color="000000" w:space="0" w:sz="8" w:val="single"/>
              <w:right w:color="000000" w:space="0" w:sz="8" w:val="single"/>
            </w:tcBorders>
            <w:tcMar>
              <w:left w:w="100.0" w:type="dxa"/>
              <w:right w:w="10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134"/>
              </w:tabs>
              <w:spacing w:after="120" w:before="120" w:line="276" w:lineRule="auto"/>
              <w:ind w:right="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Open Standards definition -  means those applicable UK Government Open Standards Principles as documented at https://www.gov.uk/government/publications/open-standards-principles/open-standards-principles, as they relate to the specification of standards for software interoperability, data and document formats in the IT Environment;</w:t>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Environment"</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28">
            <w:pPr>
              <w:numPr>
                <w:ilvl w:val="1"/>
                <w:numId w:val="4"/>
              </w:numPr>
              <w:pBdr>
                <w:top w:space="0" w:sz="0" w:val="nil"/>
                <w:left w:space="0" w:sz="0" w:val="nil"/>
                <w:bottom w:space="0" w:sz="0" w:val="nil"/>
                <w:right w:space="0" w:sz="0" w:val="nil"/>
                <w:between w:space="0" w:sz="0" w:val="nil"/>
              </w:pBdr>
              <w:tabs>
                <w:tab w:val="left" w:leader="none" w:pos="144"/>
                <w:tab w:val="left" w:leader="none" w:pos="342"/>
              </w:tabs>
              <w:spacing w:after="120" w:line="240" w:lineRule="auto"/>
              <w:ind w:left="342"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are (or are to be) provided; or </w:t>
            </w:r>
          </w:p>
          <w:p w:rsidR="00000000" w:rsidDel="00000000" w:rsidP="00000000" w:rsidRDefault="00000000" w:rsidRPr="00000000" w14:paraId="00000029">
            <w:pPr>
              <w:numPr>
                <w:ilvl w:val="1"/>
                <w:numId w:val="4"/>
              </w:numPr>
              <w:pBdr>
                <w:top w:space="0" w:sz="0" w:val="nil"/>
                <w:left w:space="0" w:sz="0" w:val="nil"/>
                <w:bottom w:space="0" w:sz="0" w:val="nil"/>
                <w:right w:space="0" w:sz="0" w:val="nil"/>
                <w:between w:space="0" w:sz="0" w:val="nil"/>
              </w:pBdr>
              <w:tabs>
                <w:tab w:val="left" w:leader="none" w:pos="144"/>
                <w:tab w:val="left" w:leader="none" w:pos="342"/>
              </w:tabs>
              <w:spacing w:after="120" w:line="240" w:lineRule="auto"/>
              <w:ind w:left="342"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 or</w:t>
            </w:r>
          </w:p>
          <w:p w:rsidR="00000000" w:rsidDel="00000000" w:rsidP="00000000" w:rsidRDefault="00000000" w:rsidRPr="00000000" w14:paraId="0000002A">
            <w:pPr>
              <w:numPr>
                <w:ilvl w:val="1"/>
                <w:numId w:val="4"/>
              </w:numPr>
              <w:pBdr>
                <w:top w:space="0" w:sz="0" w:val="nil"/>
                <w:left w:space="0" w:sz="0" w:val="nil"/>
                <w:bottom w:space="0" w:sz="0" w:val="nil"/>
                <w:right w:space="0" w:sz="0" w:val="nil"/>
                <w:between w:space="0" w:sz="0" w:val="nil"/>
              </w:pBdr>
              <w:tabs>
                <w:tab w:val="left" w:leader="none" w:pos="144"/>
                <w:tab w:val="left" w:leader="none" w:pos="342"/>
              </w:tabs>
              <w:spacing w:after="120" w:line="240" w:lineRule="auto"/>
              <w:ind w:left="342"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any part of the Supplier System is situated;</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"Permitted Maintenance"</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 of this Schedule;</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"Quality Plans"</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6.1 of this Schedule;</w:t>
            </w:r>
          </w:p>
        </w:tc>
      </w:tr>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"Sites"</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Joint Schedule 1(Definitions), and for the purposes of this Call Off Schedule shall also include any premises from, to or at which physical interface with the Buyer System takes place;</w:t>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"Software"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Specially Written Software COTS Software and non-COTS Supplier and Third Party Software;</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"Software Supporting Materials"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9.1 of this Schedule;</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"Source Code"</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"Specially Written Software"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System"</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trPr>
          <w:cantSplit w:val="0"/>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Third Party Software</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software which is proprietary to any third party (other than an Affiliate of the Supplier) or any Open Source Software which in any case is, will be or is proposed to be used by the Supplier for the purposes of providing the Services</w:t>
            </w:r>
          </w:p>
        </w:tc>
      </w:tr>
    </w:tbl>
    <w:p w:rsidR="00000000" w:rsidDel="00000000" w:rsidP="00000000" w:rsidRDefault="00000000" w:rsidRPr="00000000" w14:paraId="0000003D">
      <w:pPr>
        <w:rPr>
          <w:rFonts w:ascii="Arial Bold" w:cs="Arial Bold" w:eastAsia="Arial Bold" w:hAnsi="Arial Bold"/>
          <w:b w:val="1"/>
          <w:color w:val="000000"/>
          <w:sz w:val="24"/>
          <w:szCs w:val="24"/>
        </w:rPr>
      </w:pPr>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Bold" w:cs="Arial Bold" w:eastAsia="Arial Bold" w:hAnsi="Arial Bold"/>
          <w:b w:val="1"/>
          <w:color w:val="000000"/>
          <w:sz w:val="24"/>
          <w:szCs w:val="24"/>
          <w:rtl w:val="0"/>
        </w:rPr>
        <w:t xml:space="preserve">hen this Schedule should be used</w:t>
      </w:r>
    </w:p>
    <w:p w:rsidR="00000000" w:rsidDel="00000000" w:rsidP="00000000" w:rsidRDefault="00000000" w:rsidRPr="00000000" w14:paraId="0000003E">
      <w:pPr>
        <w:keepNext w:val="1"/>
        <w:keepLines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3F">
      <w:pPr>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Buyer due diligence requirements </w:t>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spacing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satisfy itself of all relevant details, including but not limited to, details relating to the following;</w:t>
      </w:r>
    </w:p>
    <w:p w:rsidR="00000000" w:rsidDel="00000000" w:rsidP="00000000" w:rsidRDefault="00000000" w:rsidRPr="00000000" w14:paraId="00000041">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bookmarkStart w:colFirst="0" w:colLast="0" w:name="_heading=h.1fob9te" w:id="3"/>
      <w:bookmarkEnd w:id="3"/>
      <w:r w:rsidDel="00000000" w:rsidR="00000000" w:rsidRPr="00000000">
        <w:rPr>
          <w:rFonts w:ascii="Arial" w:cs="Arial" w:eastAsia="Arial" w:hAnsi="Arial"/>
          <w:color w:val="000000"/>
          <w:sz w:val="24"/>
          <w:szCs w:val="24"/>
          <w:rtl w:val="0"/>
        </w:rPr>
        <w:t xml:space="preserve">suitability of the existing and (to the extent that it is defined or reasonably foreseeable at the Start Date) future Operating Environment; </w:t>
      </w:r>
    </w:p>
    <w:p w:rsidR="00000000" w:rsidDel="00000000" w:rsidP="00000000" w:rsidRDefault="00000000" w:rsidRPr="00000000" w14:paraId="00000042">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processes and procedures and the working methods of the Buyer; </w:t>
      </w:r>
    </w:p>
    <w:p w:rsidR="00000000" w:rsidDel="00000000" w:rsidP="00000000" w:rsidRDefault="00000000" w:rsidRPr="00000000" w14:paraId="00000043">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ownership, functionality, capacity, condition and suitability for use in the provision of the Deliverables of the Buyer Assets; and</w:t>
      </w:r>
    </w:p>
    <w:p w:rsidR="00000000" w:rsidDel="00000000" w:rsidP="00000000" w:rsidRDefault="00000000" w:rsidRPr="00000000" w14:paraId="00000044">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confirms that it has advised the Buyer in writing of:</w:t>
      </w:r>
    </w:p>
    <w:p w:rsidR="00000000" w:rsidDel="00000000" w:rsidP="00000000" w:rsidRDefault="00000000" w:rsidRPr="00000000" w14:paraId="00000046">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aspect, if any, of the Operating Environment that is not suitable for the provision of the ICT Services;</w:t>
      </w:r>
    </w:p>
    <w:p w:rsidR="00000000" w:rsidDel="00000000" w:rsidP="00000000" w:rsidRDefault="00000000" w:rsidRPr="00000000" w14:paraId="00000047">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actions needed to remedy each such unsuitable aspect; and</w:t>
      </w:r>
    </w:p>
    <w:p w:rsidR="00000000" w:rsidDel="00000000" w:rsidP="00000000" w:rsidRDefault="00000000" w:rsidRPr="00000000" w14:paraId="00000048">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and the costs of those actions.</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Licensed software warranty</w:t>
      </w:r>
    </w:p>
    <w:p w:rsidR="00000000" w:rsidDel="00000000" w:rsidP="00000000" w:rsidRDefault="00000000" w:rsidRPr="00000000" w14:paraId="0000004A">
      <w:pPr>
        <w:numPr>
          <w:ilvl w:val="1"/>
          <w:numId w:val="3"/>
        </w:numPr>
        <w:pBdr>
          <w:top w:space="0" w:sz="0" w:val="nil"/>
          <w:left w:space="0" w:sz="0" w:val="nil"/>
          <w:bottom w:space="0" w:sz="0" w:val="nil"/>
          <w:right w:space="0" w:sz="0" w:val="nil"/>
          <w:between w:space="0" w:sz="0" w:val="nil"/>
        </w:pBdr>
        <w:tabs>
          <w:tab w:val="left" w:leader="none" w:pos="1134"/>
        </w:tabs>
        <w:spacing w:line="240" w:lineRule="auto"/>
        <w:ind w:left="936" w:hanging="576"/>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4B">
      <w:pPr>
        <w:numPr>
          <w:ilvl w:val="2"/>
          <w:numId w:val="3"/>
        </w:numPr>
        <w:spacing w:line="240" w:lineRule="auto"/>
        <w:ind w:left="1656" w:hanging="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4C">
      <w:pPr>
        <w:numPr>
          <w:ilvl w:val="2"/>
          <w:numId w:val="3"/>
        </w:numPr>
        <w:tabs>
          <w:tab w:val="left" w:leader="none" w:pos="1134"/>
        </w:tabs>
        <w:spacing w:after="120" w:before="120" w:line="240" w:lineRule="auto"/>
        <w:ind w:left="1656" w:hanging="720"/>
        <w:jc w:val="left"/>
        <w:rPr>
          <w:rFonts w:ascii="Arial" w:cs="Arial" w:eastAsia="Arial" w:hAnsi="Arial"/>
          <w:sz w:val="24"/>
          <w:szCs w:val="24"/>
        </w:rPr>
      </w:pPr>
      <w:bookmarkStart w:colFirst="0" w:colLast="0" w:name="_heading=h.7u14dughntyz" w:id="4"/>
      <w:bookmarkEnd w:id="4"/>
      <w:r w:rsidDel="00000000" w:rsidR="00000000" w:rsidRPr="00000000">
        <w:rPr>
          <w:rFonts w:ascii="Arial" w:cs="Arial" w:eastAsia="Arial" w:hAnsi="Arial"/>
          <w:rtl w:val="0"/>
        </w:rPr>
        <w:t xml:space="preserve">the Supplier System software IPR does not infringe on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IPR and indemnifies the Buyer for any claims by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parties</w:t>
      </w:r>
    </w:p>
    <w:p w:rsidR="00000000" w:rsidDel="00000000" w:rsidP="00000000" w:rsidRDefault="00000000" w:rsidRPr="00000000" w14:paraId="0000004D">
      <w:pPr>
        <w:numPr>
          <w:ilvl w:val="2"/>
          <w:numId w:val="3"/>
        </w:numPr>
        <w:tabs>
          <w:tab w:val="left" w:leader="none" w:pos="1134"/>
        </w:tabs>
        <w:spacing w:before="240" w:line="240" w:lineRule="auto"/>
        <w:ind w:left="1656" w:hanging="720"/>
        <w:jc w:val="left"/>
        <w:rPr>
          <w:rFonts w:ascii="Arial" w:cs="Arial" w:eastAsia="Arial" w:hAnsi="Arial"/>
        </w:rPr>
      </w:pPr>
      <w:bookmarkStart w:colFirst="0" w:colLast="0" w:name="_heading=h.kv5j1md6n09m" w:id="5"/>
      <w:bookmarkEnd w:id="5"/>
      <w:r w:rsidDel="00000000" w:rsidR="00000000" w:rsidRPr="00000000">
        <w:rPr>
          <w:rFonts w:ascii="Arial" w:cs="Arial" w:eastAsia="Arial" w:hAnsi="Arial"/>
          <w:rtl w:val="0"/>
        </w:rPr>
        <w:t xml:space="preserve">the Supplier System software  contains no viruses or vulnerabilities and will introduce none to the Buyer’s own IT systems.</w:t>
      </w:r>
      <w:r w:rsidDel="00000000" w:rsidR="00000000" w:rsidRPr="00000000">
        <w:rPr>
          <w:rtl w:val="0"/>
        </w:rPr>
      </w:r>
    </w:p>
    <w:p w:rsidR="00000000" w:rsidDel="00000000" w:rsidP="00000000" w:rsidRDefault="00000000" w:rsidRPr="00000000" w14:paraId="0000004E">
      <w:pPr>
        <w:numPr>
          <w:ilvl w:val="2"/>
          <w:numId w:val="3"/>
        </w:numPr>
        <w:tabs>
          <w:tab w:val="left" w:leader="none" w:pos="1985"/>
          <w:tab w:val="left" w:leader="none" w:pos="2127"/>
        </w:tabs>
        <w:spacing w:before="240" w:line="240" w:lineRule="auto"/>
        <w:ind w:left="1656" w:hanging="720"/>
        <w:jc w:val="left"/>
        <w:rPr>
          <w:rFonts w:ascii="Arial" w:cs="Arial" w:eastAsia="Arial" w:hAnsi="Arial"/>
        </w:rPr>
      </w:pPr>
      <w:bookmarkStart w:colFirst="0" w:colLast="0" w:name="_heading=h.kv5j1md6n09m" w:id="5"/>
      <w:bookmarkEnd w:id="5"/>
      <w:r w:rsidDel="00000000" w:rsidR="00000000" w:rsidRPr="00000000">
        <w:rPr>
          <w:rFonts w:ascii="Arial" w:cs="Arial" w:eastAsia="Arial" w:hAnsi="Arial"/>
          <w:color w:val="000000"/>
          <w:sz w:val="24"/>
          <w:szCs w:val="24"/>
          <w:rtl w:val="0"/>
        </w:rPr>
        <w:t xml:space="preserve">all components of the Software shall:</w:t>
      </w:r>
      <w:r w:rsidDel="00000000" w:rsidR="00000000" w:rsidRPr="00000000">
        <w:rPr>
          <w:rtl w:val="0"/>
        </w:rPr>
      </w:r>
    </w:p>
    <w:p w:rsidR="00000000" w:rsidDel="00000000" w:rsidP="00000000" w:rsidRDefault="00000000" w:rsidRPr="00000000" w14:paraId="0000004F">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free from material design and programming errors;</w:t>
      </w:r>
    </w:p>
    <w:p w:rsidR="00000000" w:rsidDel="00000000" w:rsidP="00000000" w:rsidRDefault="00000000" w:rsidRPr="00000000" w14:paraId="00000050">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perform in all material respects in accordance with the relevant specifications contained in Call Off Schedule 14 (Service Levels) and Documentation; and</w:t>
      </w:r>
    </w:p>
    <w:p w:rsidR="00000000" w:rsidDel="00000000" w:rsidP="00000000" w:rsidRDefault="00000000" w:rsidRPr="00000000" w14:paraId="00000051">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infringe any IPR.</w:t>
      </w:r>
    </w:p>
    <w:p w:rsidR="00000000" w:rsidDel="00000000" w:rsidP="00000000" w:rsidRDefault="00000000" w:rsidRPr="00000000" w14:paraId="00000052">
      <w:pPr>
        <w:numPr>
          <w:ilvl w:val="2"/>
          <w:numId w:val="3"/>
        </w:numPr>
        <w:pBdr>
          <w:top w:space="0" w:sz="0" w:val="nil"/>
          <w:left w:space="0" w:sz="0" w:val="nil"/>
          <w:bottom w:space="0" w:sz="0" w:val="nil"/>
          <w:right w:space="0" w:sz="0" w:val="nil"/>
          <w:between w:space="0" w:sz="0" w:val="nil"/>
        </w:pBdr>
        <w:tabs>
          <w:tab w:val="left" w:leader="none" w:pos="851"/>
        </w:tabs>
        <w:spacing w:line="240" w:lineRule="auto"/>
        <w:ind w:left="1656"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Software shall not contain any defects, Malicious Software or Vulnerabilities;</w:t>
      </w:r>
      <w:r w:rsidDel="00000000" w:rsidR="00000000" w:rsidRPr="00000000">
        <w:rPr>
          <w:rtl w:val="0"/>
        </w:rPr>
      </w:r>
    </w:p>
    <w:p w:rsidR="00000000" w:rsidDel="00000000" w:rsidP="00000000" w:rsidRDefault="00000000" w:rsidRPr="00000000" w14:paraId="00000053">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it shall not introduce any Malicious Software or Vulnerabilities into the Buyer’s System;</w:t>
      </w:r>
      <w:r w:rsidDel="00000000" w:rsidR="00000000" w:rsidRPr="00000000">
        <w:rPr>
          <w:rtl w:val="0"/>
        </w:rPr>
      </w:r>
    </w:p>
    <w:p w:rsidR="00000000" w:rsidDel="00000000" w:rsidP="00000000" w:rsidRDefault="00000000" w:rsidRPr="00000000" w14:paraId="00000054">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Third-Party Software and COTS Software shall be installed by reasonably competent engineers and shall:</w:t>
      </w:r>
      <w:r w:rsidDel="00000000" w:rsidR="00000000" w:rsidRPr="00000000">
        <w:rPr>
          <w:rtl w:val="0"/>
        </w:rPr>
      </w:r>
    </w:p>
    <w:p w:rsidR="00000000" w:rsidDel="00000000" w:rsidP="00000000" w:rsidRDefault="00000000" w:rsidRPr="00000000" w14:paraId="00000055">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be suitable for the Buyer’s requirements in accordance with the Specification or as otherwise notified by the Buyer;</w:t>
      </w:r>
      <w:r w:rsidDel="00000000" w:rsidR="00000000" w:rsidRPr="00000000">
        <w:rPr>
          <w:rtl w:val="0"/>
        </w:rPr>
      </w:r>
    </w:p>
    <w:p w:rsidR="00000000" w:rsidDel="00000000" w:rsidP="00000000" w:rsidRDefault="00000000" w:rsidRPr="00000000" w14:paraId="00000056">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be compatible with the Specially Written Software such as to enable the Supplier to properly deliver the Services; and </w:t>
      </w:r>
      <w:r w:rsidDel="00000000" w:rsidR="00000000" w:rsidRPr="00000000">
        <w:rPr>
          <w:rtl w:val="0"/>
        </w:rPr>
      </w:r>
    </w:p>
    <w:p w:rsidR="00000000" w:rsidDel="00000000" w:rsidP="00000000" w:rsidRDefault="00000000" w:rsidRPr="00000000" w14:paraId="00000057">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introduce Malicious Software or Vulnerabilities onto the Software or the Buyer’s System. </w:t>
      </w:r>
      <w:r w:rsidDel="00000000" w:rsidR="00000000" w:rsidRPr="00000000">
        <w:rPr>
          <w:rtl w:val="0"/>
        </w:rPr>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851"/>
        </w:tabs>
        <w:spacing w:line="240" w:lineRule="auto"/>
        <w:ind w:left="1656"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respect of New Releases:</w:t>
      </w:r>
      <w:r w:rsidDel="00000000" w:rsidR="00000000" w:rsidRPr="00000000">
        <w:rPr>
          <w:rtl w:val="0"/>
        </w:rPr>
      </w:r>
    </w:p>
    <w:p w:rsidR="00000000" w:rsidDel="00000000" w:rsidP="00000000" w:rsidRDefault="00000000" w:rsidRPr="00000000" w14:paraId="00000059">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 New Release issued by the Supplier shall adversely and materially affect the performance or functionality of the Software or introduce Malicious Software or Vulnerabilities into the Software or the Buyer’s System;</w:t>
      </w:r>
      <w:r w:rsidDel="00000000" w:rsidR="00000000" w:rsidRPr="00000000">
        <w:rPr>
          <w:rtl w:val="0"/>
        </w:rPr>
      </w:r>
    </w:p>
    <w:p w:rsidR="00000000" w:rsidDel="00000000" w:rsidP="00000000" w:rsidRDefault="00000000" w:rsidRPr="00000000" w14:paraId="0000005A">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each New Release so issued shall be compatible with the existing Software, the Buyer’s System and any other hardware, software and equipment used by the Buyer which is required to interface in any way with such New Release; and</w:t>
      </w:r>
      <w:r w:rsidDel="00000000" w:rsidR="00000000" w:rsidRPr="00000000">
        <w:rPr>
          <w:rtl w:val="0"/>
        </w:rPr>
      </w:r>
    </w:p>
    <w:p w:rsidR="00000000" w:rsidDel="00000000" w:rsidP="00000000" w:rsidRDefault="00000000" w:rsidRPr="00000000" w14:paraId="0000005B">
      <w:pPr>
        <w:numPr>
          <w:ilvl w:val="3"/>
          <w:numId w:val="3"/>
        </w:numPr>
        <w:pBdr>
          <w:top w:space="0" w:sz="0" w:val="nil"/>
          <w:left w:space="0" w:sz="0" w:val="nil"/>
          <w:bottom w:space="0" w:sz="0" w:val="nil"/>
          <w:right w:space="0" w:sz="0" w:val="nil"/>
          <w:between w:space="0" w:sz="0" w:val="nil"/>
        </w:pBdr>
        <w:tabs>
          <w:tab w:val="left" w:leader="none" w:pos="851"/>
        </w:tabs>
        <w:spacing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implementation of each New Release shall not necessitate the upgrading or replacement of any of the Buyer’s System, the Third Party Software or such other hardware, software and equipment which at the date of the issue of the New Release is interfacing with the earlier release.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134"/>
        </w:tabs>
        <w:spacing w:after="120" w:before="120" w:line="240" w:lineRule="auto"/>
        <w:ind w:left="29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ab/>
        <w:tab/>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Provision of ICT Services</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spacing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5F">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supply the Buyer with New Releases in machine-readable form together with related amendments to the Documentation no later than such New Releases are generally made available to the Supplier’s other customers. The Supplier may make such New Releases available for downloading over the internet and shall promptly notify the Buyer when such downloads are available.</w:t>
      </w:r>
    </w:p>
    <w:p w:rsidR="00000000" w:rsidDel="00000000" w:rsidP="00000000" w:rsidRDefault="00000000" w:rsidRPr="00000000" w14:paraId="00000060">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New Release of any Software in which the Supplier owns the IPR, or upgrade to any Software in which the Supplier owns the IPR complies with the interface requirements of the Buyer and (except in relation to new Software or upgrades which are released to address Malicious Software or Vulnerabilities) shall notify the Buyer not less than </w:t>
      </w:r>
      <w:r w:rsidDel="00000000" w:rsidR="00000000" w:rsidRPr="00000000">
        <w:rPr>
          <w:rFonts w:ascii="Arial" w:cs="Arial" w:eastAsia="Arial" w:hAnsi="Arial"/>
          <w:sz w:val="24"/>
          <w:szCs w:val="24"/>
          <w:rtl w:val="0"/>
        </w:rPr>
        <w:t xml:space="preserve">one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Months before the release of any new Software or </w:t>
      </w:r>
      <w:r w:rsidDel="00000000" w:rsidR="00000000" w:rsidRPr="00000000">
        <w:rPr>
          <w:rFonts w:ascii="Arial" w:cs="Arial" w:eastAsia="Arial" w:hAnsi="Arial"/>
          <w:color w:val="000000"/>
          <w:sz w:val="24"/>
          <w:szCs w:val="24"/>
          <w:rtl w:val="0"/>
        </w:rPr>
        <w:t xml:space="preserve">Upgrade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61">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the event of a comprehensive replacement of the Online Booking Solution, the Supplier shall furnish the Buyer and The Authority with a notice period no shorter than three (3) Months prior to making the new solution available to the Buyer. This notice period is to provide adequate time for completion of all the necessary Assurance documentation and the execution of the requisite training. </w:t>
      </w:r>
    </w:p>
    <w:p w:rsidR="00000000" w:rsidDel="00000000" w:rsidP="00000000" w:rsidRDefault="00000000" w:rsidRPr="00000000" w14:paraId="00000062">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Buyer reserves the right not to adopt the new Online Booking Solution within the duration of the Call Off Contract. </w:t>
      </w:r>
    </w:p>
    <w:p w:rsidR="00000000" w:rsidDel="00000000" w:rsidP="00000000" w:rsidRDefault="00000000" w:rsidRPr="00000000" w14:paraId="00000063">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Additionally, any new such Online Booking Solution must meet or exceed the security and accessibility standards nominated by The Authority at the time of the framework’s original award. </w:t>
      </w:r>
    </w:p>
    <w:p w:rsidR="00000000" w:rsidDel="00000000" w:rsidP="00000000" w:rsidRDefault="00000000" w:rsidRPr="00000000" w14:paraId="00000064">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65">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Supplier System will be free of all encumbrances;</w:t>
      </w:r>
    </w:p>
    <w:p w:rsidR="00000000" w:rsidDel="00000000" w:rsidP="00000000" w:rsidRDefault="00000000" w:rsidRPr="00000000" w14:paraId="00000066">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67">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minimise any disruption to the Services and the ICT Environment  and/or the Buyer's operations when providing the Deliverables;</w:t>
      </w:r>
    </w:p>
    <w:p w:rsidR="00000000" w:rsidDel="00000000" w:rsidP="00000000" w:rsidRDefault="00000000" w:rsidRPr="00000000" w14:paraId="00000068">
      <w:pPr>
        <w:numPr>
          <w:ilvl w:val="1"/>
          <w:numId w:val="3"/>
        </w:numPr>
        <w:tabs>
          <w:tab w:val="left" w:leader="none" w:pos="1134"/>
        </w:tabs>
        <w:spacing w:after="120" w:before="120" w:line="276" w:lineRule="auto"/>
        <w:ind w:left="936" w:hanging="576"/>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Nothing in this Contract shall oblige the Buyer to take any New Release. The Buyer may request that the Supplier reverts from the New Release to any previous release of the Software for any reason and at any time, including (but not limited to) where the Software no longer complies with the Specification as a result of the New Release.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Standards and Quality </w:t>
      </w:r>
      <w:r w:rsidDel="00000000" w:rsidR="00000000" w:rsidRPr="00000000">
        <w:rPr>
          <w:rFonts w:ascii="Arial Bold" w:cs="Arial Bold" w:eastAsia="Arial Bold" w:hAnsi="Arial Bold"/>
          <w:b w:val="1"/>
          <w:color w:val="000000"/>
          <w:sz w:val="24"/>
          <w:szCs w:val="24"/>
          <w:rtl w:val="0"/>
        </w:rPr>
        <w:t xml:space="preserve">Requirements</w:t>
      </w:r>
      <w:r w:rsidDel="00000000" w:rsidR="00000000" w:rsidRPr="00000000">
        <w:rPr>
          <w:rFonts w:ascii="Arial Bold" w:cs="Arial Bold" w:eastAsia="Arial Bold" w:hAnsi="Arial Bold"/>
          <w:b w:val="1"/>
          <w:color w:val="000000"/>
          <w:sz w:val="24"/>
          <w:szCs w:val="24"/>
          <w:rtl w:val="0"/>
        </w:rPr>
        <w:t xml:space="preserve"> </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2et92p0" w:id="6"/>
      <w:bookmarkEnd w:id="6"/>
      <w:r w:rsidDel="00000000" w:rsidR="00000000" w:rsidRPr="00000000">
        <w:rPr>
          <w:rFonts w:ascii="Arial" w:cs="Arial" w:eastAsia="Arial" w:hAnsi="Arial"/>
          <w:color w:val="000000"/>
          <w:sz w:val="24"/>
          <w:szCs w:val="24"/>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color w:val="000000"/>
          <w:sz w:val="24"/>
          <w:szCs w:val="24"/>
          <w:rtl w:val="0"/>
        </w:rPr>
        <w:t xml:space="preserve">Quality Plans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6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approval of the Quality Plans, the Supplier shall provide all Deliverables in accordance with the Quality Plans.</w:t>
      </w:r>
    </w:p>
    <w:p w:rsidR="00000000" w:rsidDel="00000000" w:rsidP="00000000" w:rsidRDefault="00000000" w:rsidRPr="00000000" w14:paraId="0000006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Supplier Personnel shall at all times during the Call Off Contract Period:</w:t>
      </w:r>
    </w:p>
    <w:p w:rsidR="00000000" w:rsidDel="00000000" w:rsidP="00000000" w:rsidRDefault="00000000" w:rsidRPr="00000000" w14:paraId="0000006F">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appropriately experienced, qualified and trained to supply the Deliverables in accordance with this Contract;</w:t>
      </w:r>
    </w:p>
    <w:p w:rsidR="00000000" w:rsidDel="00000000" w:rsidP="00000000" w:rsidRDefault="00000000" w:rsidRPr="00000000" w14:paraId="00000070">
      <w:pPr>
        <w:numPr>
          <w:ilvl w:val="2"/>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71">
      <w:pPr>
        <w:numPr>
          <w:ilvl w:val="2"/>
          <w:numId w:val="3"/>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Audit</w:t>
      </w:r>
    </w:p>
    <w:p w:rsidR="00000000" w:rsidDel="00000000" w:rsidP="00000000" w:rsidRDefault="00000000" w:rsidRPr="00000000" w14:paraId="00000073">
      <w:pPr>
        <w:numPr>
          <w:ilvl w:val="1"/>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allow any auditor access to the Supplier premises to:</w:t>
      </w:r>
    </w:p>
    <w:p w:rsidR="00000000" w:rsidDel="00000000" w:rsidP="00000000" w:rsidRDefault="00000000" w:rsidRPr="00000000" w14:paraId="00000074">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inspect the ICT Environment and the wider service delivery environment (or any part of them);</w:t>
      </w:r>
    </w:p>
    <w:p w:rsidR="00000000" w:rsidDel="00000000" w:rsidP="00000000" w:rsidRDefault="00000000" w:rsidRPr="00000000" w14:paraId="00000075">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records created during the design and development of the Supplier System and pre-operational environment such as information relating to Testing;</w:t>
      </w:r>
    </w:p>
    <w:p w:rsidR="00000000" w:rsidDel="00000000" w:rsidP="00000000" w:rsidRDefault="00000000" w:rsidRPr="00000000" w14:paraId="00000076">
      <w:pPr>
        <w:numPr>
          <w:ilvl w:val="2"/>
          <w:numId w:val="3"/>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the Supplier’s quality management systems including all relevant Quality Plans.</w:t>
      </w:r>
      <w:r w:rsidDel="00000000" w:rsidR="00000000" w:rsidRPr="00000000">
        <w:rPr>
          <w:rtl w:val="0"/>
        </w:rPr>
      </w:r>
    </w:p>
    <w:p w:rsidR="00000000" w:rsidDel="00000000" w:rsidP="00000000" w:rsidRDefault="00000000" w:rsidRPr="00000000" w14:paraId="00000077">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Maintenance of the ICT Environment</w:t>
      </w:r>
      <w:r w:rsidDel="00000000" w:rsidR="00000000" w:rsidRPr="00000000">
        <w:rPr>
          <w:rtl w:val="0"/>
        </w:rPr>
      </w:r>
    </w:p>
    <w:p w:rsidR="00000000" w:rsidDel="00000000" w:rsidP="00000000" w:rsidRDefault="00000000" w:rsidRPr="00000000" w14:paraId="00000078">
      <w:pPr>
        <w:numPr>
          <w:ilvl w:val="1"/>
          <w:numId w:val="3"/>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color w:val="000000"/>
          <w:sz w:val="24"/>
          <w:szCs w:val="24"/>
          <w:rtl w:val="0"/>
        </w:rPr>
        <w:t xml:space="preserve">Maintenance Schedule</w:t>
      </w:r>
      <w:r w:rsidDel="00000000" w:rsidR="00000000" w:rsidRPr="00000000">
        <w:rPr>
          <w:rFonts w:ascii="Arial" w:cs="Arial" w:eastAsia="Arial" w:hAnsi="Arial"/>
          <w:color w:val="000000"/>
          <w:sz w:val="24"/>
          <w:szCs w:val="24"/>
          <w:rtl w:val="0"/>
        </w:rPr>
        <w:t xml:space="preserve">") and make it available to the Buyer for Approval in accordance with the timetable and instructions specified by the Buyer.</w:t>
      </w:r>
    </w:p>
    <w:p w:rsidR="00000000" w:rsidDel="00000000" w:rsidP="00000000" w:rsidRDefault="00000000" w:rsidRPr="00000000" w14:paraId="00000079">
      <w:pPr>
        <w:numPr>
          <w:ilvl w:val="1"/>
          <w:numId w:val="3"/>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bookmarkStart w:colFirst="0" w:colLast="0" w:name="_heading=h.tyjcwt" w:id="7"/>
      <w:bookmarkEnd w:id="7"/>
      <w:r w:rsidDel="00000000" w:rsidR="00000000" w:rsidRPr="00000000">
        <w:rPr>
          <w:rFonts w:ascii="Arial" w:cs="Arial" w:eastAsia="Arial" w:hAnsi="Arial"/>
          <w:color w:val="000000"/>
          <w:sz w:val="24"/>
          <w:szCs w:val="24"/>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color w:val="000000"/>
          <w:sz w:val="24"/>
          <w:szCs w:val="24"/>
          <w:rtl w:val="0"/>
        </w:rPr>
        <w:t xml:space="preserve">Permitted Maintenance</w:t>
      </w:r>
      <w:r w:rsidDel="00000000" w:rsidR="00000000" w:rsidRPr="00000000">
        <w:rPr>
          <w:rFonts w:ascii="Arial" w:cs="Arial" w:eastAsia="Arial" w:hAnsi="Arial"/>
          <w:color w:val="000000"/>
          <w:sz w:val="24"/>
          <w:szCs w:val="24"/>
          <w:rtl w:val="0"/>
        </w:rPr>
        <w:t xml:space="preserve">") in accordance with the Maintenance Schedule.</w:t>
      </w:r>
    </w:p>
    <w:p w:rsidR="00000000" w:rsidDel="00000000" w:rsidP="00000000" w:rsidRDefault="00000000" w:rsidRPr="00000000" w14:paraId="0000007A">
      <w:pPr>
        <w:numPr>
          <w:ilvl w:val="1"/>
          <w:numId w:val="3"/>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give as much notice as is reasonably practicable to the Buyer prior to carrying out any Emergency Maintenance.</w:t>
      </w:r>
    </w:p>
    <w:p w:rsidR="00000000" w:rsidDel="00000000" w:rsidP="00000000" w:rsidRDefault="00000000" w:rsidRPr="00000000" w14:paraId="0000007B">
      <w:pPr>
        <w:numPr>
          <w:ilvl w:val="1"/>
          <w:numId w:val="3"/>
        </w:numPr>
        <w:pBdr>
          <w:top w:space="0" w:sz="0" w:val="nil"/>
          <w:left w:space="0" w:sz="0" w:val="nil"/>
          <w:bottom w:space="0" w:sz="0" w:val="nil"/>
          <w:right w:space="0" w:sz="0" w:val="nil"/>
          <w:between w:space="0" w:sz="0" w:val="nil"/>
        </w:pBdr>
        <w:spacing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 which shall include performing such maintenance outside ordinary Working Hours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936"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Intellectual Property Rights in ICT</w:t>
      </w:r>
    </w:p>
    <w:p w:rsidR="00000000" w:rsidDel="00000000" w:rsidP="00000000" w:rsidRDefault="00000000" w:rsidRPr="00000000" w14:paraId="0000007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3dy6vkm" w:id="8"/>
      <w:bookmarkEnd w:id="8"/>
      <w:r w:rsidDel="00000000" w:rsidR="00000000" w:rsidRPr="00000000">
        <w:rPr>
          <w:rFonts w:ascii="Arial" w:cs="Arial" w:eastAsia="Arial" w:hAnsi="Arial"/>
          <w:b w:val="1"/>
          <w:color w:val="000000"/>
          <w:sz w:val="24"/>
          <w:szCs w:val="24"/>
          <w:rtl w:val="0"/>
        </w:rPr>
        <w:t xml:space="preserve">Assignments granted by the Supplier: Specially Written Software </w:t>
      </w:r>
      <w:r w:rsidDel="00000000" w:rsidR="00000000" w:rsidRPr="00000000">
        <w:rPr>
          <w:rtl w:val="0"/>
        </w:rPr>
      </w:r>
    </w:p>
    <w:p w:rsidR="00000000" w:rsidDel="00000000" w:rsidP="00000000" w:rsidRDefault="00000000" w:rsidRPr="00000000" w14:paraId="0000007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1t3h5sf" w:id="9"/>
      <w:bookmarkEnd w:id="9"/>
      <w:r w:rsidDel="00000000" w:rsidR="00000000" w:rsidRPr="00000000">
        <w:rPr>
          <w:rFonts w:ascii="Arial" w:cs="Arial" w:eastAsia="Arial" w:hAnsi="Arial"/>
          <w:color w:val="000000"/>
          <w:sz w:val="24"/>
          <w:szCs w:val="24"/>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000000" w:rsidDel="00000000" w:rsidP="00000000" w:rsidRDefault="00000000" w:rsidRPr="00000000" w14:paraId="00000080">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bookmarkStart w:colFirst="0" w:colLast="0" w:name="_heading=h.4d34og8" w:id="10"/>
      <w:bookmarkEnd w:id="10"/>
      <w:r w:rsidDel="00000000" w:rsidR="00000000" w:rsidRPr="00000000">
        <w:rPr>
          <w:rFonts w:ascii="Arial" w:cs="Arial" w:eastAsia="Arial" w:hAnsi="Arial"/>
          <w:color w:val="000000"/>
          <w:sz w:val="24"/>
          <w:szCs w:val="24"/>
          <w:rtl w:val="0"/>
        </w:rPr>
        <w:t xml:space="preserve">the Documentation, Source Code and the Object Code of the Specially Written Software; and</w:t>
      </w:r>
    </w:p>
    <w:p w:rsidR="00000000" w:rsidDel="00000000" w:rsidP="00000000" w:rsidRDefault="00000000" w:rsidRPr="00000000" w14:paraId="00000081">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bookmarkStart w:colFirst="0" w:colLast="0" w:name="_heading=h.2s8eyo1" w:id="11"/>
      <w:bookmarkEnd w:id="11"/>
      <w:r w:rsidDel="00000000" w:rsidR="00000000" w:rsidRPr="00000000">
        <w:rPr>
          <w:rFonts w:ascii="Arial" w:cs="Arial" w:eastAsia="Arial" w:hAnsi="Arial"/>
          <w:color w:val="000000"/>
          <w:sz w:val="24"/>
          <w:szCs w:val="24"/>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color w:val="000000"/>
          <w:sz w:val="24"/>
          <w:szCs w:val="24"/>
          <w:rtl w:val="0"/>
        </w:rPr>
        <w:t xml:space="preserve">Software Supporting Materials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83">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 the Buyer of all Specially Written Software or New IPRs that are a modification, customisation, configuration or enhancement to any COTS Software; </w:t>
      </w:r>
    </w:p>
    <w:p w:rsidR="00000000" w:rsidDel="00000000" w:rsidP="00000000" w:rsidRDefault="00000000" w:rsidRPr="00000000" w14:paraId="00000084">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000000" w:rsidDel="00000000" w:rsidP="00000000" w:rsidRDefault="00000000" w:rsidRPr="00000000" w14:paraId="00000085">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promptly execute all such assignments as are required to ensure that any rights in the Specially Written Software and New IPRs are properly transferred to the Buyer.</w:t>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b w:val="1"/>
          <w:color w:val="000000"/>
          <w:sz w:val="24"/>
          <w:szCs w:val="24"/>
          <w:rtl w:val="0"/>
        </w:rPr>
        <w:t xml:space="preserve">Licences for non-COTS IPR from the Supplier and third parties to the Buyer</w:t>
      </w:r>
      <w:r w:rsidDel="00000000" w:rsidR="00000000" w:rsidRPr="00000000">
        <w:rPr>
          <w:rtl w:val="0"/>
        </w:rPr>
      </w:r>
    </w:p>
    <w:p w:rsidR="00000000" w:rsidDel="00000000" w:rsidP="00000000" w:rsidRDefault="00000000" w:rsidRPr="00000000" w14:paraId="0000008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26in1rg" w:id="14"/>
      <w:bookmarkEnd w:id="14"/>
      <w:r w:rsidDel="00000000" w:rsidR="00000000" w:rsidRPr="00000000">
        <w:rPr>
          <w:rFonts w:ascii="Arial" w:cs="Arial" w:eastAsia="Arial" w:hAnsi="Arial"/>
          <w:color w:val="000000"/>
          <w:sz w:val="24"/>
          <w:szCs w:val="24"/>
          <w:rtl w:val="0"/>
        </w:rPr>
        <w:t xml:space="preserve">Unless the Buyer gives its Approval the Supplier must not use any:</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34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its own Existing IPR that is not COTS Software;</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346"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third party software that is not COTS Software</w:t>
      </w:r>
    </w:p>
    <w:p w:rsidR="00000000" w:rsidDel="00000000" w:rsidP="00000000" w:rsidRDefault="00000000" w:rsidRPr="00000000" w14:paraId="0000008B">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lnxbz9" w:id="15"/>
      <w:bookmarkEnd w:id="15"/>
      <w:r w:rsidDel="00000000" w:rsidR="00000000" w:rsidRPr="00000000">
        <w:rPr>
          <w:rFonts w:ascii="Arial" w:cs="Arial" w:eastAsia="Arial" w:hAnsi="Arial"/>
          <w:color w:val="000000"/>
          <w:sz w:val="24"/>
          <w:szCs w:val="24"/>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00"/>
          <w:sz w:val="24"/>
          <w:szCs w:val="24"/>
          <w:rtl w:val="0"/>
        </w:rPr>
        <w:t xml:space="preserve">for the Call Off Contract Period and after expiry of the Contract to the extent necessary to ensure continuity of service and an effective transition of Services to a Replacement Supplier.</w:t>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bookmarkStart w:colFirst="0" w:colLast="0" w:name="_heading=h.35nkun2" w:id="16"/>
      <w:bookmarkEnd w:id="16"/>
      <w:r w:rsidDel="00000000" w:rsidR="00000000" w:rsidRPr="00000000">
        <w:rPr>
          <w:rFonts w:ascii="Arial" w:cs="Arial" w:eastAsia="Arial" w:hAnsi="Arial"/>
          <w:color w:val="000000"/>
          <w:sz w:val="24"/>
          <w:szCs w:val="24"/>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000000" w:rsidDel="00000000" w:rsidP="00000000" w:rsidRDefault="00000000" w:rsidRPr="00000000" w14:paraId="0000008D">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Buyer in writing giving details of what licence terms can be obtained and whether there are alternative software providers which the Supplier could seek to use; and</w:t>
      </w:r>
    </w:p>
    <w:p w:rsidR="00000000" w:rsidDel="00000000" w:rsidP="00000000" w:rsidRDefault="00000000" w:rsidRPr="00000000" w14:paraId="0000008E">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use such third party IPR as referred to at paragraph 9.2.3.1 if the Buyer Approves the terms of the licence from the relevant third party.</w:t>
      </w:r>
    </w:p>
    <w:p w:rsidR="00000000" w:rsidDel="00000000" w:rsidP="00000000" w:rsidRDefault="00000000" w:rsidRPr="00000000" w14:paraId="0000008F">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is unable to provide a license to the Supplier’s Existing IPR in accordance with Paragraph 9.2.2 above, it must meet the requirement by making use of COTS Software or Specially Written Software.  </w:t>
      </w:r>
    </w:p>
    <w:p w:rsidR="00000000" w:rsidDel="00000000" w:rsidP="00000000" w:rsidRDefault="00000000" w:rsidRPr="00000000" w14:paraId="00000090">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000000" w:rsidDel="00000000" w:rsidP="00000000" w:rsidRDefault="00000000" w:rsidRPr="00000000" w14:paraId="00000091">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1ksv4uv" w:id="17"/>
      <w:bookmarkEnd w:id="17"/>
      <w:r w:rsidDel="00000000" w:rsidR="00000000" w:rsidRPr="00000000">
        <w:rPr>
          <w:rFonts w:ascii="Arial" w:cs="Arial" w:eastAsia="Arial" w:hAnsi="Arial"/>
          <w:b w:val="1"/>
          <w:color w:val="000000"/>
          <w:sz w:val="24"/>
          <w:szCs w:val="24"/>
          <w:rtl w:val="0"/>
        </w:rPr>
        <w:t xml:space="preserve">Licenses for COTS Software by the Supplier and third parties to the Buyer</w:t>
      </w:r>
      <w:r w:rsidDel="00000000" w:rsidR="00000000" w:rsidRPr="00000000">
        <w:rPr>
          <w:rtl w:val="0"/>
        </w:rPr>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p>
    <w:p w:rsidR="00000000" w:rsidDel="00000000" w:rsidP="00000000" w:rsidRDefault="00000000" w:rsidRPr="00000000" w14:paraId="00000094">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rsidR="00000000" w:rsidDel="00000000" w:rsidP="00000000" w:rsidRDefault="00000000" w:rsidRPr="00000000" w14:paraId="00000095">
      <w:pPr>
        <w:numPr>
          <w:ilvl w:val="2"/>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notify the Buyer within seven (7) days of becoming aware of any COTS Software which in the next thirty-six (36) months:</w:t>
      </w:r>
    </w:p>
    <w:p w:rsidR="00000000" w:rsidDel="00000000" w:rsidP="00000000" w:rsidRDefault="00000000" w:rsidRPr="00000000" w14:paraId="00000096">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no longer be maintained or supported by the developer; or</w:t>
      </w:r>
    </w:p>
    <w:p w:rsidR="00000000" w:rsidDel="00000000" w:rsidP="00000000" w:rsidRDefault="00000000" w:rsidRPr="00000000" w14:paraId="00000097">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no longer be made commercially available</w:t>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Buyer’s right to assign/novate licences</w:t>
      </w:r>
      <w:r w:rsidDel="00000000" w:rsidR="00000000" w:rsidRPr="00000000">
        <w:rPr>
          <w:rtl w:val="0"/>
        </w:rPr>
      </w:r>
    </w:p>
    <w:p w:rsidR="00000000" w:rsidDel="00000000" w:rsidP="00000000" w:rsidRDefault="00000000" w:rsidRPr="00000000" w14:paraId="00000099">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color w:val="000000"/>
          <w:sz w:val="24"/>
          <w:szCs w:val="24"/>
          <w:rtl w:val="0"/>
        </w:rPr>
        <w:t xml:space="preserve">The Buyer may assign, novate or otherwise transfer its rights and obligations under the licences granted pursuant to paragraph 9.2 (to:</w:t>
      </w:r>
    </w:p>
    <w:p w:rsidR="00000000" w:rsidDel="00000000" w:rsidP="00000000" w:rsidRDefault="00000000" w:rsidRPr="00000000" w14:paraId="0000009A">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Central Government Body; or</w:t>
      </w:r>
    </w:p>
    <w:p w:rsidR="00000000" w:rsidDel="00000000" w:rsidP="00000000" w:rsidRDefault="00000000" w:rsidRPr="00000000" w14:paraId="0000009B">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9C">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If the Buyer ceases to be a Central Government Body, the successor body to the Buyer shall still be entitled to the benefit of the licences granted in paragraph 9.2.</w:t>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36" w:hanging="576"/>
        <w:jc w:val="left"/>
        <w:rPr>
          <w:rFonts w:ascii="Arial" w:cs="Arial" w:eastAsia="Arial" w:hAnsi="Arial"/>
          <w:color w:val="000000"/>
          <w:sz w:val="24"/>
          <w:szCs w:val="24"/>
        </w:rPr>
      </w:pPr>
      <w:bookmarkStart w:colFirst="0" w:colLast="0" w:name="_heading=h.z337ya" w:id="20"/>
      <w:bookmarkEnd w:id="20"/>
      <w:r w:rsidDel="00000000" w:rsidR="00000000" w:rsidRPr="00000000">
        <w:rPr>
          <w:rFonts w:ascii="Arial" w:cs="Arial" w:eastAsia="Arial" w:hAnsi="Arial"/>
          <w:b w:val="1"/>
          <w:color w:val="000000"/>
          <w:sz w:val="24"/>
          <w:szCs w:val="24"/>
          <w:rtl w:val="0"/>
        </w:rPr>
        <w:t xml:space="preserve">Licence granted by the Buyer</w:t>
      </w:r>
      <w:r w:rsidDel="00000000" w:rsidR="00000000" w:rsidRPr="00000000">
        <w:rPr>
          <w:rtl w:val="0"/>
        </w:rPr>
      </w:r>
    </w:p>
    <w:p w:rsidR="00000000" w:rsidDel="00000000" w:rsidP="00000000" w:rsidRDefault="00000000" w:rsidRPr="00000000" w14:paraId="0000009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3j2qqm3" w:id="21"/>
      <w:bookmarkEnd w:id="21"/>
      <w:r w:rsidDel="00000000" w:rsidR="00000000" w:rsidRPr="00000000">
        <w:rPr>
          <w:rFonts w:ascii="Arial" w:cs="Arial" w:eastAsia="Arial" w:hAnsi="Arial"/>
          <w:color w:val="000000"/>
          <w:sz w:val="24"/>
          <w:szCs w:val="24"/>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000000" w:rsidDel="00000000" w:rsidP="00000000" w:rsidRDefault="00000000" w:rsidRPr="00000000" w14:paraId="0000009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1y810tw" w:id="22"/>
      <w:bookmarkEnd w:id="22"/>
      <w:r w:rsidDel="00000000" w:rsidR="00000000" w:rsidRPr="00000000">
        <w:rPr>
          <w:rFonts w:ascii="Arial" w:cs="Arial" w:eastAsia="Arial" w:hAnsi="Arial"/>
          <w:b w:val="1"/>
          <w:color w:val="000000"/>
          <w:sz w:val="24"/>
          <w:szCs w:val="24"/>
          <w:rtl w:val="0"/>
        </w:rPr>
        <w:t xml:space="preserve">Open Source Publication</w:t>
      </w:r>
      <w:r w:rsidDel="00000000" w:rsidR="00000000" w:rsidRPr="00000000">
        <w:rPr>
          <w:rtl w:val="0"/>
        </w:rPr>
      </w:r>
    </w:p>
    <w:p w:rsidR="00000000" w:rsidDel="00000000" w:rsidP="00000000" w:rsidRDefault="00000000" w:rsidRPr="00000000" w14:paraId="000000A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4i7ojhp" w:id="23"/>
      <w:bookmarkEnd w:id="23"/>
      <w:r w:rsidDel="00000000" w:rsidR="00000000" w:rsidRPr="00000000">
        <w:rPr>
          <w:rFonts w:ascii="Arial" w:cs="Arial" w:eastAsia="Arial" w:hAnsi="Arial"/>
          <w:color w:val="000000"/>
          <w:sz w:val="24"/>
          <w:szCs w:val="24"/>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000000" w:rsidDel="00000000" w:rsidP="00000000" w:rsidRDefault="00000000" w:rsidRPr="00000000" w14:paraId="000000A1">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suitable for publication by the Buyer as Open Source; and </w:t>
      </w:r>
    </w:p>
    <w:p w:rsidR="00000000" w:rsidDel="00000000" w:rsidP="00000000" w:rsidRDefault="00000000" w:rsidRPr="00000000" w14:paraId="000000A2">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based on Open Standards (where applicable),</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936" w:firstLine="0"/>
        <w:jc w:val="left"/>
        <w:rPr>
          <w:rFonts w:ascii="Arial" w:cs="Arial" w:eastAsia="Arial" w:hAnsi="Arial"/>
          <w:color w:val="000000"/>
          <w:sz w:val="24"/>
          <w:szCs w:val="24"/>
        </w:rPr>
      </w:pPr>
      <w:bookmarkStart w:colFirst="0" w:colLast="0" w:name="_heading=h.2xcytpi" w:id="24"/>
      <w:bookmarkEnd w:id="24"/>
      <w:r w:rsidDel="00000000" w:rsidR="00000000" w:rsidRPr="00000000">
        <w:rPr>
          <w:rFonts w:ascii="Arial" w:cs="Arial" w:eastAsia="Arial" w:hAnsi="Arial"/>
          <w:color w:val="000000"/>
          <w:sz w:val="24"/>
          <w:szCs w:val="24"/>
          <w:rtl w:val="0"/>
        </w:rPr>
        <w:t xml:space="preserve">and the Buyer may, at its sole discretion, publish the same as Open Source.</w:t>
      </w:r>
    </w:p>
    <w:p w:rsidR="00000000" w:rsidDel="00000000" w:rsidP="00000000" w:rsidRDefault="00000000" w:rsidRPr="00000000" w14:paraId="000000A4">
      <w:pPr>
        <w:rPr>
          <w:rFonts w:ascii="Arial" w:cs="Arial" w:eastAsia="Arial" w:hAnsi="Arial"/>
          <w:color w:val="000000"/>
          <w:sz w:val="24"/>
          <w:szCs w:val="24"/>
        </w:rPr>
      </w:pPr>
      <w:bookmarkStart w:colFirst="0" w:colLast="0" w:name="_heading=h.1ci93xb" w:id="25"/>
      <w:bookmarkEnd w:id="25"/>
      <w:r w:rsidDel="00000000" w:rsidR="00000000" w:rsidRPr="00000000">
        <w:rPr>
          <w:rFonts w:ascii="Arial" w:cs="Arial" w:eastAsia="Arial" w:hAnsi="Arial"/>
          <w:color w:val="000000"/>
          <w:sz w:val="24"/>
          <w:szCs w:val="24"/>
          <w:rtl w:val="0"/>
        </w:rPr>
        <w:t xml:space="preserve">The Supplier hereby warrants that the Specially Written Software and the New IPR:</w:t>
      </w:r>
    </w:p>
    <w:p w:rsidR="00000000" w:rsidDel="00000000" w:rsidP="00000000" w:rsidRDefault="00000000" w:rsidRPr="00000000" w14:paraId="000000A5">
      <w:pPr>
        <w:numPr>
          <w:ilvl w:val="3"/>
          <w:numId w:val="3"/>
        </w:numPr>
        <w:pBdr>
          <w:top w:space="0" w:sz="0" w:val="nil"/>
          <w:left w:space="0" w:sz="0" w:val="nil"/>
          <w:bottom w:space="0" w:sz="0" w:val="nil"/>
          <w:right w:space="0" w:sz="0" w:val="nil"/>
          <w:between w:space="0" w:sz="0" w:val="nil"/>
        </w:pBdr>
        <w:spacing w:after="2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000000" w:rsidDel="00000000" w:rsidP="00000000" w:rsidRDefault="00000000" w:rsidRPr="00000000" w14:paraId="000000A6">
      <w:pPr>
        <w:numPr>
          <w:ilvl w:val="3"/>
          <w:numId w:val="3"/>
        </w:numPr>
        <w:pBdr>
          <w:top w:space="0" w:sz="0" w:val="nil"/>
          <w:left w:space="0" w:sz="0" w:val="nil"/>
          <w:bottom w:space="0" w:sz="0" w:val="nil"/>
          <w:right w:space="0" w:sz="0" w:val="nil"/>
          <w:between w:space="0" w:sz="0" w:val="nil"/>
        </w:pBdr>
        <w:spacing w:after="2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have been developed using reasonable endeavours to ensure that their publication by the Buyer shall not cause any harm or damage to any party using them;</w:t>
      </w:r>
    </w:p>
    <w:p w:rsidR="00000000" w:rsidDel="00000000" w:rsidP="00000000" w:rsidRDefault="00000000" w:rsidRPr="00000000" w14:paraId="000000A7">
      <w:pPr>
        <w:numPr>
          <w:ilvl w:val="3"/>
          <w:numId w:val="3"/>
        </w:numPr>
        <w:pBdr>
          <w:top w:space="0" w:sz="0" w:val="nil"/>
          <w:left w:space="0" w:sz="0" w:val="nil"/>
          <w:bottom w:space="0" w:sz="0" w:val="nil"/>
          <w:right w:space="0" w:sz="0" w:val="nil"/>
          <w:between w:space="0" w:sz="0" w:val="nil"/>
        </w:pBdr>
        <w:spacing w:after="2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contain any material which would bring the Buyer into disrepute;</w:t>
      </w:r>
    </w:p>
    <w:p w:rsidR="00000000" w:rsidDel="00000000" w:rsidP="00000000" w:rsidRDefault="00000000" w:rsidRPr="00000000" w14:paraId="000000A8">
      <w:pPr>
        <w:numPr>
          <w:ilvl w:val="3"/>
          <w:numId w:val="3"/>
        </w:numPr>
        <w:pBdr>
          <w:top w:space="0" w:sz="0" w:val="nil"/>
          <w:left w:space="0" w:sz="0" w:val="nil"/>
          <w:bottom w:space="0" w:sz="0" w:val="nil"/>
          <w:right w:space="0" w:sz="0" w:val="nil"/>
          <w:between w:space="0" w:sz="0" w:val="nil"/>
        </w:pBdr>
        <w:spacing w:after="2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 be published as Open Source without breaching the rights of any third party; </w:t>
      </w:r>
    </w:p>
    <w:p w:rsidR="00000000" w:rsidDel="00000000" w:rsidP="00000000" w:rsidRDefault="00000000" w:rsidRPr="00000000" w14:paraId="000000A9">
      <w:pPr>
        <w:numPr>
          <w:ilvl w:val="3"/>
          <w:numId w:val="3"/>
        </w:numPr>
        <w:pBdr>
          <w:top w:space="0" w:sz="0" w:val="nil"/>
          <w:left w:space="0" w:sz="0" w:val="nil"/>
          <w:bottom w:space="0" w:sz="0" w:val="nil"/>
          <w:right w:space="0" w:sz="0" w:val="nil"/>
          <w:between w:space="0" w:sz="0" w:val="nil"/>
        </w:pBdr>
        <w:spacing w:after="2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be supplied in a format suitable for publication as Open Source ("</w:t>
      </w:r>
      <w:r w:rsidDel="00000000" w:rsidR="00000000" w:rsidRPr="00000000">
        <w:rPr>
          <w:rFonts w:ascii="Arial" w:cs="Arial" w:eastAsia="Arial" w:hAnsi="Arial"/>
          <w:b w:val="1"/>
          <w:color w:val="000000"/>
          <w:sz w:val="24"/>
          <w:szCs w:val="24"/>
          <w:rtl w:val="0"/>
        </w:rPr>
        <w:t xml:space="preserve">the Open Source Publication Material</w:t>
      </w:r>
      <w:r w:rsidDel="00000000" w:rsidR="00000000" w:rsidRPr="00000000">
        <w:rPr>
          <w:rFonts w:ascii="Arial" w:cs="Arial" w:eastAsia="Arial" w:hAnsi="Arial"/>
          <w:color w:val="000000"/>
          <w:sz w:val="24"/>
          <w:szCs w:val="24"/>
          <w:rtl w:val="0"/>
        </w:rPr>
        <w:t xml:space="preserve">") no later than the date notified by the Buyer to the Supplier; and</w:t>
      </w:r>
    </w:p>
    <w:p w:rsidR="00000000" w:rsidDel="00000000" w:rsidP="00000000" w:rsidRDefault="00000000" w:rsidRPr="00000000" w14:paraId="000000AA">
      <w:pPr>
        <w:numPr>
          <w:ilvl w:val="3"/>
          <w:numId w:val="3"/>
        </w:numPr>
        <w:pBdr>
          <w:top w:space="0" w:sz="0" w:val="nil"/>
          <w:left w:space="0" w:sz="0" w:val="nil"/>
          <w:bottom w:space="0" w:sz="0" w:val="nil"/>
          <w:right w:space="0" w:sz="0" w:val="nil"/>
          <w:between w:space="0" w:sz="0" w:val="nil"/>
        </w:pBdr>
        <w:spacing w:after="2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contain any Malicious Software.</w:t>
      </w:r>
    </w:p>
    <w:p w:rsidR="00000000" w:rsidDel="00000000" w:rsidP="00000000" w:rsidRDefault="00000000" w:rsidRPr="00000000" w14:paraId="000000AB">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3whwml4" w:id="26"/>
      <w:bookmarkEnd w:id="26"/>
      <w:r w:rsidDel="00000000" w:rsidR="00000000" w:rsidRPr="00000000">
        <w:rPr>
          <w:rFonts w:ascii="Arial" w:cs="Arial" w:eastAsia="Arial" w:hAnsi="Arial"/>
          <w:color w:val="000000"/>
          <w:sz w:val="24"/>
          <w:szCs w:val="24"/>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000000" w:rsidDel="00000000" w:rsidP="00000000" w:rsidRDefault="00000000" w:rsidRPr="00000000" w14:paraId="000000AC">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bookmarkStart w:colFirst="0" w:colLast="0" w:name="_heading=h.2bn6wsx" w:id="27"/>
      <w:bookmarkEnd w:id="27"/>
      <w:r w:rsidDel="00000000" w:rsidR="00000000" w:rsidRPr="00000000">
        <w:rPr>
          <w:rFonts w:ascii="Arial" w:cs="Arial" w:eastAsia="Arial" w:hAnsi="Arial"/>
          <w:color w:val="000000"/>
          <w:sz w:val="24"/>
          <w:szCs w:val="24"/>
          <w:rtl w:val="0"/>
        </w:rPr>
        <w:t xml:space="preserve">as soon as reasonably practicable, provide written details of the nature of the IPRs and items or Deliverables based on IPRs which are to be excluded from Open Source publication; and </w:t>
      </w:r>
    </w:p>
    <w:p w:rsidR="00000000" w:rsidDel="00000000" w:rsidP="00000000" w:rsidRDefault="00000000" w:rsidRPr="00000000" w14:paraId="000000AD">
      <w:pPr>
        <w:numPr>
          <w:ilvl w:val="3"/>
          <w:numId w:val="3"/>
        </w:numPr>
        <w:pBdr>
          <w:top w:space="0" w:sz="0" w:val="nil"/>
          <w:left w:space="0" w:sz="0" w:val="nil"/>
          <w:bottom w:space="0" w:sz="0" w:val="nil"/>
          <w:right w:space="0" w:sz="0" w:val="nil"/>
          <w:between w:space="0" w:sz="0" w:val="nil"/>
        </w:pBdr>
        <w:spacing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000000" w:rsidDel="00000000" w:rsidP="00000000" w:rsidRDefault="00000000" w:rsidRPr="00000000" w14:paraId="000000A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Malicious Software</w:t>
      </w:r>
      <w:r w:rsidDel="00000000" w:rsidR="00000000" w:rsidRPr="00000000">
        <w:rPr>
          <w:rtl w:val="0"/>
        </w:rPr>
      </w:r>
    </w:p>
    <w:p w:rsidR="00000000" w:rsidDel="00000000" w:rsidP="00000000" w:rsidRDefault="00000000" w:rsidRPr="00000000" w14:paraId="000000A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qsh70q" w:id="28"/>
      <w:bookmarkEnd w:id="28"/>
      <w:r w:rsidDel="00000000" w:rsidR="00000000" w:rsidRPr="00000000">
        <w:rPr>
          <w:rFonts w:ascii="Arial" w:cs="Arial" w:eastAsia="Arial" w:hAnsi="Arial"/>
          <w:color w:val="000000"/>
          <w:sz w:val="24"/>
          <w:szCs w:val="24"/>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bookmarkStart w:colFirst="0" w:colLast="0" w:name="_heading=h.3as4poj" w:id="29"/>
      <w:bookmarkEnd w:id="29"/>
      <w:r w:rsidDel="00000000" w:rsidR="00000000" w:rsidRPr="00000000">
        <w:rPr>
          <w:rFonts w:ascii="Arial" w:cs="Arial" w:eastAsia="Arial" w:hAnsi="Arial"/>
          <w:color w:val="000000"/>
          <w:sz w:val="24"/>
          <w:szCs w:val="24"/>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B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cost arising out of the actions of the Parties taken in compliance with the provisions of paragraph 9.7.2 shall be borne by the Parties as follows:</w:t>
      </w:r>
    </w:p>
    <w:p w:rsidR="00000000" w:rsidDel="00000000" w:rsidP="00000000" w:rsidRDefault="00000000" w:rsidRPr="00000000" w14:paraId="000000B2">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B3">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keepNext w:val="1"/>
        <w:numPr>
          <w:ilvl w:val="0"/>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highlight w:val="yellow"/>
        </w:rPr>
      </w:pPr>
      <w:r w:rsidDel="00000000" w:rsidR="00000000" w:rsidRPr="00000000">
        <w:rPr>
          <w:rFonts w:ascii="Arial" w:cs="Arial" w:eastAsia="Arial" w:hAnsi="Arial"/>
          <w:b w:val="1"/>
          <w:color w:val="000000"/>
          <w:sz w:val="24"/>
          <w:szCs w:val="24"/>
          <w:highlight w:val="yellow"/>
          <w:rtl w:val="0"/>
        </w:rPr>
        <w:tab/>
        <w:t xml:space="preserve">[Supplier-Furnished Terms</w:t>
      </w:r>
    </w:p>
    <w:p w:rsidR="00000000" w:rsidDel="00000000" w:rsidP="00000000" w:rsidRDefault="00000000" w:rsidRPr="00000000" w14:paraId="000000B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highlight w:val="yellow"/>
        </w:rPr>
      </w:pPr>
      <w:r w:rsidDel="00000000" w:rsidR="00000000" w:rsidRPr="00000000">
        <w:rPr>
          <w:rFonts w:ascii="Arial" w:cs="Arial" w:eastAsia="Arial" w:hAnsi="Arial"/>
          <w:b w:val="1"/>
          <w:color w:val="000000"/>
          <w:sz w:val="24"/>
          <w:szCs w:val="24"/>
          <w:highlight w:val="yellow"/>
          <w:rtl w:val="0"/>
        </w:rPr>
        <w:tab/>
        <w:t xml:space="preserve">Software Licence Terms</w:t>
      </w:r>
      <w:r w:rsidDel="00000000" w:rsidR="00000000" w:rsidRPr="00000000">
        <w:rPr>
          <w:rtl w:val="0"/>
        </w:rPr>
      </w:r>
    </w:p>
    <w:p w:rsidR="00000000" w:rsidDel="00000000" w:rsidP="00000000" w:rsidRDefault="00000000" w:rsidRPr="00000000" w14:paraId="000000B6">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Terms for licensing of non-COTS third party software in accordance with Paragraph 9.2.3 are detailed in [insert reference to relevant Schedule].</w:t>
      </w:r>
    </w:p>
    <w:p w:rsidR="00000000" w:rsidDel="00000000" w:rsidP="00000000" w:rsidRDefault="00000000" w:rsidRPr="00000000" w14:paraId="000000B7">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Terms for licensing of COTS software in accordance with Paragraph 9.3 are detailed in [insert reference to relevant Schedule].</w:t>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Software as a Service Terms</w:t>
      </w:r>
      <w:r w:rsidDel="00000000" w:rsidR="00000000" w:rsidRPr="00000000">
        <w:rPr>
          <w:rtl w:val="0"/>
        </w:rPr>
      </w:r>
    </w:p>
    <w:p w:rsidR="00000000" w:rsidDel="00000000" w:rsidP="00000000" w:rsidRDefault="00000000" w:rsidRPr="00000000" w14:paraId="000000B9">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Additional terms for provision of a Software as a Service solution are detailed in [insert reference to relevant Schedule].</w:t>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Software Support &amp; Maintenance Terms</w:t>
      </w:r>
      <w:r w:rsidDel="00000000" w:rsidR="00000000" w:rsidRPr="00000000">
        <w:rPr>
          <w:rtl w:val="0"/>
        </w:rPr>
      </w:r>
    </w:p>
    <w:p w:rsidR="00000000" w:rsidDel="00000000" w:rsidP="00000000" w:rsidRDefault="00000000" w:rsidRPr="00000000" w14:paraId="000000BB">
      <w:pPr>
        <w:numPr>
          <w:ilvl w:val="3"/>
          <w:numId w:val="3"/>
        </w:numPr>
        <w:pBdr>
          <w:top w:space="0" w:sz="0" w:val="nil"/>
          <w:left w:space="0" w:sz="0" w:val="nil"/>
          <w:bottom w:space="0" w:sz="0" w:val="nil"/>
          <w:right w:space="0" w:sz="0" w:val="nil"/>
          <w:between w:space="0" w:sz="0" w:val="nil"/>
        </w:pBdr>
        <w:tabs>
          <w:tab w:val="left" w:leader="none" w:pos="2552"/>
        </w:tabs>
        <w:spacing w:after="120" w:before="120" w:line="240" w:lineRule="auto"/>
        <w:ind w:left="2692" w:hanging="991.9999999999999"/>
        <w:jc w:val="left"/>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Additional terms for provision of Software Support &amp; Maintenance Services are detailed in [insert reference to relevant Schedule]</w:t>
      </w:r>
      <w:r w:rsidDel="00000000" w:rsidR="00000000" w:rsidRPr="00000000">
        <w:rPr>
          <w:rFonts w:ascii="Arial" w:cs="Arial" w:eastAsia="Arial" w:hAnsi="Arial"/>
          <w:b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jc w:val="left"/>
        <w:rPr>
          <w:rFonts w:ascii="Arial" w:cs="Arial" w:eastAsia="Arial" w:hAnsi="Arial"/>
          <w:b w:val="1"/>
          <w:i w:val="1"/>
          <w:color w:val="000000"/>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Cambr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Framework Ref: RM</w:t>
      <w:tab/>
      <w:t xml:space="preserve">                                           </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Project Version: v1.0</w:t>
      <w:tab/>
      <w:tab/>
      <w:tab/>
      <w:t xml:space="preserve">1</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Calibri" w:cs="Calibri" w:eastAsia="Calibri" w:hAnsi="Calibri"/>
        <w:color w:val="a6a6a6"/>
        <w:rtl w:val="0"/>
      </w:rPr>
      <w:t xml:space="preserve">Model Version: v2.9</w:t>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RM6342</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6 (ICT Services)</w:t>
    </w:r>
    <w:r w:rsidDel="00000000" w:rsidR="00000000" w:rsidRPr="00000000">
      <w:rPr>
        <w:rtl w:val="0"/>
      </w:rPr>
    </w:r>
  </w:p>
  <w:p w:rsidR="00000000" w:rsidDel="00000000" w:rsidP="00000000" w:rsidRDefault="00000000" w:rsidRPr="00000000" w14:paraId="000000C0">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C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153"/>
        <w:tab w:val="right" w:leader="none" w:pos="8306"/>
      </w:tabs>
      <w:spacing w:after="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decimal"/>
      <w:lvlText w:val="%1.%2."/>
      <w:lvlJc w:val="left"/>
      <w:pPr>
        <w:ind w:left="936" w:hanging="576"/>
      </w:pPr>
      <w:rPr>
        <w:b w:val="0"/>
        <w:u w:val="none"/>
      </w:rPr>
    </w:lvl>
    <w:lvl w:ilvl="2">
      <w:start w:val="1"/>
      <w:numFmt w:val="decimal"/>
      <w:lvlText w:val="%1.%2.%3."/>
      <w:lvlJc w:val="left"/>
      <w:pPr>
        <w:ind w:left="1656" w:hanging="720"/>
      </w:pPr>
      <w:rPr>
        <w:sz w:val="22"/>
        <w:szCs w:val="22"/>
        <w:u w:val="none"/>
      </w:rPr>
    </w:lvl>
    <w:lvl w:ilvl="3">
      <w:start w:val="1"/>
      <w:numFmt w:val="decimal"/>
      <w:lvlText w:val="%1.%2.%3.%4."/>
      <w:lvlJc w:val="left"/>
      <w:pPr>
        <w:ind w:left="2692" w:hanging="992"/>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36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936" w:right="0" w:hanging="576"/>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656"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692" w:right="0" w:hanging="991.9999999999999"/>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232" w:right="0" w:hanging="791.9999999999999"/>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736" w:right="0" w:hanging="934"/>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val="1"/>
    <w:pPr>
      <w:numPr>
        <w:numId w:val="2"/>
      </w:numPr>
      <w:outlineLvl w:val="0"/>
    </w:pPr>
  </w:style>
  <w:style w:type="paragraph" w:styleId="Heading2">
    <w:name w:val="heading 2"/>
    <w:basedOn w:val="HouseStyleBase"/>
    <w:link w:val="Heading2Char"/>
    <w:uiPriority w:val="9"/>
    <w:semiHidden w:val="1"/>
    <w:unhideWhenUsed w:val="1"/>
    <w:qFormat w:val="1"/>
    <w:pPr>
      <w:numPr>
        <w:ilvl w:val="1"/>
        <w:numId w:val="2"/>
      </w:numPr>
      <w:outlineLvl w:val="1"/>
    </w:pPr>
    <w:rPr>
      <w:rFonts w:ascii="Calibri" w:hAnsi="Calibri"/>
    </w:rPr>
  </w:style>
  <w:style w:type="paragraph" w:styleId="Heading3">
    <w:name w:val="heading 3"/>
    <w:basedOn w:val="HouseStyleBase"/>
    <w:link w:val="Heading3Char"/>
    <w:uiPriority w:val="9"/>
    <w:semiHidden w:val="1"/>
    <w:unhideWhenUsed w:val="1"/>
    <w:qFormat w:val="1"/>
    <w:pPr>
      <w:numPr>
        <w:ilvl w:val="2"/>
        <w:numId w:val="2"/>
      </w:numPr>
      <w:outlineLvl w:val="2"/>
    </w:pPr>
  </w:style>
  <w:style w:type="paragraph" w:styleId="Heading4">
    <w:name w:val="heading 4"/>
    <w:basedOn w:val="HouseStyleBase"/>
    <w:link w:val="Heading4Char"/>
    <w:uiPriority w:val="9"/>
    <w:semiHidden w:val="1"/>
    <w:unhideWhenUsed w:val="1"/>
    <w:qFormat w:val="1"/>
    <w:pPr>
      <w:numPr>
        <w:ilvl w:val="3"/>
        <w:numId w:val="2"/>
      </w:numPr>
      <w:outlineLvl w:val="3"/>
    </w:pPr>
  </w:style>
  <w:style w:type="paragraph" w:styleId="Heading5">
    <w:name w:val="heading 5"/>
    <w:basedOn w:val="HouseStyleBase"/>
    <w:link w:val="Heading5Char"/>
    <w:uiPriority w:val="9"/>
    <w:semiHidden w:val="1"/>
    <w:unhideWhenUsed w:val="1"/>
    <w:qFormat w:val="1"/>
    <w:pPr>
      <w:numPr>
        <w:ilvl w:val="4"/>
        <w:numId w:val="2"/>
      </w:numPr>
      <w:outlineLvl w:val="4"/>
    </w:pPr>
  </w:style>
  <w:style w:type="paragraph" w:styleId="Heading6">
    <w:name w:val="heading 6"/>
    <w:basedOn w:val="HouseStyleBase"/>
    <w:uiPriority w:val="9"/>
    <w:semiHidden w:val="1"/>
    <w:unhideWhenUsed w:val="1"/>
    <w:qFormat w:val="1"/>
    <w:pPr>
      <w:numPr>
        <w:ilvl w:val="5"/>
        <w:numId w:val="2"/>
      </w:numPr>
      <w:outlineLvl w:val="5"/>
    </w:pPr>
  </w:style>
  <w:style w:type="paragraph" w:styleId="Heading7">
    <w:name w:val="heading 7"/>
    <w:basedOn w:val="HouseStyleBase"/>
    <w:qFormat w:val="1"/>
    <w:pPr>
      <w:numPr>
        <w:ilvl w:val="6"/>
        <w:numId w:val="2"/>
      </w:numPr>
      <w:outlineLvl w:val="6"/>
    </w:pPr>
  </w:style>
  <w:style w:type="paragraph" w:styleId="Heading8">
    <w:name w:val="heading 8"/>
    <w:basedOn w:val="HouseStyleBase"/>
    <w:qFormat w:val="1"/>
    <w:pPr>
      <w:numPr>
        <w:ilvl w:val="7"/>
        <w:numId w:val="2"/>
      </w:numPr>
      <w:outlineLvl w:val="7"/>
    </w:pPr>
  </w:style>
  <w:style w:type="paragraph" w:styleId="Heading9">
    <w:name w:val="heading 9"/>
    <w:basedOn w:val="HouseStyleBase"/>
    <w:qFormat w:val="1"/>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pPr>
    <w:rPr>
      <w:rFonts w:ascii="Arial" w:hAnsi="Arial"/>
      <w:b w:val="1"/>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tabs>
        <w:tab w:val="num" w:pos="720"/>
      </w:tabs>
      <w:ind w:left="720" w:hanging="720"/>
      <w:jc w:val="center"/>
      <w:outlineLvl w:val="0"/>
    </w:pPr>
    <w:rPr>
      <w:b w:val="1"/>
      <w:caps w:val="1"/>
    </w:rPr>
  </w:style>
  <w:style w:type="paragraph" w:styleId="ScheduleL1" w:customStyle="1">
    <w:name w:val="Schedule L1"/>
    <w:basedOn w:val="HouseStyleBase"/>
    <w:pPr>
      <w:keepNext w:val="1"/>
      <w:tabs>
        <w:tab w:val="num" w:pos="720"/>
      </w:tabs>
      <w:ind w:left="720" w:hanging="720"/>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ListBullet2">
    <w:name w:val="List Bullet 2"/>
    <w:basedOn w:val="HouseStyleBase"/>
    <w:pPr>
      <w:tabs>
        <w:tab w:val="num" w:pos="1440"/>
      </w:tabs>
      <w:ind w:left="1440" w:hanging="720"/>
    </w:pPr>
  </w:style>
  <w:style w:type="paragraph" w:styleId="HouseStyleBase" w:customStyle="1">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val="1"/>
    <w:pPr>
      <w:tabs>
        <w:tab w:val="left" w:pos="720"/>
        <w:tab w:val="right" w:leader="dot" w:pos="9029"/>
      </w:tabs>
      <w:adjustRightInd w:val="0"/>
      <w:spacing w:after="120"/>
      <w:ind w:left="720" w:hanging="720"/>
    </w:pPr>
    <w:rPr>
      <w:rFonts w:eastAsia="STZhongsong"/>
      <w:caps w:val="1"/>
      <w:lang w:eastAsia="zh-CN"/>
    </w:rPr>
  </w:style>
  <w:style w:type="paragraph" w:styleId="TOC2">
    <w:name w:val="toc 2"/>
    <w:semiHidden w:val="1"/>
    <w:pPr>
      <w:tabs>
        <w:tab w:val="left" w:pos="1440"/>
        <w:tab w:val="right" w:leader="dot" w:pos="9029"/>
      </w:tabs>
      <w:adjustRightInd w:val="0"/>
      <w:spacing w:after="120"/>
      <w:ind w:left="1440" w:hanging="720"/>
    </w:pPr>
    <w:rPr>
      <w:rFonts w:eastAsia="STZhongsong"/>
      <w:lang w:eastAsia="zh-CN"/>
    </w:rPr>
  </w:style>
  <w:style w:type="paragraph" w:styleId="TOC3">
    <w:name w:val="toc 3"/>
    <w:semiHidden w:val="1"/>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pPr>
      <w:tabs>
        <w:tab w:val="right" w:leader="dot" w:pos="9029"/>
      </w:tabs>
      <w:adjustRightInd w:val="0"/>
      <w:spacing w:after="120"/>
    </w:pPr>
    <w:rPr>
      <w:rFonts w:eastAsia="STZhongsong"/>
      <w:caps w:val="1"/>
      <w:lang w:eastAsia="zh-CN"/>
    </w:rPr>
  </w:style>
  <w:style w:type="paragraph" w:styleId="TOC9">
    <w:name w:val="toc 9"/>
    <w:semiHidden w:val="1"/>
    <w:pPr>
      <w:tabs>
        <w:tab w:val="right" w:leader="dot" w:pos="9029"/>
      </w:tabs>
      <w:adjustRightInd w:val="0"/>
      <w:spacing w:after="120"/>
      <w:ind w:left="720"/>
    </w:pPr>
    <w:rPr>
      <w:rFonts w:eastAsia="STZhongsong"/>
      <w:lang w:eastAsia="zh-CN"/>
    </w:rPr>
  </w:style>
  <w:style w:type="paragraph" w:styleId="HouseStyleBaseCentred" w:customStyle="1">
    <w:name w:val="House Style Base Centred"/>
    <w:pPr>
      <w:adjustRightInd w:val="0"/>
    </w:pPr>
    <w:rPr>
      <w:rFonts w:eastAsia="STZhongsong"/>
      <w:lang w:eastAsia="zh-CN"/>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uiPriority w:val="99"/>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tabs>
        <w:tab w:val="num" w:pos="720"/>
      </w:tabs>
      <w:ind w:left="720" w:hanging="720"/>
      <w:outlineLvl w:val="0"/>
    </w:pPr>
  </w:style>
  <w:style w:type="paragraph" w:styleId="DefinitionNumbering1" w:customStyle="1">
    <w:name w:val="Definition Numbering 1"/>
    <w:basedOn w:val="HouseStyleBase"/>
    <w:pPr>
      <w:numPr>
        <w:ilvl w:val="2"/>
        <w:numId w:val="5"/>
      </w:numPr>
      <w:spacing w:after="120"/>
      <w:outlineLvl w:val="0"/>
    </w:pPr>
    <w:rPr>
      <w:rFonts w:ascii="Calibri" w:hAnsi="Calibri"/>
    </w:rPr>
  </w:style>
  <w:style w:type="paragraph" w:styleId="DefinitionNumbering2" w:customStyle="1">
    <w:name w:val="Definition Numbering 2"/>
    <w:basedOn w:val="HouseStyleBase"/>
    <w:pPr>
      <w:numPr>
        <w:ilvl w:val="3"/>
        <w:numId w:val="5"/>
      </w:numPr>
      <w:outlineLvl w:val="1"/>
    </w:pPr>
  </w:style>
  <w:style w:type="paragraph" w:styleId="DefinitionNumbering3" w:customStyle="1">
    <w:name w:val="Definition Numbering 3"/>
    <w:basedOn w:val="HouseStyleBase"/>
    <w:pPr>
      <w:numPr>
        <w:ilvl w:val="4"/>
        <w:numId w:val="5"/>
      </w:numPr>
      <w:outlineLvl w:val="2"/>
    </w:pPr>
  </w:style>
  <w:style w:type="paragraph" w:styleId="DefinitionNumbering4" w:customStyle="1">
    <w:name w:val="Definition Numbering 4"/>
    <w:basedOn w:val="HouseStyleBase"/>
    <w:pPr>
      <w:numPr>
        <w:ilvl w:val="5"/>
        <w:numId w:val="5"/>
      </w:numPr>
      <w:outlineLvl w:val="3"/>
    </w:pPr>
  </w:style>
  <w:style w:type="paragraph" w:styleId="DefinitionNumbering5" w:customStyle="1">
    <w:name w:val="Definition Numbering 5"/>
    <w:basedOn w:val="HouseStyleBase"/>
    <w:pPr>
      <w:numPr>
        <w:ilvl w:val="6"/>
        <w:numId w:val="5"/>
      </w:numPr>
      <w:outlineLvl w:val="4"/>
    </w:pPr>
  </w:style>
  <w:style w:type="paragraph" w:styleId="DefinitionNumbering6" w:customStyle="1">
    <w:name w:val="Definition Numbering 6"/>
    <w:basedOn w:val="HouseStyleBase"/>
    <w:pPr>
      <w:numPr>
        <w:ilvl w:val="7"/>
        <w:numId w:val="5"/>
      </w:numPr>
      <w:outlineLvl w:val="5"/>
    </w:pPr>
  </w:style>
  <w:style w:type="paragraph" w:styleId="DefinitionNumbering7" w:customStyle="1">
    <w:name w:val="Definition Numbering 7"/>
    <w:basedOn w:val="HouseStyleBase"/>
    <w:pPr>
      <w:numPr>
        <w:ilvl w:val="8"/>
        <w:numId w:val="5"/>
      </w:numPr>
      <w:outlineLvl w:val="6"/>
    </w:pPr>
  </w:style>
  <w:style w:type="paragraph" w:styleId="DefinitionNumbering8" w:customStyle="1">
    <w:name w:val="Definition Numbering 8"/>
    <w:basedOn w:val="HouseStyleBase"/>
    <w:pPr>
      <w:tabs>
        <w:tab w:val="num" w:pos="5760"/>
      </w:tabs>
      <w:ind w:left="5760" w:hanging="720"/>
      <w:outlineLvl w:val="7"/>
    </w:pPr>
  </w:style>
  <w:style w:type="paragraph" w:styleId="DefinitionNumbering9" w:customStyle="1">
    <w:name w:val="Definition Numbering 9"/>
    <w:basedOn w:val="HouseStyleBase"/>
    <w:pPr>
      <w:tabs>
        <w:tab w:val="num" w:pos="6480"/>
      </w:tabs>
      <w:ind w:left="6480" w:hanging="720"/>
      <w:outlineLvl w:val="8"/>
    </w:pPr>
  </w:style>
  <w:style w:type="paragraph" w:styleId="ListBullet1" w:customStyle="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styleId="ListBullet6" w:customStyle="1">
    <w:name w:val="List Bullet 6"/>
    <w:basedOn w:val="HouseStyleBase"/>
    <w:pPr>
      <w:tabs>
        <w:tab w:val="num" w:pos="4320"/>
      </w:tabs>
      <w:ind w:left="4320" w:hanging="720"/>
    </w:pPr>
  </w:style>
  <w:style w:type="paragraph" w:styleId="ListBullet7" w:customStyle="1">
    <w:name w:val="List Bullet 7"/>
    <w:basedOn w:val="HouseStyleBase"/>
    <w:pPr>
      <w:tabs>
        <w:tab w:val="num" w:pos="5040"/>
      </w:tabs>
      <w:ind w:left="5040" w:hanging="720"/>
    </w:pPr>
  </w:style>
  <w:style w:type="paragraph" w:styleId="ListBullet8" w:customStyle="1">
    <w:name w:val="List Bullet 8"/>
    <w:basedOn w:val="HouseStyleBase"/>
    <w:pPr>
      <w:tabs>
        <w:tab w:val="num" w:pos="5760"/>
      </w:tabs>
      <w:ind w:left="5760" w:hanging="720"/>
    </w:pPr>
  </w:style>
  <w:style w:type="paragraph" w:styleId="ListBullet9" w:customStyle="1">
    <w:name w:val="List Bullet 9"/>
    <w:basedOn w:val="HouseStyleBase"/>
    <w:pPr>
      <w:tabs>
        <w:tab w:val="num" w:pos="6480"/>
      </w:tabs>
      <w:ind w:left="6480" w:hanging="720"/>
    </w:pPr>
  </w:style>
  <w:style w:type="paragraph" w:styleId="SchPart" w:customStyle="1">
    <w:name w:val="SchPart"/>
    <w:basedOn w:val="HouseStyleBaseCentred"/>
    <w:next w:val="MarginText"/>
    <w:pPr>
      <w:keepNext w:val="1"/>
      <w:tabs>
        <w:tab w:val="num" w:pos="1440"/>
      </w:tabs>
      <w:ind w:left="1440" w:hanging="720"/>
      <w:jc w:val="center"/>
      <w:outlineLvl w:val="1"/>
    </w:pPr>
    <w:rPr>
      <w:b w:val="1"/>
    </w:rPr>
  </w:style>
  <w:style w:type="paragraph" w:styleId="ScheduleL2" w:customStyle="1">
    <w:name w:val="Schedule L2"/>
    <w:basedOn w:val="HouseStyleBase"/>
    <w:pPr>
      <w:tabs>
        <w:tab w:val="num" w:pos="1440"/>
      </w:tabs>
      <w:ind w:left="1440" w:hanging="720"/>
      <w:outlineLvl w:val="1"/>
    </w:pPr>
    <w:rPr>
      <w:rFonts w:ascii="Calibri" w:hAnsi="Calibri"/>
    </w:rPr>
  </w:style>
  <w:style w:type="paragraph" w:styleId="ScheduleL3" w:customStyle="1">
    <w:name w:val="Schedule L3"/>
    <w:basedOn w:val="HouseStyleBase"/>
    <w:pPr>
      <w:tabs>
        <w:tab w:val="num" w:pos="2160"/>
      </w:tabs>
      <w:ind w:left="2160" w:hanging="720"/>
      <w:outlineLvl w:val="2"/>
    </w:pPr>
    <w:rPr>
      <w:rFonts w:ascii="Calibri" w:hAnsi="Calibri"/>
    </w:rPr>
  </w:style>
  <w:style w:type="paragraph" w:styleId="ScheduleL4" w:customStyle="1">
    <w:name w:val="Schedule L4"/>
    <w:basedOn w:val="HouseStyleBase"/>
    <w:pPr>
      <w:tabs>
        <w:tab w:val="num" w:pos="2880"/>
      </w:tabs>
      <w:ind w:left="2880" w:hanging="720"/>
      <w:outlineLvl w:val="3"/>
    </w:pPr>
  </w:style>
  <w:style w:type="paragraph" w:styleId="ScheduleL5" w:customStyle="1">
    <w:name w:val="Schedule L5"/>
    <w:basedOn w:val="HouseStyleBase"/>
    <w:pPr>
      <w:tabs>
        <w:tab w:val="num" w:pos="3600"/>
      </w:tabs>
      <w:ind w:left="3600" w:hanging="720"/>
      <w:outlineLvl w:val="4"/>
    </w:pPr>
  </w:style>
  <w:style w:type="paragraph" w:styleId="ScheduleL6" w:customStyle="1">
    <w:name w:val="Schedule L6"/>
    <w:basedOn w:val="HouseStyleBase"/>
    <w:pPr>
      <w:tabs>
        <w:tab w:val="num" w:pos="4320"/>
      </w:tabs>
      <w:ind w:left="4320" w:hanging="720"/>
      <w:outlineLvl w:val="5"/>
    </w:pPr>
  </w:style>
  <w:style w:type="paragraph" w:styleId="ScheduleL7" w:customStyle="1">
    <w:name w:val="Schedule L7"/>
    <w:basedOn w:val="HouseStyleBase"/>
    <w:pPr>
      <w:tabs>
        <w:tab w:val="num" w:pos="5040"/>
      </w:tabs>
      <w:ind w:left="5040" w:hanging="720"/>
      <w:outlineLvl w:val="6"/>
    </w:pPr>
  </w:style>
  <w:style w:type="paragraph" w:styleId="ScheduleL8" w:customStyle="1">
    <w:name w:val="Schedule L8"/>
    <w:basedOn w:val="HouseStyleBase"/>
    <w:pPr>
      <w:tabs>
        <w:tab w:val="num" w:pos="5760"/>
      </w:tabs>
      <w:ind w:left="5760" w:hanging="720"/>
      <w:outlineLvl w:val="7"/>
    </w:pPr>
  </w:style>
  <w:style w:type="paragraph" w:styleId="ScheduleL9" w:customStyle="1">
    <w:name w:val="Schedule L9"/>
    <w:basedOn w:val="HouseStyleBase"/>
    <w:pPr>
      <w:tabs>
        <w:tab w:val="num" w:pos="6480"/>
      </w:tabs>
      <w:ind w:left="6480" w:hanging="720"/>
      <w:outlineLvl w:val="8"/>
    </w:pPr>
  </w:style>
  <w:style w:type="paragraph" w:styleId="SchSection" w:customStyle="1">
    <w:name w:val="SchSection"/>
    <w:basedOn w:val="HouseStyleBaseCentred"/>
    <w:next w:val="MarginText"/>
    <w:pPr>
      <w:keepNext w:val="1"/>
      <w:tabs>
        <w:tab w:val="num" w:pos="2160"/>
      </w:tabs>
      <w:ind w:left="2160" w:hanging="720"/>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Pr>
      <w:color w:val="00000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Pr>
      <w:color w:val="00000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Pr>
      <w:color w:val="00000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Pr>
      <w:color w:val="00000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Pr>
      <w:color w:val="000000"/>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rPr>
      <w:color w:val="00000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Pr>
      <w:color w:val="00000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Pr>
      <w:color w:val="00000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Pr>
      <w:color w:val="00000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Pr>
      <w:color w:val="00000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Pr>
      <w:color w:val="00000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Pr>
      <w:color w:val="000000"/>
    </w:rPr>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tabs>
        <w:tab w:val="num" w:pos="720"/>
      </w:tabs>
      <w:ind w:left="720" w:hanging="720"/>
      <w:contextualSpacing w:val="1"/>
    </w:pPr>
  </w:style>
  <w:style w:type="paragraph" w:styleId="ListNumber2">
    <w:name w:val="List Number 2"/>
    <w:basedOn w:val="Normal"/>
    <w:pPr>
      <w:tabs>
        <w:tab w:val="num" w:pos="720"/>
      </w:tabs>
      <w:ind w:left="720" w:hanging="720"/>
      <w:contextualSpacing w:val="1"/>
    </w:pPr>
  </w:style>
  <w:style w:type="paragraph" w:styleId="ListNumber3">
    <w:name w:val="List Number 3"/>
    <w:basedOn w:val="Normal"/>
    <w:pPr>
      <w:tabs>
        <w:tab w:val="num" w:pos="720"/>
      </w:tabs>
      <w:ind w:left="720" w:hanging="720"/>
      <w:contextualSpacing w:val="1"/>
    </w:pPr>
  </w:style>
  <w:style w:type="paragraph" w:styleId="ListNumber4">
    <w:name w:val="List Number 4"/>
    <w:basedOn w:val="Normal"/>
    <w:pPr>
      <w:tabs>
        <w:tab w:val="num" w:pos="720"/>
      </w:tabs>
      <w:ind w:left="720" w:hanging="720"/>
      <w:contextualSpacing w:val="1"/>
    </w:pPr>
  </w:style>
  <w:style w:type="paragraph" w:styleId="ListNumber5">
    <w:name w:val="List Number 5"/>
    <w:basedOn w:val="Normal"/>
    <w:pPr>
      <w:tabs>
        <w:tab w:val="num" w:pos="720"/>
      </w:tabs>
      <w:ind w:left="720" w:hanging="720"/>
      <w:contextualSpacing w:val="1"/>
    </w:pPr>
  </w:style>
  <w:style w:type="paragraph" w:styleId="ListParagraph">
    <w:name w:val="List Paragraph"/>
    <w:basedOn w:val="Normal"/>
    <w:uiPriority w:val="34"/>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Pr>
      <w:color w:val="000000"/>
    </w:rPr>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Pr>
      <w:color w:val="000000"/>
    </w:rPr>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Pr>
      <w:color w:val="000000"/>
    </w:rPr>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Pr>
      <w:color w:val="000000"/>
    </w:rPr>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Pr>
      <w:color w:val="000000"/>
    </w:rPr>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Pr>
      <w:color w:val="000000"/>
    </w:rPr>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Pr>
      <w:color w:val="000000"/>
    </w:rPr>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szCs w:val="24"/>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color w:val="000000"/>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paragraph" w:styleId="Subtitle">
    <w:name w:val="Subtitle"/>
    <w:basedOn w:val="Normal"/>
    <w:next w:val="Normal"/>
    <w:link w:val="SubtitleChar"/>
    <w:uiPriority w:val="11"/>
    <w:qFormat w:val="1"/>
    <w:pPr>
      <w:spacing w:after="60"/>
      <w:jc w:val="center"/>
    </w:pPr>
    <w:rPr>
      <w:rFonts w:ascii="Cambria" w:cs="Cambria" w:eastAsia="Cambria" w:hAnsi="Cambria"/>
      <w:sz w:val="24"/>
      <w:szCs w:val="24"/>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link w:val="Heading1"/>
    <w:uiPriority w:val="9"/>
    <w:rPr>
      <w:rFonts w:eastAsia="STZhongsong"/>
      <w:sz w:val="22"/>
      <w:lang w:eastAsia="zh-CN"/>
    </w:rPr>
  </w:style>
  <w:style w:type="character" w:styleId="Heading2Char" w:customStyle="1">
    <w:name w:val="Heading 2 Char"/>
    <w:link w:val="Heading2"/>
    <w:uiPriority w:val="9"/>
    <w:rPr>
      <w:rFonts w:ascii="Calibri" w:eastAsia="STZhongsong" w:hAnsi="Calibri"/>
      <w:sz w:val="22"/>
      <w:lang w:eastAsia="zh-CN"/>
    </w:rPr>
  </w:style>
  <w:style w:type="character" w:styleId="Heading3Char" w:customStyle="1">
    <w:name w:val="Heading 3 Char"/>
    <w:link w:val="Heading3"/>
    <w:uiPriority w:val="9"/>
    <w:rPr>
      <w:rFonts w:eastAsia="STZhongsong"/>
      <w:sz w:val="22"/>
      <w:lang w:eastAsia="zh-CN"/>
    </w:rPr>
  </w:style>
  <w:style w:type="character" w:styleId="Heading4Char" w:customStyle="1">
    <w:name w:val="Heading 4 Char"/>
    <w:link w:val="Heading4"/>
    <w:uiPriority w:val="9"/>
    <w:rPr>
      <w:rFonts w:eastAsia="STZhongsong"/>
      <w:sz w:val="22"/>
      <w:lang w:eastAsia="zh-CN"/>
    </w:rPr>
  </w:style>
  <w:style w:type="character" w:styleId="Heading5Char" w:customStyle="1">
    <w:name w:val="Heading 5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sz w:val="22"/>
      <w:lang w:eastAsia="zh-CN"/>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cs="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rPr>
      <w:sz w:val="24"/>
      <w:szCs w:val="24"/>
    </w:r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cs="Arial" w:hAnsi="Calibri"/>
      <w:lang w:eastAsia="zh-CN"/>
    </w:rPr>
  </w:style>
  <w:style w:type="paragraph" w:styleId="GPSL4numberedclause" w:customStyle="1">
    <w:name w:val="GPS L4 numbered clause"/>
    <w:basedOn w:val="GPSL3numberedclause"/>
    <w:link w:val="GPSL4numberedclauseChar"/>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line="240" w:lineRule="auto"/>
      <w:textAlignment w:val="auto"/>
    </w:pPr>
    <w:rPr>
      <w:rFonts w:ascii="Calibri" w:cs="Arial" w:hAnsi="Calibri"/>
      <w:b w:val="1"/>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qFormat w:val="1"/>
    <w:pPr>
      <w:tabs>
        <w:tab w:val="left" w:pos="-9"/>
        <w:tab w:val="num" w:pos="720"/>
      </w:tabs>
      <w:spacing w:after="120" w:line="240" w:lineRule="auto"/>
      <w:ind w:left="720" w:hanging="720"/>
    </w:pPr>
    <w:rPr>
      <w:rFonts w:ascii="Arial" w:cs="Arial" w:hAnsi="Arial"/>
    </w:rPr>
  </w:style>
  <w:style w:type="paragraph" w:styleId="GPSDefinitionL2" w:customStyle="1">
    <w:name w:val="GPS Definition L2"/>
    <w:basedOn w:val="GPsDefinition"/>
    <w:link w:val="GPSDefinitionL2Char"/>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DefinitionTerm" w:customStyle="1">
    <w:name w:val="GPS Definition Term"/>
    <w:basedOn w:val="Normal"/>
    <w:qFormat w:val="1"/>
    <w:pPr>
      <w:spacing w:after="120" w:line="240" w:lineRule="auto"/>
      <w:ind w:left="-108"/>
      <w:jc w:val="left"/>
    </w:pPr>
    <w:rPr>
      <w:rFonts w:ascii="Arial" w:cs="Arial" w:hAnsi="Arial"/>
      <w:b w:val="1"/>
    </w:rPr>
  </w:style>
  <w:style w:type="character" w:styleId="HeaderChar" w:customStyle="1">
    <w:name w:val="Header Char"/>
    <w:link w:val="Header"/>
    <w:uiPriority w:val="99"/>
    <w:rPr>
      <w:sz w:val="22"/>
      <w:lang w:eastAsia="en-US"/>
    </w:rPr>
  </w:style>
  <w:style w:type="paragraph" w:styleId="GPSL1Schedulenumbered" w:customStyle="1">
    <w:name w:val="GPS L1 Schedule numbered"/>
    <w:basedOn w:val="Normal"/>
    <w:link w:val="GPSL1SchedulenumberedChar1"/>
    <w:qFormat w:val="1"/>
    <w:rsid w:val="00014AD9"/>
    <w:pPr>
      <w:tabs>
        <w:tab w:val="num" w:pos="720"/>
        <w:tab w:val="left" w:pos="851"/>
      </w:tabs>
      <w:spacing w:line="240" w:lineRule="auto"/>
      <w:ind w:left="720" w:hanging="720"/>
    </w:pPr>
    <w:rPr>
      <w:rFonts w:ascii="Calibri" w:cs="Arial" w:hAnsi="Calibri"/>
    </w:rPr>
  </w:style>
  <w:style w:type="character" w:styleId="GPSL1SchedulenumberedChar1" w:customStyle="1">
    <w:name w:val="GPS L1 Schedule numbered Char1"/>
    <w:link w:val="GPSL1Schedulenumbered"/>
    <w:locked w:val="1"/>
    <w:rsid w:val="00014AD9"/>
    <w:rPr>
      <w:rFonts w:ascii="Calibri" w:cs="Arial" w:hAnsi="Calibri"/>
      <w:lang w:eastAsia="en-US"/>
    </w:rPr>
  </w:style>
  <w:style w:type="character" w:styleId="GPSL4numberedclauseChar" w:customStyle="1">
    <w:name w:val="GPS L4 numbered clause Char"/>
    <w:link w:val="GPSL4numberedclause"/>
    <w:rsid w:val="00014AD9"/>
    <w:rPr>
      <w:rFonts w:ascii="Calibri" w:cs="Arial" w:hAnsi="Calibri"/>
      <w:sz w:val="22"/>
      <w:szCs w:val="22"/>
      <w:lang w:eastAsia="zh-CN"/>
    </w:rPr>
  </w:style>
  <w:style w:type="character" w:styleId="GPSL2NumberedBoldHeadingChar" w:customStyle="1">
    <w:name w:val="GPS L2 Numbered Bold Heading Char"/>
    <w:link w:val="GPSL2NumberedBoldHeading"/>
    <w:locked w:val="1"/>
    <w:rsid w:val="00014AD9"/>
    <w:rPr>
      <w:rFonts w:ascii="Calibri" w:cs="Arial" w:hAnsi="Calibri"/>
      <w:b w:val="1"/>
      <w:sz w:val="22"/>
      <w:szCs w:val="22"/>
      <w:lang w:eastAsia="zh-CN"/>
    </w:rPr>
  </w:style>
  <w:style w:type="paragraph" w:styleId="GPSL2numberedclause" w:customStyle="1">
    <w:name w:val="GPS L2 numbered clause"/>
    <w:basedOn w:val="Normal"/>
    <w:link w:val="GPSL2numberedclauseChar1"/>
    <w:qFormat w:val="1"/>
    <w:rsid w:val="00014AD9"/>
    <w:pPr>
      <w:tabs>
        <w:tab w:val="left" w:pos="1134"/>
      </w:tabs>
      <w:overflowPunct w:val="1"/>
      <w:autoSpaceDE w:val="1"/>
      <w:autoSpaceDN w:val="1"/>
      <w:spacing w:after="120" w:before="120" w:line="240" w:lineRule="auto"/>
      <w:ind w:left="1134" w:hanging="567"/>
      <w:textAlignment w:val="auto"/>
    </w:pPr>
    <w:rPr>
      <w:rFonts w:ascii="Calibri" w:cs="Arial" w:hAnsi="Calibri"/>
      <w:lang w:eastAsia="zh-CN"/>
    </w:rPr>
  </w:style>
  <w:style w:type="character" w:styleId="GPSL2numberedclauseChar1" w:customStyle="1">
    <w:name w:val="GPS L2 numbered clause Char1"/>
    <w:link w:val="GPSL2numberedclause"/>
    <w:rsid w:val="00014AD9"/>
    <w:rPr>
      <w:rFonts w:ascii="Calibri" w:cs="Arial" w:hAnsi="Calibri"/>
      <w:sz w:val="22"/>
      <w:szCs w:val="22"/>
      <w:lang w:eastAsia="zh-CN"/>
    </w:rPr>
  </w:style>
  <w:style w:type="paragraph" w:styleId="Body3" w:customStyle="1">
    <w:name w:val="Body3"/>
    <w:basedOn w:val="Normal"/>
    <w:uiPriority w:val="99"/>
    <w:rsid w:val="00014AD9"/>
    <w:pPr>
      <w:overflowPunct w:val="1"/>
      <w:autoSpaceDE w:val="1"/>
      <w:autoSpaceDN w:val="1"/>
      <w:adjustRightInd w:val="1"/>
      <w:spacing w:after="220" w:line="240" w:lineRule="auto"/>
      <w:ind w:left="1412"/>
      <w:textAlignment w:val="auto"/>
    </w:pPr>
    <w:rPr>
      <w:rFonts w:ascii="Trebuchet MS" w:hAnsi="Trebuchet MS"/>
      <w:sz w:val="20"/>
    </w:rPr>
  </w:style>
  <w:style w:type="character" w:styleId="GPSDefinitionL2Char" w:customStyle="1">
    <w:name w:val="GPS Definition L2 Char"/>
    <w:link w:val="GPSDefinitionL2"/>
    <w:locked w:val="1"/>
    <w:rsid w:val="00014AD9"/>
    <w:rPr>
      <w:rFonts w:ascii="Arial" w:cs="Arial" w:hAnsi="Arial"/>
      <w:sz w:val="22"/>
      <w:szCs w:val="22"/>
      <w:lang w:eastAsia="en-US"/>
    </w:rPr>
  </w:style>
  <w:style w:type="paragraph" w:styleId="Revision">
    <w:name w:val="Revision"/>
    <w:hidden w:val="1"/>
    <w:uiPriority w:val="99"/>
    <w:semiHidden w:val="1"/>
    <w:rsid w:val="00F73B5B"/>
    <w:rPr>
      <w:lang w:eastAsia="en-US"/>
    </w:r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rPr>
      <w:rFonts w:ascii="Cambria" w:cs="Cambria" w:eastAsia="Cambria" w:hAnsi="Cambria"/>
      <w:b w:val="1"/>
      <w:color w:val="ffffff"/>
    </w:rPr>
    <w:tblPr>
      <w:tblStyleRowBandSize w:val="1"/>
      <w:tblStyleColBandSize w:val="1"/>
      <w:tblCellMar>
        <w:left w:w="115.0" w:type="dxa"/>
        <w:right w:w="115.0" w:type="dxa"/>
      </w:tblCellMar>
    </w:tblPr>
    <w:tcPr>
      <w:shd w:color="auto" w:fill="auto" w:val="clear"/>
    </w:tc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kbl6tcgy5XaNDkoVdS5BwxIwg==">CgMxLjAyCGguZ2pkZ3hzMgloLjMwajB6bGwyCWguMXB4ZXp3YzIJaC4xZm9iOXRlMg5oLjd1MTRkdWdobnR5ejIOaC5rdjVqMW1kNm4wOW0yDmgua3Y1ajFtZDZuMDlt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GpFCjZzdWdnZXN0SWRJbXBvcnQwZWYzYzk3YS04ODE4LTQ4MDMtYTQxYy01ZTYzMjQ3YjhkOTdfMTISC1NhbCBUZW1wZXJhaiMKFHN1Z2dlc3QudXJwbDlwa3RvYnhoEgtTYWwgVGVtcGVyYWonChRzdWdnZXN0LmxvMHZvY2dheWw0aRIPSnVhbml0YSBSYW5kbGVzaiMKFHN1Z2dlc3QueGV2bDUzODV4ZHBnEgtTYWwgVGVtcGVyYWojChRzdWdnZXN0Lm92cm9mem81enBtcRILU2FsIFRlbXBlcmFqJwoUc3VnZ2VzdC5sc3ZyMXRmeXJrbXkSD0p1YW5pdGEgUmFuZGxlc2ojChRzdWdnZXN0LmNuOG4xdXkxcjgwYxILU2FsIFRlbXBlcmFqIwoUc3VnZ2VzdC5hdWs2ODh3c285cW0SC1NhbCBUZW1wZXJhciExQ0NsdVNvQ09WS1lCdldKaWJoQll1eExXZDZHM28xW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2024-02-28T20:27:00Z</dcterms:created>
  <dc:creator>Duncan Shinn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