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567DA" w14:textId="77777777" w:rsidR="00B318C0" w:rsidRDefault="00B318C0">
      <w:pPr>
        <w:rPr>
          <w:rFonts w:ascii="Arial" w:eastAsia="Arial" w:hAnsi="Arial" w:cs="Arial"/>
          <w:b/>
          <w:sz w:val="36"/>
          <w:szCs w:val="36"/>
        </w:rPr>
      </w:pPr>
      <w:bookmarkStart w:id="0" w:name="_GoBack"/>
      <w:bookmarkEnd w:id="0"/>
    </w:p>
    <w:p w14:paraId="2E6DE10D" w14:textId="77777777" w:rsidR="00B318C0" w:rsidRDefault="00DA5A17">
      <w:pPr>
        <w:rPr>
          <w:rFonts w:ascii="Arial" w:eastAsia="Arial" w:hAnsi="Arial" w:cs="Arial"/>
          <w:b/>
          <w:sz w:val="36"/>
          <w:szCs w:val="36"/>
        </w:rPr>
      </w:pPr>
      <w:r>
        <w:rPr>
          <w:rFonts w:ascii="Arial" w:eastAsia="Arial" w:hAnsi="Arial" w:cs="Arial"/>
          <w:b/>
          <w:sz w:val="36"/>
          <w:szCs w:val="36"/>
        </w:rPr>
        <w:t>Joint Schedule 1 (Definitions)</w:t>
      </w:r>
    </w:p>
    <w:p w14:paraId="485F74CE" w14:textId="77777777" w:rsidR="00B318C0" w:rsidRDefault="00DA5A17">
      <w:pPr>
        <w:numPr>
          <w:ilvl w:val="1"/>
          <w:numId w:val="33"/>
        </w:numPr>
        <w:pBdr>
          <w:top w:val="nil"/>
          <w:left w:val="nil"/>
          <w:bottom w:val="nil"/>
          <w:right w:val="nil"/>
          <w:between w:val="nil"/>
        </w:pBdr>
        <w:tabs>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110EED0" w14:textId="77777777" w:rsidR="00B318C0" w:rsidRDefault="00DA5A17">
      <w:pPr>
        <w:numPr>
          <w:ilvl w:val="1"/>
          <w:numId w:val="3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1A64B39" w14:textId="77777777" w:rsidR="00B318C0" w:rsidRDefault="00DA5A17">
      <w:pPr>
        <w:numPr>
          <w:ilvl w:val="1"/>
          <w:numId w:val="3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73A0A33E" w14:textId="77777777" w:rsidR="00B318C0" w:rsidRDefault="00DA5A17">
      <w:pPr>
        <w:numPr>
          <w:ilvl w:val="2"/>
          <w:numId w:val="33"/>
        </w:numPr>
        <w:pBdr>
          <w:top w:val="nil"/>
          <w:left w:val="nil"/>
          <w:bottom w:val="nil"/>
          <w:right w:val="nil"/>
          <w:between w:val="nil"/>
        </w:pBdr>
        <w:tabs>
          <w:tab w:val="left" w:pos="1418"/>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74A3840C"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400DAA62"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674E4C56"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41D37E2C"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699C2C48"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75BBF3E"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05C47562"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CD7EB7E"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2723822"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52E057C0"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lastRenderedPageBreak/>
        <w:t xml:space="preserve">the headings in each Contract are for ease of reference only and shall not affect the interpretation or construction of a Contract; </w:t>
      </w:r>
    </w:p>
    <w:p w14:paraId="03935412"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460CD88E"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75DCAB41" w14:textId="77777777" w:rsidR="00B318C0" w:rsidRDefault="00DA5A17">
      <w:pPr>
        <w:numPr>
          <w:ilvl w:val="3"/>
          <w:numId w:val="33"/>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DA2DD7E" w14:textId="77777777" w:rsidR="00B318C0" w:rsidRDefault="00DA5A17">
      <w:pPr>
        <w:numPr>
          <w:ilvl w:val="3"/>
          <w:numId w:val="33"/>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5C17EE6F"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D22F2FD" w14:textId="77777777" w:rsidR="00B318C0" w:rsidRDefault="00DA5A17">
      <w:pPr>
        <w:numPr>
          <w:ilvl w:val="2"/>
          <w:numId w:val="33"/>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60D0A581" w14:textId="77777777" w:rsidR="00B318C0" w:rsidRDefault="00DA5A17">
      <w:pPr>
        <w:numPr>
          <w:ilvl w:val="1"/>
          <w:numId w:val="3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3F6A3EA6" w14:textId="77777777" w:rsidR="00B318C0" w:rsidRDefault="00B318C0">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29"/>
      </w:tblGrid>
      <w:tr w:rsidR="00B318C0" w14:paraId="5F7DDDDB" w14:textId="77777777">
        <w:tc>
          <w:tcPr>
            <w:tcW w:w="2552" w:type="dxa"/>
            <w:shd w:val="clear" w:color="auto" w:fill="auto"/>
          </w:tcPr>
          <w:p w14:paraId="69F238A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bookmarkStart w:id="4" w:name="_heading=h.3znysh7" w:colFirst="0" w:colLast="0"/>
            <w:bookmarkEnd w:id="4"/>
            <w:r>
              <w:rPr>
                <w:rFonts w:ascii="Arial" w:eastAsia="Arial" w:hAnsi="Arial" w:cs="Arial"/>
                <w:b/>
                <w:color w:val="000000"/>
                <w:sz w:val="22"/>
                <w:szCs w:val="22"/>
              </w:rPr>
              <w:t>“Achieve“</w:t>
            </w:r>
          </w:p>
        </w:tc>
        <w:tc>
          <w:tcPr>
            <w:tcW w:w="7229" w:type="dxa"/>
            <w:shd w:val="clear" w:color="auto" w:fill="auto"/>
          </w:tcPr>
          <w:p w14:paraId="0C742A0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in respect of a Test, to successfully pass such Test without any Test Issues and in respect of a Milestone, the issue by the Buyer of a written confirmation that the relevant Milestone has been passed in respect of that Milestone and “</w:t>
            </w:r>
            <w:r>
              <w:rPr>
                <w:rFonts w:ascii="Arial" w:eastAsia="Arial" w:hAnsi="Arial" w:cs="Arial"/>
                <w:b/>
                <w:color w:val="000000"/>
                <w:sz w:val="22"/>
                <w:szCs w:val="22"/>
              </w:rPr>
              <w:t>Achieved</w:t>
            </w:r>
            <w:r>
              <w:rPr>
                <w:rFonts w:ascii="Arial" w:eastAsia="Arial" w:hAnsi="Arial" w:cs="Arial"/>
                <w:color w:val="000000"/>
                <w:sz w:val="22"/>
                <w:szCs w:val="22"/>
              </w:rPr>
              <w:t>”, “</w:t>
            </w:r>
            <w:r>
              <w:rPr>
                <w:rFonts w:ascii="Arial" w:eastAsia="Arial" w:hAnsi="Arial" w:cs="Arial"/>
                <w:b/>
                <w:color w:val="000000"/>
                <w:sz w:val="22"/>
                <w:szCs w:val="22"/>
              </w:rPr>
              <w:t>Achieving</w:t>
            </w:r>
            <w:r>
              <w:rPr>
                <w:rFonts w:ascii="Arial" w:eastAsia="Arial" w:hAnsi="Arial" w:cs="Arial"/>
                <w:color w:val="000000"/>
                <w:sz w:val="22"/>
                <w:szCs w:val="22"/>
              </w:rPr>
              <w:t>” and “</w:t>
            </w:r>
            <w:r>
              <w:rPr>
                <w:rFonts w:ascii="Arial" w:eastAsia="Arial" w:hAnsi="Arial" w:cs="Arial"/>
                <w:b/>
                <w:color w:val="000000"/>
                <w:sz w:val="22"/>
                <w:szCs w:val="22"/>
              </w:rPr>
              <w:t>Achievement</w:t>
            </w:r>
            <w:r>
              <w:rPr>
                <w:rFonts w:ascii="Arial" w:eastAsia="Arial" w:hAnsi="Arial" w:cs="Arial"/>
                <w:color w:val="000000"/>
                <w:sz w:val="22"/>
                <w:szCs w:val="22"/>
              </w:rPr>
              <w:t>” shall be construed accordingly;</w:t>
            </w:r>
          </w:p>
        </w:tc>
      </w:tr>
      <w:tr w:rsidR="00E840DB" w14:paraId="75DD776E" w14:textId="77777777" w:rsidTr="00E840DB">
        <w:tc>
          <w:tcPr>
            <w:tcW w:w="2552" w:type="dxa"/>
            <w:shd w:val="clear" w:color="auto" w:fill="FFFF00"/>
          </w:tcPr>
          <w:p w14:paraId="03B13005" w14:textId="77D1E764" w:rsidR="00E840DB" w:rsidRDefault="00E840DB">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t>“ACMI”</w:t>
            </w:r>
          </w:p>
        </w:tc>
        <w:tc>
          <w:tcPr>
            <w:tcW w:w="7229" w:type="dxa"/>
            <w:shd w:val="clear" w:color="auto" w:fill="FFFF00"/>
          </w:tcPr>
          <w:p w14:paraId="3F8BEBAF" w14:textId="3D135D0F" w:rsidR="00E840DB" w:rsidRDefault="00E840DB">
            <w:pPr>
              <w:pBdr>
                <w:top w:val="nil"/>
                <w:left w:val="nil"/>
                <w:bottom w:val="nil"/>
                <w:right w:val="nil"/>
                <w:between w:val="nil"/>
              </w:pBdr>
              <w:spacing w:before="60" w:after="60"/>
              <w:ind w:left="140" w:right="144"/>
              <w:jc w:val="both"/>
              <w:rPr>
                <w:rFonts w:ascii="Arial" w:eastAsia="Arial" w:hAnsi="Arial" w:cs="Arial"/>
                <w:color w:val="000000"/>
              </w:rPr>
            </w:pPr>
            <w:r>
              <w:rPr>
                <w:rFonts w:ascii="Arial" w:hAnsi="Arial" w:cs="Arial"/>
                <w:color w:val="000000"/>
                <w:sz w:val="22"/>
                <w:szCs w:val="22"/>
              </w:rPr>
              <w:t>an acronym that covers Aircraft, Crew, Maintenance and Insurance. For the purposes of this framework shall have the same intention as a ‘Wet-lease</w:t>
            </w:r>
          </w:p>
        </w:tc>
      </w:tr>
      <w:tr w:rsidR="00B318C0" w14:paraId="0FF060B1" w14:textId="77777777">
        <w:tc>
          <w:tcPr>
            <w:tcW w:w="2552" w:type="dxa"/>
            <w:shd w:val="clear" w:color="auto" w:fill="auto"/>
          </w:tcPr>
          <w:p w14:paraId="7AB5100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“Additional Insurances”</w:t>
            </w:r>
          </w:p>
        </w:tc>
        <w:tc>
          <w:tcPr>
            <w:tcW w:w="7229" w:type="dxa"/>
            <w:shd w:val="clear" w:color="auto" w:fill="auto"/>
          </w:tcPr>
          <w:p w14:paraId="0F356F0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insurance requirements relating to a Call-Off Contract specified in the Order Form additional to those outlined in Joint Schedule 3 (Insurance Requirements); </w:t>
            </w:r>
          </w:p>
        </w:tc>
      </w:tr>
      <w:tr w:rsidR="00B318C0" w14:paraId="3C63E01D" w14:textId="77777777">
        <w:tc>
          <w:tcPr>
            <w:tcW w:w="2552" w:type="dxa"/>
            <w:shd w:val="clear" w:color="auto" w:fill="auto"/>
          </w:tcPr>
          <w:p w14:paraId="13BA2C4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“Admin Fee”</w:t>
            </w:r>
          </w:p>
        </w:tc>
        <w:tc>
          <w:tcPr>
            <w:tcW w:w="7229" w:type="dxa"/>
            <w:shd w:val="clear" w:color="auto" w:fill="auto"/>
          </w:tcPr>
          <w:p w14:paraId="6841B90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the costs incurred by CCS in dealing with MI Failures calculated in accordance with the tariff of administration charges published by the CCS on: http://CCS.cabinetoffice.gov.uk/i-am-supplier/management-information/admin-fees;</w:t>
            </w:r>
          </w:p>
        </w:tc>
      </w:tr>
      <w:tr w:rsidR="00B318C0" w14:paraId="32808421" w14:textId="77777777">
        <w:tc>
          <w:tcPr>
            <w:tcW w:w="2552" w:type="dxa"/>
            <w:shd w:val="clear" w:color="auto" w:fill="auto"/>
          </w:tcPr>
          <w:p w14:paraId="5E99969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“Affected Party”</w:t>
            </w:r>
          </w:p>
        </w:tc>
        <w:tc>
          <w:tcPr>
            <w:tcW w:w="7229" w:type="dxa"/>
            <w:shd w:val="clear" w:color="auto" w:fill="auto"/>
          </w:tcPr>
          <w:p w14:paraId="4532374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Party seeking to claim relief in respect of a Force Majeure Event;</w:t>
            </w:r>
          </w:p>
        </w:tc>
      </w:tr>
      <w:tr w:rsidR="00B318C0" w14:paraId="6CA59AA3" w14:textId="77777777">
        <w:tc>
          <w:tcPr>
            <w:tcW w:w="2552" w:type="dxa"/>
            <w:shd w:val="clear" w:color="auto" w:fill="auto"/>
          </w:tcPr>
          <w:p w14:paraId="0759A2D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“Affiliates”</w:t>
            </w:r>
          </w:p>
        </w:tc>
        <w:tc>
          <w:tcPr>
            <w:tcW w:w="7229" w:type="dxa"/>
            <w:shd w:val="clear" w:color="auto" w:fill="auto"/>
          </w:tcPr>
          <w:p w14:paraId="14C88BB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in relation to a body corporate, any other entity which directly or indirectly Controls, is Controlled by, or is under direct or indirect common Control of that body corporate from time to time;</w:t>
            </w:r>
          </w:p>
        </w:tc>
      </w:tr>
      <w:tr w:rsidR="00E840DB" w14:paraId="198AA961" w14:textId="77777777" w:rsidTr="00E840DB">
        <w:tc>
          <w:tcPr>
            <w:tcW w:w="2552" w:type="dxa"/>
            <w:shd w:val="clear" w:color="auto" w:fill="FFFF00"/>
          </w:tcPr>
          <w:p w14:paraId="579F6D29" w14:textId="19B3CE73" w:rsidR="00E840DB" w:rsidRDefault="00E840DB">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t>“Air Charter”</w:t>
            </w:r>
          </w:p>
        </w:tc>
        <w:tc>
          <w:tcPr>
            <w:tcW w:w="7229" w:type="dxa"/>
            <w:shd w:val="clear" w:color="auto" w:fill="FFFF00"/>
          </w:tcPr>
          <w:p w14:paraId="1A2BB34F" w14:textId="6CFE2033" w:rsidR="00E840DB" w:rsidRDefault="00E840DB">
            <w:pPr>
              <w:pBdr>
                <w:top w:val="nil"/>
                <w:left w:val="nil"/>
                <w:bottom w:val="nil"/>
                <w:right w:val="nil"/>
                <w:between w:val="nil"/>
              </w:pBdr>
              <w:spacing w:before="60" w:after="60"/>
              <w:ind w:left="140" w:right="144"/>
              <w:jc w:val="both"/>
              <w:rPr>
                <w:rFonts w:ascii="Arial" w:eastAsia="Arial" w:hAnsi="Arial" w:cs="Arial"/>
                <w:color w:val="000000"/>
              </w:rPr>
            </w:pPr>
            <w:r w:rsidRPr="00E840DB">
              <w:rPr>
                <w:rFonts w:ascii="Arial" w:eastAsia="Arial" w:hAnsi="Arial" w:cs="Arial"/>
                <w:color w:val="000000"/>
                <w:sz w:val="22"/>
                <w:szCs w:val="22"/>
              </w:rPr>
              <w:t xml:space="preserve">For the purpose of this framework, Air Charter shall have the following meaning. Any private air hire service, for fixed or rotary wing aircraft, </w:t>
            </w:r>
            <w:r w:rsidRPr="00E840DB">
              <w:rPr>
                <w:rFonts w:ascii="Arial" w:eastAsia="Arial" w:hAnsi="Arial" w:cs="Arial"/>
                <w:color w:val="000000"/>
                <w:sz w:val="22"/>
                <w:szCs w:val="22"/>
              </w:rPr>
              <w:lastRenderedPageBreak/>
              <w:t>including crew, maintenance, insurance. This includes both wet-lease and ACMI. For clarity, an aircraft may be chartered for a single journey, multiple journeys, for a set period of time, and/or on a banked hours basis.</w:t>
            </w:r>
          </w:p>
        </w:tc>
      </w:tr>
      <w:tr w:rsidR="00B318C0" w14:paraId="57D5F759" w14:textId="77777777">
        <w:tc>
          <w:tcPr>
            <w:tcW w:w="2552" w:type="dxa"/>
            <w:shd w:val="clear" w:color="auto" w:fill="auto"/>
          </w:tcPr>
          <w:p w14:paraId="282A5C4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“Annex”</w:t>
            </w:r>
          </w:p>
        </w:tc>
        <w:tc>
          <w:tcPr>
            <w:tcW w:w="7229" w:type="dxa"/>
            <w:shd w:val="clear" w:color="auto" w:fill="auto"/>
          </w:tcPr>
          <w:p w14:paraId="7C22A30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extra information which supports a Schedule;</w:t>
            </w:r>
          </w:p>
        </w:tc>
      </w:tr>
      <w:tr w:rsidR="00B318C0" w14:paraId="563CBC5C" w14:textId="77777777">
        <w:tc>
          <w:tcPr>
            <w:tcW w:w="2552" w:type="dxa"/>
            <w:shd w:val="clear" w:color="auto" w:fill="auto"/>
          </w:tcPr>
          <w:p w14:paraId="467EF21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“Approval”</w:t>
            </w:r>
          </w:p>
        </w:tc>
        <w:tc>
          <w:tcPr>
            <w:tcW w:w="7229" w:type="dxa"/>
            <w:shd w:val="clear" w:color="auto" w:fill="auto"/>
          </w:tcPr>
          <w:p w14:paraId="0F193CC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prior written consent of the Buyer and “</w:t>
            </w:r>
            <w:r>
              <w:rPr>
                <w:rFonts w:ascii="Arial" w:eastAsia="Arial" w:hAnsi="Arial" w:cs="Arial"/>
                <w:b/>
                <w:color w:val="000000"/>
                <w:sz w:val="22"/>
                <w:szCs w:val="22"/>
              </w:rPr>
              <w:t>Approve</w:t>
            </w:r>
            <w:r>
              <w:rPr>
                <w:rFonts w:ascii="Arial" w:eastAsia="Arial" w:hAnsi="Arial" w:cs="Arial"/>
                <w:color w:val="000000"/>
                <w:sz w:val="22"/>
                <w:szCs w:val="22"/>
              </w:rPr>
              <w:t>” and “</w:t>
            </w:r>
            <w:r>
              <w:rPr>
                <w:rFonts w:ascii="Arial" w:eastAsia="Arial" w:hAnsi="Arial" w:cs="Arial"/>
                <w:b/>
                <w:color w:val="000000"/>
                <w:sz w:val="22"/>
                <w:szCs w:val="22"/>
              </w:rPr>
              <w:t>Approved</w:t>
            </w:r>
            <w:r>
              <w:rPr>
                <w:rFonts w:ascii="Arial" w:eastAsia="Arial" w:hAnsi="Arial" w:cs="Arial"/>
                <w:color w:val="000000"/>
                <w:sz w:val="22"/>
                <w:szCs w:val="22"/>
              </w:rPr>
              <w:t>” shall be construed accordingly;</w:t>
            </w:r>
          </w:p>
        </w:tc>
      </w:tr>
      <w:tr w:rsidR="00B318C0" w14:paraId="1BBF263C" w14:textId="77777777">
        <w:tc>
          <w:tcPr>
            <w:tcW w:w="2552" w:type="dxa"/>
            <w:shd w:val="clear" w:color="auto" w:fill="auto"/>
          </w:tcPr>
          <w:p w14:paraId="7313061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“Audit”</w:t>
            </w:r>
          </w:p>
        </w:tc>
        <w:tc>
          <w:tcPr>
            <w:tcW w:w="7229" w:type="dxa"/>
            <w:shd w:val="clear" w:color="auto" w:fill="auto"/>
          </w:tcPr>
          <w:p w14:paraId="3BDE679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Relevant Authority’s right to: </w:t>
            </w:r>
          </w:p>
          <w:p w14:paraId="5E380834"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 xml:space="preserve">verify the accuracy of the Charges and any other amounts payable by a Buyer under a Call-Off Contract (including proposed or actual variations to them in accordance with the Contract); </w:t>
            </w:r>
          </w:p>
          <w:p w14:paraId="269FADA0"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verify the costs of the Supplier (including the costs of all Subcontractors and any third party suppliers) in connection with the provision of the Services;</w:t>
            </w:r>
          </w:p>
          <w:p w14:paraId="56D49AD5"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verify the Open Book Data;</w:t>
            </w:r>
          </w:p>
          <w:p w14:paraId="3544B0B3"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verify the Supplier’s and each Subcontractor’s compliance with the Contract and applicable Law;</w:t>
            </w:r>
          </w:p>
          <w:p w14:paraId="273B9C45"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4E6C35B"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identify or investigate any circumstances which may impact upon the financial stability of the Supplier, any Guarantor, and/or any Subcontractors or their ability to provide the Deliverables;</w:t>
            </w:r>
          </w:p>
          <w:p w14:paraId="13E14E0E"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457C3A50"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review any books of account and the internal contract management accounts kept by the Supplier in connection with each Contract;</w:t>
            </w:r>
          </w:p>
          <w:p w14:paraId="49D5F6FD"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carry out the Relevant Authority’s internal and statutory audits and to prepare, examine and/or certify the Relevant Authority's annual and interim reports and accounts;</w:t>
            </w:r>
          </w:p>
          <w:p w14:paraId="30711F47"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enable the National Audit Office to carry out an examination pursuant to Section 6(1) of the National Audit Act 1983 of the economy, efficiency and effectiveness with which the Relevant Authority has used its resources; or</w:t>
            </w:r>
          </w:p>
          <w:p w14:paraId="7EC9B8B0" w14:textId="77777777" w:rsidR="00B318C0" w:rsidRDefault="00DA5A17">
            <w:pPr>
              <w:numPr>
                <w:ilvl w:val="0"/>
                <w:numId w:val="17"/>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verify the accuracy and completeness of any Management Information delivered or required by the Framework Contract;</w:t>
            </w:r>
          </w:p>
        </w:tc>
      </w:tr>
      <w:tr w:rsidR="00B318C0" w14:paraId="6115C0C0" w14:textId="77777777">
        <w:tc>
          <w:tcPr>
            <w:tcW w:w="2552" w:type="dxa"/>
            <w:shd w:val="clear" w:color="auto" w:fill="auto"/>
          </w:tcPr>
          <w:p w14:paraId="0F2A8DA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“Auditor”</w:t>
            </w:r>
          </w:p>
        </w:tc>
        <w:tc>
          <w:tcPr>
            <w:tcW w:w="7229" w:type="dxa"/>
            <w:shd w:val="clear" w:color="auto" w:fill="auto"/>
          </w:tcPr>
          <w:p w14:paraId="6E895945" w14:textId="77777777" w:rsidR="00B318C0" w:rsidRDefault="00DA5A17">
            <w:pPr>
              <w:numPr>
                <w:ilvl w:val="0"/>
                <w:numId w:val="20"/>
              </w:numPr>
              <w:pBdr>
                <w:top w:val="nil"/>
                <w:left w:val="nil"/>
                <w:bottom w:val="nil"/>
                <w:right w:val="nil"/>
                <w:between w:val="nil"/>
              </w:pBdr>
              <w:tabs>
                <w:tab w:val="left" w:pos="-2316"/>
                <w:tab w:val="left" w:pos="-2100"/>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the Relevant Authority’s internal and external auditors;</w:t>
            </w:r>
          </w:p>
          <w:p w14:paraId="263293D8" w14:textId="77777777" w:rsidR="00B318C0" w:rsidRDefault="00DA5A17">
            <w:pPr>
              <w:numPr>
                <w:ilvl w:val="0"/>
                <w:numId w:val="20"/>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the Relevant Authority’s statutory or regulatory auditors;</w:t>
            </w:r>
          </w:p>
          <w:p w14:paraId="7D5E8EF8" w14:textId="77777777" w:rsidR="00B318C0" w:rsidRDefault="00DA5A17">
            <w:pPr>
              <w:numPr>
                <w:ilvl w:val="0"/>
                <w:numId w:val="20"/>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the Comptroller and Auditor General, their staff and/or any appointed representatives of the National Audit Office;</w:t>
            </w:r>
          </w:p>
          <w:p w14:paraId="2F9FC791" w14:textId="77777777" w:rsidR="00B318C0" w:rsidRDefault="00DA5A17">
            <w:pPr>
              <w:numPr>
                <w:ilvl w:val="0"/>
                <w:numId w:val="20"/>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HM Treasury or the Cabinet Office;</w:t>
            </w:r>
          </w:p>
          <w:p w14:paraId="1FB7C8BD" w14:textId="77777777" w:rsidR="00B318C0" w:rsidRDefault="00DA5A17">
            <w:pPr>
              <w:numPr>
                <w:ilvl w:val="0"/>
                <w:numId w:val="20"/>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lastRenderedPageBreak/>
              <w:t>any party formally appointed by the Relevant Authority to carry out audit or similar review functions; and</w:t>
            </w:r>
          </w:p>
          <w:p w14:paraId="689CC3F0" w14:textId="77777777" w:rsidR="00B318C0" w:rsidRDefault="00DA5A17">
            <w:pPr>
              <w:numPr>
                <w:ilvl w:val="0"/>
                <w:numId w:val="20"/>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successors or assigns of any of the above;</w:t>
            </w:r>
          </w:p>
        </w:tc>
      </w:tr>
      <w:tr w:rsidR="00B318C0" w14:paraId="39035EA7" w14:textId="77777777">
        <w:trPr>
          <w:trHeight w:val="601"/>
        </w:trPr>
        <w:tc>
          <w:tcPr>
            <w:tcW w:w="2552" w:type="dxa"/>
            <w:shd w:val="clear" w:color="auto" w:fill="auto"/>
          </w:tcPr>
          <w:p w14:paraId="1A907B8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“Authority”</w:t>
            </w:r>
          </w:p>
        </w:tc>
        <w:tc>
          <w:tcPr>
            <w:tcW w:w="7229" w:type="dxa"/>
            <w:shd w:val="clear" w:color="auto" w:fill="auto"/>
          </w:tcPr>
          <w:p w14:paraId="33E0254A" w14:textId="77777777" w:rsidR="00B318C0" w:rsidRDefault="00DA5A17">
            <w:pPr>
              <w:spacing w:before="60" w:after="60"/>
              <w:ind w:left="140" w:right="144"/>
              <w:jc w:val="both"/>
              <w:rPr>
                <w:rFonts w:ascii="Arial" w:eastAsia="Arial" w:hAnsi="Arial" w:cs="Arial"/>
                <w:sz w:val="22"/>
                <w:szCs w:val="22"/>
              </w:rPr>
            </w:pPr>
            <w:r>
              <w:rPr>
                <w:rFonts w:ascii="Arial" w:eastAsia="Arial" w:hAnsi="Arial" w:cs="Arial"/>
                <w:sz w:val="22"/>
                <w:szCs w:val="22"/>
              </w:rPr>
              <w:t xml:space="preserve">CCS </w:t>
            </w:r>
            <w:r>
              <w:rPr>
                <w:rFonts w:ascii="Arial" w:eastAsia="Arial" w:hAnsi="Arial" w:cs="Arial"/>
                <w:color w:val="000000"/>
                <w:sz w:val="22"/>
                <w:szCs w:val="22"/>
              </w:rPr>
              <w:t>and</w:t>
            </w:r>
            <w:r>
              <w:rPr>
                <w:rFonts w:ascii="Arial" w:eastAsia="Arial" w:hAnsi="Arial" w:cs="Arial"/>
                <w:sz w:val="22"/>
                <w:szCs w:val="22"/>
              </w:rPr>
              <w:t xml:space="preserve"> each Buyer;</w:t>
            </w:r>
          </w:p>
        </w:tc>
      </w:tr>
      <w:tr w:rsidR="00B318C0" w14:paraId="47D8D3E6" w14:textId="77777777">
        <w:tc>
          <w:tcPr>
            <w:tcW w:w="2552" w:type="dxa"/>
            <w:shd w:val="clear" w:color="auto" w:fill="auto"/>
          </w:tcPr>
          <w:p w14:paraId="5152ED2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“Authority Cause”</w:t>
            </w:r>
          </w:p>
        </w:tc>
        <w:tc>
          <w:tcPr>
            <w:tcW w:w="7229" w:type="dxa"/>
            <w:shd w:val="clear" w:color="auto" w:fill="auto"/>
          </w:tcPr>
          <w:p w14:paraId="7561E69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B318C0" w14:paraId="659E86DE" w14:textId="77777777">
        <w:tc>
          <w:tcPr>
            <w:tcW w:w="2552" w:type="dxa"/>
          </w:tcPr>
          <w:p w14:paraId="644607A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“BACS”</w:t>
            </w:r>
          </w:p>
        </w:tc>
        <w:tc>
          <w:tcPr>
            <w:tcW w:w="7229" w:type="dxa"/>
          </w:tcPr>
          <w:p w14:paraId="6DA171F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Bankers’ Automated Clearing Services, which is a scheme for the electronic processing of financial transactions within the United Kingdom;</w:t>
            </w:r>
          </w:p>
        </w:tc>
      </w:tr>
      <w:tr w:rsidR="00B318C0" w14:paraId="2DF6D151" w14:textId="77777777">
        <w:tc>
          <w:tcPr>
            <w:tcW w:w="2552" w:type="dxa"/>
            <w:shd w:val="clear" w:color="auto" w:fill="auto"/>
          </w:tcPr>
          <w:p w14:paraId="0DA8E70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“Beneficiary”</w:t>
            </w:r>
          </w:p>
        </w:tc>
        <w:tc>
          <w:tcPr>
            <w:tcW w:w="7229" w:type="dxa"/>
            <w:shd w:val="clear" w:color="auto" w:fill="auto"/>
          </w:tcPr>
          <w:p w14:paraId="23B33B4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Party having (or claiming to have) the benefit of an indemnity under this Contract;</w:t>
            </w:r>
          </w:p>
        </w:tc>
      </w:tr>
      <w:tr w:rsidR="00B318C0" w14:paraId="502B95AE" w14:textId="77777777">
        <w:tc>
          <w:tcPr>
            <w:tcW w:w="2552" w:type="dxa"/>
            <w:shd w:val="clear" w:color="auto" w:fill="auto"/>
          </w:tcPr>
          <w:p w14:paraId="70C8C9D1" w14:textId="77777777" w:rsidR="00B318C0" w:rsidRDefault="00DA5A17">
            <w:pPr>
              <w:spacing w:before="60" w:after="60"/>
              <w:ind w:left="142" w:right="278"/>
              <w:rPr>
                <w:rFonts w:ascii="Arial" w:eastAsia="Arial" w:hAnsi="Arial" w:cs="Arial"/>
                <w:b/>
                <w:color w:val="FF0000"/>
                <w:sz w:val="22"/>
                <w:szCs w:val="22"/>
              </w:rPr>
            </w:pPr>
            <w:r>
              <w:rPr>
                <w:rFonts w:ascii="Arial" w:eastAsia="Arial" w:hAnsi="Arial" w:cs="Arial"/>
                <w:b/>
                <w:sz w:val="22"/>
                <w:szCs w:val="22"/>
              </w:rPr>
              <w:t>“Booker”</w:t>
            </w:r>
          </w:p>
        </w:tc>
        <w:tc>
          <w:tcPr>
            <w:tcW w:w="7229" w:type="dxa"/>
            <w:shd w:val="clear" w:color="auto" w:fill="auto"/>
          </w:tcPr>
          <w:p w14:paraId="61F35C5F" w14:textId="77777777" w:rsidR="00B318C0" w:rsidRDefault="00DA5A17">
            <w:pPr>
              <w:spacing w:before="60" w:after="60"/>
              <w:ind w:left="140" w:right="144"/>
              <w:jc w:val="both"/>
              <w:rPr>
                <w:rFonts w:ascii="Arial" w:eastAsia="Arial" w:hAnsi="Arial" w:cs="Arial"/>
                <w:color w:val="FF0000"/>
                <w:sz w:val="22"/>
                <w:szCs w:val="22"/>
              </w:rPr>
            </w:pPr>
            <w:r>
              <w:rPr>
                <w:rFonts w:ascii="Arial" w:eastAsia="Arial" w:hAnsi="Arial" w:cs="Arial"/>
                <w:color w:val="000000"/>
                <w:sz w:val="22"/>
                <w:szCs w:val="22"/>
              </w:rPr>
              <w:t>an employee, agent or representative of the Buyer who wishes to make a booking via online or offline methods;</w:t>
            </w:r>
          </w:p>
        </w:tc>
      </w:tr>
      <w:tr w:rsidR="00B318C0" w14:paraId="5FF3EBAC" w14:textId="77777777">
        <w:tc>
          <w:tcPr>
            <w:tcW w:w="2552" w:type="dxa"/>
            <w:shd w:val="clear" w:color="auto" w:fill="auto"/>
          </w:tcPr>
          <w:p w14:paraId="331A2701" w14:textId="77777777" w:rsidR="00B318C0" w:rsidRDefault="00DA5A17">
            <w:pPr>
              <w:spacing w:before="60" w:after="60"/>
              <w:ind w:left="142" w:right="278"/>
              <w:rPr>
                <w:rFonts w:ascii="Arial" w:eastAsia="Arial" w:hAnsi="Arial" w:cs="Arial"/>
                <w:b/>
                <w:sz w:val="22"/>
                <w:szCs w:val="22"/>
              </w:rPr>
            </w:pPr>
            <w:r>
              <w:rPr>
                <w:rFonts w:ascii="Arial" w:eastAsia="Arial" w:hAnsi="Arial" w:cs="Arial"/>
                <w:b/>
                <w:sz w:val="22"/>
                <w:szCs w:val="22"/>
              </w:rPr>
              <w:t>“Booking”</w:t>
            </w:r>
          </w:p>
        </w:tc>
        <w:tc>
          <w:tcPr>
            <w:tcW w:w="7229" w:type="dxa"/>
            <w:shd w:val="clear" w:color="auto" w:fill="auto"/>
          </w:tcPr>
          <w:p w14:paraId="0D570F55" w14:textId="77777777" w:rsidR="00B318C0" w:rsidRDefault="00DA5A17">
            <w:pPr>
              <w:spacing w:before="60" w:after="60"/>
              <w:ind w:left="140" w:right="144"/>
              <w:jc w:val="both"/>
              <w:rPr>
                <w:rFonts w:ascii="Arial" w:eastAsia="Arial" w:hAnsi="Arial" w:cs="Arial"/>
                <w:color w:val="000000"/>
                <w:sz w:val="22"/>
                <w:szCs w:val="22"/>
              </w:rPr>
            </w:pPr>
            <w:r>
              <w:rPr>
                <w:rFonts w:ascii="Arial" w:eastAsia="Arial" w:hAnsi="Arial" w:cs="Arial"/>
                <w:sz w:val="22"/>
                <w:szCs w:val="22"/>
              </w:rPr>
              <w:t>under Lot 1 Part B and Lot 4, the sourcing and contracting of a venue and/or service;</w:t>
            </w:r>
          </w:p>
        </w:tc>
      </w:tr>
      <w:tr w:rsidR="00B318C0" w14:paraId="55A78AE2" w14:textId="77777777">
        <w:tc>
          <w:tcPr>
            <w:tcW w:w="2552" w:type="dxa"/>
            <w:shd w:val="clear" w:color="auto" w:fill="auto"/>
          </w:tcPr>
          <w:p w14:paraId="2BA4FD6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“Buyer”</w:t>
            </w:r>
          </w:p>
        </w:tc>
        <w:tc>
          <w:tcPr>
            <w:tcW w:w="7229" w:type="dxa"/>
            <w:shd w:val="clear" w:color="auto" w:fill="auto"/>
          </w:tcPr>
          <w:p w14:paraId="7399282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relevant public sector purchaser identified as such in the Order Form;</w:t>
            </w:r>
          </w:p>
        </w:tc>
      </w:tr>
      <w:tr w:rsidR="00B318C0" w14:paraId="21EAE72B" w14:textId="77777777">
        <w:tc>
          <w:tcPr>
            <w:tcW w:w="2552" w:type="dxa"/>
            <w:shd w:val="clear" w:color="auto" w:fill="auto"/>
          </w:tcPr>
          <w:p w14:paraId="1787EB0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“Buyer Assets”</w:t>
            </w:r>
          </w:p>
        </w:tc>
        <w:tc>
          <w:tcPr>
            <w:tcW w:w="7229" w:type="dxa"/>
            <w:shd w:val="clear" w:color="auto" w:fill="auto"/>
          </w:tcPr>
          <w:p w14:paraId="545026B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B318C0" w14:paraId="380F4BCA" w14:textId="77777777">
        <w:tc>
          <w:tcPr>
            <w:tcW w:w="2552" w:type="dxa"/>
            <w:shd w:val="clear" w:color="auto" w:fill="auto"/>
          </w:tcPr>
          <w:p w14:paraId="4BB3338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“Buyer Authorised Representative”</w:t>
            </w:r>
          </w:p>
        </w:tc>
        <w:tc>
          <w:tcPr>
            <w:tcW w:w="7229" w:type="dxa"/>
            <w:shd w:val="clear" w:color="auto" w:fill="auto"/>
          </w:tcPr>
          <w:p w14:paraId="34CD039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representative appointed by the Buyer from time to time in relation to the Call-Off Contract initially identified in the Order Form;</w:t>
            </w:r>
          </w:p>
        </w:tc>
      </w:tr>
      <w:tr w:rsidR="00B318C0" w14:paraId="00E3D6E6" w14:textId="77777777">
        <w:tc>
          <w:tcPr>
            <w:tcW w:w="2552" w:type="dxa"/>
            <w:shd w:val="clear" w:color="auto" w:fill="auto"/>
          </w:tcPr>
          <w:p w14:paraId="3DDB43F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“Buyer Premises”</w:t>
            </w:r>
          </w:p>
        </w:tc>
        <w:tc>
          <w:tcPr>
            <w:tcW w:w="7229" w:type="dxa"/>
            <w:shd w:val="clear" w:color="auto" w:fill="auto"/>
          </w:tcPr>
          <w:p w14:paraId="1FCC6FA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premises owned, controlled or occupied by the Buyer which are made available for use by the Supplier or its Subcontractors for the provision of the Deliverables (or any of them);</w:t>
            </w:r>
          </w:p>
        </w:tc>
      </w:tr>
      <w:tr w:rsidR="00B318C0" w14:paraId="42929DFC" w14:textId="77777777">
        <w:tc>
          <w:tcPr>
            <w:tcW w:w="2552" w:type="dxa"/>
            <w:shd w:val="clear" w:color="auto" w:fill="auto"/>
          </w:tcPr>
          <w:p w14:paraId="3FB7F3BF" w14:textId="77777777" w:rsidR="00B318C0" w:rsidRDefault="00DA5A17">
            <w:pPr>
              <w:spacing w:before="60" w:after="60"/>
              <w:ind w:left="142" w:right="278"/>
              <w:rPr>
                <w:rFonts w:ascii="Arial" w:eastAsia="Arial" w:hAnsi="Arial" w:cs="Arial"/>
                <w:b/>
                <w:sz w:val="22"/>
                <w:szCs w:val="22"/>
              </w:rPr>
            </w:pPr>
            <w:r>
              <w:rPr>
                <w:rFonts w:ascii="Arial" w:eastAsia="Arial" w:hAnsi="Arial" w:cs="Arial"/>
                <w:b/>
                <w:sz w:val="22"/>
                <w:szCs w:val="22"/>
              </w:rPr>
              <w:t xml:space="preserve">“Buyer Property” </w:t>
            </w:r>
          </w:p>
        </w:tc>
        <w:tc>
          <w:tcPr>
            <w:tcW w:w="7229" w:type="dxa"/>
            <w:shd w:val="clear" w:color="auto" w:fill="auto"/>
          </w:tcPr>
          <w:p w14:paraId="0F0EB717" w14:textId="77777777" w:rsidR="00B318C0" w:rsidRDefault="00DA5A17">
            <w:pPr>
              <w:spacing w:before="60" w:after="60"/>
              <w:ind w:left="140" w:right="144"/>
              <w:jc w:val="both"/>
              <w:rPr>
                <w:rFonts w:ascii="Arial" w:eastAsia="Arial" w:hAnsi="Arial" w:cs="Arial"/>
                <w:sz w:val="22"/>
                <w:szCs w:val="22"/>
              </w:rPr>
            </w:pPr>
            <w:r>
              <w:rPr>
                <w:rFonts w:ascii="Arial" w:eastAsia="Arial" w:hAnsi="Arial" w:cs="Arial"/>
                <w:sz w:val="22"/>
                <w:szCs w:val="22"/>
              </w:rPr>
              <w:t>the property, other than real property and IPR, including the Buyer System, any equipment issued or made available to the Supplier by the Buyer in connection with this Contract;</w:t>
            </w:r>
          </w:p>
        </w:tc>
      </w:tr>
      <w:tr w:rsidR="00B318C0" w14:paraId="3EEBE00E" w14:textId="77777777">
        <w:tc>
          <w:tcPr>
            <w:tcW w:w="2552" w:type="dxa"/>
            <w:shd w:val="clear" w:color="auto" w:fill="auto"/>
          </w:tcPr>
          <w:p w14:paraId="0DC3A1F8" w14:textId="77777777" w:rsidR="00B318C0" w:rsidRDefault="00DA5A17">
            <w:pPr>
              <w:spacing w:before="60" w:after="60"/>
              <w:ind w:left="142" w:right="278"/>
              <w:rPr>
                <w:rFonts w:ascii="Arial" w:eastAsia="Arial" w:hAnsi="Arial" w:cs="Arial"/>
                <w:b/>
                <w:sz w:val="22"/>
                <w:szCs w:val="22"/>
              </w:rPr>
            </w:pPr>
            <w:r>
              <w:rPr>
                <w:rFonts w:ascii="Arial" w:eastAsia="Arial" w:hAnsi="Arial" w:cs="Arial"/>
                <w:b/>
                <w:sz w:val="22"/>
                <w:szCs w:val="22"/>
              </w:rPr>
              <w:t>“Buyer System”</w:t>
            </w:r>
          </w:p>
        </w:tc>
        <w:tc>
          <w:tcPr>
            <w:tcW w:w="7229" w:type="dxa"/>
            <w:shd w:val="clear" w:color="auto" w:fill="auto"/>
          </w:tcPr>
          <w:p w14:paraId="25295D45" w14:textId="77777777" w:rsidR="00B318C0" w:rsidRDefault="00DA5A17">
            <w:pPr>
              <w:spacing w:before="60" w:after="60"/>
              <w:ind w:left="140" w:right="144"/>
              <w:jc w:val="both"/>
              <w:rPr>
                <w:rFonts w:ascii="Arial" w:eastAsia="Arial" w:hAnsi="Arial" w:cs="Arial"/>
                <w:sz w:val="22"/>
                <w:szCs w:val="22"/>
              </w:rPr>
            </w:pPr>
            <w:r>
              <w:rPr>
                <w:rFonts w:ascii="Arial" w:eastAsia="Arial" w:hAnsi="Arial" w:cs="Arial"/>
                <w:sz w:val="22"/>
                <w:szCs w:val="22"/>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318C0" w14:paraId="5466472D" w14:textId="77777777">
        <w:tc>
          <w:tcPr>
            <w:tcW w:w="2552" w:type="dxa"/>
            <w:shd w:val="clear" w:color="auto" w:fill="auto"/>
          </w:tcPr>
          <w:p w14:paraId="79FF579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Contract”</w:t>
            </w:r>
          </w:p>
        </w:tc>
        <w:tc>
          <w:tcPr>
            <w:tcW w:w="7229" w:type="dxa"/>
            <w:shd w:val="clear" w:color="auto" w:fill="auto"/>
          </w:tcPr>
          <w:p w14:paraId="53CF57C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 between the Buyer and the Supplier (entered into pursuant to the provisions of the Framework Contract), which consists of the terms set out and/or referred to in the Order Form;</w:t>
            </w:r>
          </w:p>
        </w:tc>
      </w:tr>
      <w:tr w:rsidR="00B318C0" w14:paraId="627BFAB0" w14:textId="77777777">
        <w:tc>
          <w:tcPr>
            <w:tcW w:w="2552" w:type="dxa"/>
            <w:shd w:val="clear" w:color="auto" w:fill="auto"/>
          </w:tcPr>
          <w:p w14:paraId="72C56EC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Contract Period”</w:t>
            </w:r>
          </w:p>
        </w:tc>
        <w:tc>
          <w:tcPr>
            <w:tcW w:w="7229" w:type="dxa"/>
            <w:shd w:val="clear" w:color="auto" w:fill="auto"/>
          </w:tcPr>
          <w:p w14:paraId="1B38861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 Period in respect of the Call-Off Contract;</w:t>
            </w:r>
          </w:p>
        </w:tc>
      </w:tr>
      <w:tr w:rsidR="00B318C0" w14:paraId="06C6DB26" w14:textId="77777777">
        <w:tc>
          <w:tcPr>
            <w:tcW w:w="2552" w:type="dxa"/>
            <w:shd w:val="clear" w:color="auto" w:fill="auto"/>
          </w:tcPr>
          <w:p w14:paraId="494D1AD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“Call-Off Expiry Date”</w:t>
            </w:r>
          </w:p>
        </w:tc>
        <w:tc>
          <w:tcPr>
            <w:tcW w:w="7229" w:type="dxa"/>
            <w:shd w:val="clear" w:color="auto" w:fill="auto"/>
          </w:tcPr>
          <w:p w14:paraId="2E0B68F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scheduled date of the end of a Call-Off Contract as stated in the Order Form;</w:t>
            </w:r>
          </w:p>
        </w:tc>
      </w:tr>
      <w:tr w:rsidR="00B318C0" w14:paraId="2EE2886E" w14:textId="77777777">
        <w:tc>
          <w:tcPr>
            <w:tcW w:w="2552" w:type="dxa"/>
            <w:shd w:val="clear" w:color="auto" w:fill="auto"/>
          </w:tcPr>
          <w:p w14:paraId="15D1E73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Incorporated Terms”</w:t>
            </w:r>
          </w:p>
        </w:tc>
        <w:tc>
          <w:tcPr>
            <w:tcW w:w="7229" w:type="dxa"/>
            <w:shd w:val="clear" w:color="auto" w:fill="auto"/>
          </w:tcPr>
          <w:p w14:paraId="30A1165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contractual terms applicable to the Call-Off Contract specified under the relevant heading in the Order Form;</w:t>
            </w:r>
          </w:p>
        </w:tc>
      </w:tr>
      <w:tr w:rsidR="00B318C0" w14:paraId="5B8E81F0" w14:textId="77777777">
        <w:tc>
          <w:tcPr>
            <w:tcW w:w="2552" w:type="dxa"/>
            <w:shd w:val="clear" w:color="auto" w:fill="auto"/>
          </w:tcPr>
          <w:p w14:paraId="4398BDB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Initial Period”</w:t>
            </w:r>
          </w:p>
        </w:tc>
        <w:tc>
          <w:tcPr>
            <w:tcW w:w="7229" w:type="dxa"/>
            <w:shd w:val="clear" w:color="auto" w:fill="auto"/>
          </w:tcPr>
          <w:p w14:paraId="55B3534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Initial Period of a Call-Off Contract specified in the Order Form;</w:t>
            </w:r>
          </w:p>
        </w:tc>
      </w:tr>
      <w:tr w:rsidR="00B318C0" w14:paraId="6315F4E2" w14:textId="77777777">
        <w:tc>
          <w:tcPr>
            <w:tcW w:w="2552" w:type="dxa"/>
            <w:shd w:val="clear" w:color="auto" w:fill="auto"/>
          </w:tcPr>
          <w:p w14:paraId="051BC86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Optional Extension Period”</w:t>
            </w:r>
          </w:p>
        </w:tc>
        <w:tc>
          <w:tcPr>
            <w:tcW w:w="7229" w:type="dxa"/>
            <w:shd w:val="clear" w:color="auto" w:fill="auto"/>
          </w:tcPr>
          <w:p w14:paraId="15E3E6B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such period or periods beyond which the Call-Off Initial Period may be extended as specified in the Order Form;</w:t>
            </w:r>
          </w:p>
        </w:tc>
      </w:tr>
      <w:tr w:rsidR="00B318C0" w14:paraId="0827348E" w14:textId="77777777">
        <w:tc>
          <w:tcPr>
            <w:tcW w:w="2552" w:type="dxa"/>
            <w:shd w:val="clear" w:color="auto" w:fill="auto"/>
          </w:tcPr>
          <w:p w14:paraId="5C60611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Procedure“</w:t>
            </w:r>
          </w:p>
        </w:tc>
        <w:tc>
          <w:tcPr>
            <w:tcW w:w="7229" w:type="dxa"/>
            <w:shd w:val="clear" w:color="auto" w:fill="auto"/>
          </w:tcPr>
          <w:p w14:paraId="787A554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process for awarding a Call-Off Contract pursuant to Clause 2 (How the contract works) and Framework Schedule 7 (Call-Off Award Procedure);</w:t>
            </w:r>
          </w:p>
        </w:tc>
      </w:tr>
      <w:tr w:rsidR="00B318C0" w14:paraId="3500EB72" w14:textId="77777777">
        <w:tc>
          <w:tcPr>
            <w:tcW w:w="2552" w:type="dxa"/>
            <w:shd w:val="clear" w:color="auto" w:fill="auto"/>
          </w:tcPr>
          <w:p w14:paraId="6317ED7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Special Terms”</w:t>
            </w:r>
          </w:p>
        </w:tc>
        <w:tc>
          <w:tcPr>
            <w:tcW w:w="7229" w:type="dxa"/>
            <w:shd w:val="clear" w:color="auto" w:fill="auto"/>
          </w:tcPr>
          <w:p w14:paraId="27FD21A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any additional terms and conditions specified in the Order Form incorporated into the applicable Call-Off Contract; </w:t>
            </w:r>
          </w:p>
        </w:tc>
      </w:tr>
      <w:tr w:rsidR="00B318C0" w14:paraId="1BD764EE" w14:textId="77777777">
        <w:tc>
          <w:tcPr>
            <w:tcW w:w="2552" w:type="dxa"/>
            <w:shd w:val="clear" w:color="auto" w:fill="auto"/>
          </w:tcPr>
          <w:p w14:paraId="7F553DD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Start Date”</w:t>
            </w:r>
          </w:p>
        </w:tc>
        <w:tc>
          <w:tcPr>
            <w:tcW w:w="7229" w:type="dxa"/>
            <w:shd w:val="clear" w:color="auto" w:fill="auto"/>
          </w:tcPr>
          <w:p w14:paraId="0432619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date of start of a Call-Off Contract as stated in the Order Form;</w:t>
            </w:r>
          </w:p>
        </w:tc>
      </w:tr>
      <w:tr w:rsidR="00B318C0" w14:paraId="29CC36E0" w14:textId="77777777">
        <w:tc>
          <w:tcPr>
            <w:tcW w:w="2552" w:type="dxa"/>
            <w:shd w:val="clear" w:color="auto" w:fill="auto"/>
          </w:tcPr>
          <w:p w14:paraId="3147CE5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“Call-Off Tender”</w:t>
            </w:r>
          </w:p>
        </w:tc>
        <w:tc>
          <w:tcPr>
            <w:tcW w:w="7229" w:type="dxa"/>
            <w:shd w:val="clear" w:color="auto" w:fill="auto"/>
          </w:tcPr>
          <w:p w14:paraId="2AC384D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tender submitted by the Supplier in response to the Buyer’s Statement of Requirements following a Further Competition Procedure and set out in Call-Off Schedule 4 (Call-Off Tender);</w:t>
            </w:r>
          </w:p>
        </w:tc>
      </w:tr>
      <w:tr w:rsidR="00B318C0" w14:paraId="33ECFDBC" w14:textId="77777777">
        <w:tc>
          <w:tcPr>
            <w:tcW w:w="2552" w:type="dxa"/>
            <w:shd w:val="clear" w:color="auto" w:fill="auto"/>
          </w:tcPr>
          <w:p w14:paraId="1A61F22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“CCS”</w:t>
            </w:r>
          </w:p>
        </w:tc>
        <w:tc>
          <w:tcPr>
            <w:tcW w:w="7229" w:type="dxa"/>
            <w:shd w:val="clear" w:color="auto" w:fill="auto"/>
          </w:tcPr>
          <w:p w14:paraId="3A92FC7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B318C0" w14:paraId="683C61BD" w14:textId="77777777">
        <w:tc>
          <w:tcPr>
            <w:tcW w:w="2552" w:type="dxa"/>
            <w:shd w:val="clear" w:color="auto" w:fill="auto"/>
          </w:tcPr>
          <w:p w14:paraId="25CEE33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“CCS Authorised Representative”</w:t>
            </w:r>
          </w:p>
        </w:tc>
        <w:tc>
          <w:tcPr>
            <w:tcW w:w="7229" w:type="dxa"/>
            <w:shd w:val="clear" w:color="auto" w:fill="auto"/>
          </w:tcPr>
          <w:p w14:paraId="0CEFD7F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representative appointed by CCS from time to time in relation to the Framework Contract initially identified in the Framework Award Form;</w:t>
            </w:r>
          </w:p>
        </w:tc>
      </w:tr>
      <w:tr w:rsidR="00B318C0" w14:paraId="2862E12D" w14:textId="77777777">
        <w:tc>
          <w:tcPr>
            <w:tcW w:w="2552" w:type="dxa"/>
            <w:shd w:val="clear" w:color="auto" w:fill="auto"/>
          </w:tcPr>
          <w:p w14:paraId="6F7E6F0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“Central Government Body”</w:t>
            </w:r>
          </w:p>
        </w:tc>
        <w:tc>
          <w:tcPr>
            <w:tcW w:w="7229" w:type="dxa"/>
            <w:shd w:val="clear" w:color="auto" w:fill="auto"/>
          </w:tcPr>
          <w:p w14:paraId="6076DB9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body listed in one of the following sub-categories of the Central Government classification of the Public Sector Classification Guide, as published and amended from time to time by the Office for National Statistics:</w:t>
            </w:r>
          </w:p>
          <w:p w14:paraId="4AD37E48" w14:textId="77777777" w:rsidR="00B318C0" w:rsidRDefault="00DA5A17">
            <w:pPr>
              <w:numPr>
                <w:ilvl w:val="1"/>
                <w:numId w:val="19"/>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Government Department;</w:t>
            </w:r>
          </w:p>
          <w:p w14:paraId="2EA07A1B" w14:textId="77777777" w:rsidR="00B318C0" w:rsidRDefault="00DA5A17">
            <w:pPr>
              <w:numPr>
                <w:ilvl w:val="1"/>
                <w:numId w:val="19"/>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Non-Departmental Public Body or Assembly Sponsored Public Body (advisory, executive, or tribunal);</w:t>
            </w:r>
          </w:p>
          <w:p w14:paraId="5D793181" w14:textId="77777777" w:rsidR="00B318C0" w:rsidRDefault="00DA5A17">
            <w:pPr>
              <w:numPr>
                <w:ilvl w:val="1"/>
                <w:numId w:val="19"/>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Non-Ministerial Department; or</w:t>
            </w:r>
          </w:p>
          <w:p w14:paraId="0D6CF796" w14:textId="77777777" w:rsidR="00B318C0" w:rsidRDefault="00DA5A17">
            <w:pPr>
              <w:numPr>
                <w:ilvl w:val="1"/>
                <w:numId w:val="19"/>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Executive Agency;</w:t>
            </w:r>
          </w:p>
        </w:tc>
      </w:tr>
      <w:tr w:rsidR="00B318C0" w14:paraId="3384F36F" w14:textId="77777777">
        <w:tc>
          <w:tcPr>
            <w:tcW w:w="2552" w:type="dxa"/>
            <w:shd w:val="clear" w:color="auto" w:fill="auto"/>
          </w:tcPr>
          <w:p w14:paraId="7465513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“Change in Law”</w:t>
            </w:r>
          </w:p>
        </w:tc>
        <w:tc>
          <w:tcPr>
            <w:tcW w:w="7229" w:type="dxa"/>
            <w:shd w:val="clear" w:color="auto" w:fill="auto"/>
          </w:tcPr>
          <w:p w14:paraId="6DE98AF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change in Law which impacts on the supply of the Deliverables and performance of the Contract which comes into force after the Start Date;</w:t>
            </w:r>
            <w:r>
              <w:rPr>
                <w:rFonts w:ascii="Arial" w:eastAsia="Arial" w:hAnsi="Arial" w:cs="Arial"/>
                <w:b/>
                <w:color w:val="000000"/>
                <w:sz w:val="22"/>
                <w:szCs w:val="22"/>
              </w:rPr>
              <w:t xml:space="preserve"> </w:t>
            </w:r>
          </w:p>
        </w:tc>
      </w:tr>
      <w:tr w:rsidR="00B318C0" w14:paraId="14C1F27F" w14:textId="77777777">
        <w:tc>
          <w:tcPr>
            <w:tcW w:w="2552" w:type="dxa"/>
            <w:shd w:val="clear" w:color="auto" w:fill="auto"/>
          </w:tcPr>
          <w:p w14:paraId="0E7BAAB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“Change of Control”</w:t>
            </w:r>
          </w:p>
        </w:tc>
        <w:tc>
          <w:tcPr>
            <w:tcW w:w="7229" w:type="dxa"/>
            <w:shd w:val="clear" w:color="auto" w:fill="auto"/>
          </w:tcPr>
          <w:p w14:paraId="3951DE1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change of Control;</w:t>
            </w:r>
          </w:p>
        </w:tc>
      </w:tr>
      <w:tr w:rsidR="00B318C0" w14:paraId="47954776" w14:textId="77777777">
        <w:tc>
          <w:tcPr>
            <w:tcW w:w="2552" w:type="dxa"/>
            <w:shd w:val="clear" w:color="auto" w:fill="auto"/>
          </w:tcPr>
          <w:p w14:paraId="6F80B95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“Charges”</w:t>
            </w:r>
          </w:p>
        </w:tc>
        <w:tc>
          <w:tcPr>
            <w:tcW w:w="7229" w:type="dxa"/>
            <w:shd w:val="clear" w:color="auto" w:fill="auto"/>
          </w:tcPr>
          <w:p w14:paraId="385247B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prices (exclusive of any applicable VAT), payable to the Supplier by the Buyer under the Call-Off Contract, as set out or referred to in the Order Form, for the full and proper performance by the Supplier of its obligations under the Call-Off Contract less any Deductions;</w:t>
            </w:r>
          </w:p>
        </w:tc>
      </w:tr>
      <w:tr w:rsidR="00B318C0" w14:paraId="63259FF2" w14:textId="77777777">
        <w:tc>
          <w:tcPr>
            <w:tcW w:w="2552" w:type="dxa"/>
            <w:shd w:val="clear" w:color="auto" w:fill="auto"/>
          </w:tcPr>
          <w:p w14:paraId="44E364D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“Claim”</w:t>
            </w:r>
          </w:p>
        </w:tc>
        <w:tc>
          <w:tcPr>
            <w:tcW w:w="7229" w:type="dxa"/>
            <w:shd w:val="clear" w:color="auto" w:fill="auto"/>
          </w:tcPr>
          <w:p w14:paraId="62A15AC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claim which it appears that a Beneficiary is, or may become, entitled to indemnification under this Contract;</w:t>
            </w:r>
          </w:p>
        </w:tc>
      </w:tr>
      <w:tr w:rsidR="00B318C0" w14:paraId="32C93926" w14:textId="77777777">
        <w:tc>
          <w:tcPr>
            <w:tcW w:w="2552" w:type="dxa"/>
            <w:shd w:val="clear" w:color="auto" w:fill="auto"/>
          </w:tcPr>
          <w:p w14:paraId="35760492" w14:textId="77777777" w:rsidR="00B318C0" w:rsidRDefault="00DA5A17">
            <w:pPr>
              <w:pBdr>
                <w:top w:val="nil"/>
                <w:left w:val="nil"/>
                <w:bottom w:val="nil"/>
                <w:right w:val="nil"/>
                <w:between w:val="nil"/>
              </w:pBdr>
              <w:spacing w:before="60" w:after="60"/>
              <w:ind w:left="142" w:right="278"/>
              <w:rPr>
                <w:rFonts w:ascii="Arial" w:eastAsia="Arial" w:hAnsi="Arial" w:cs="Arial"/>
                <w:b/>
                <w:sz w:val="22"/>
                <w:szCs w:val="22"/>
              </w:rPr>
            </w:pPr>
            <w:r>
              <w:rPr>
                <w:rFonts w:ascii="Arial" w:eastAsia="Arial" w:hAnsi="Arial" w:cs="Arial"/>
                <w:b/>
                <w:sz w:val="22"/>
                <w:szCs w:val="22"/>
              </w:rPr>
              <w:t>“Cohort”</w:t>
            </w:r>
          </w:p>
        </w:tc>
        <w:tc>
          <w:tcPr>
            <w:tcW w:w="7229" w:type="dxa"/>
            <w:shd w:val="clear" w:color="auto" w:fill="auto"/>
          </w:tcPr>
          <w:p w14:paraId="0B9A1FF9" w14:textId="77777777" w:rsidR="00B318C0" w:rsidRDefault="00DA5A17">
            <w:pPr>
              <w:pBdr>
                <w:top w:val="nil"/>
                <w:left w:val="nil"/>
                <w:bottom w:val="nil"/>
                <w:right w:val="nil"/>
                <w:between w:val="nil"/>
              </w:pBdr>
              <w:spacing w:before="60" w:after="60"/>
              <w:ind w:left="140" w:right="144"/>
              <w:jc w:val="both"/>
              <w:rPr>
                <w:rFonts w:ascii="Arial" w:eastAsia="Arial" w:hAnsi="Arial" w:cs="Arial"/>
                <w:sz w:val="22"/>
                <w:szCs w:val="22"/>
              </w:rPr>
            </w:pPr>
            <w:r>
              <w:rPr>
                <w:rFonts w:ascii="Arial" w:eastAsia="Arial" w:hAnsi="Arial" w:cs="Arial"/>
                <w:sz w:val="22"/>
                <w:szCs w:val="22"/>
              </w:rPr>
              <w:t>Under Lot 4 and Lot 1 Part B, a group of individuals with a shared requirement for accommodation as stipulated by the Buyer.</w:t>
            </w:r>
          </w:p>
        </w:tc>
      </w:tr>
      <w:tr w:rsidR="00B318C0" w14:paraId="5FA9B108" w14:textId="77777777">
        <w:tc>
          <w:tcPr>
            <w:tcW w:w="2552" w:type="dxa"/>
            <w:shd w:val="clear" w:color="auto" w:fill="auto"/>
          </w:tcPr>
          <w:p w14:paraId="6CA2284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“Commercially Sensitive Information”</w:t>
            </w:r>
          </w:p>
        </w:tc>
        <w:tc>
          <w:tcPr>
            <w:tcW w:w="7229" w:type="dxa"/>
            <w:shd w:val="clear" w:color="auto" w:fill="auto"/>
          </w:tcPr>
          <w:p w14:paraId="23F095A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B318C0" w14:paraId="05AA595F" w14:textId="77777777">
        <w:tc>
          <w:tcPr>
            <w:tcW w:w="2552" w:type="dxa"/>
            <w:shd w:val="clear" w:color="auto" w:fill="auto"/>
          </w:tcPr>
          <w:p w14:paraId="0BF974C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“Comparable Supply”</w:t>
            </w:r>
          </w:p>
        </w:tc>
        <w:tc>
          <w:tcPr>
            <w:tcW w:w="7229" w:type="dxa"/>
            <w:shd w:val="clear" w:color="auto" w:fill="auto"/>
          </w:tcPr>
          <w:p w14:paraId="7C02775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supply of Deliverables to another Buyer of the Supplier that are the same or similar to the Deliverables;</w:t>
            </w:r>
          </w:p>
        </w:tc>
      </w:tr>
      <w:tr w:rsidR="00B318C0" w14:paraId="04AF7BFD" w14:textId="77777777">
        <w:tc>
          <w:tcPr>
            <w:tcW w:w="2552" w:type="dxa"/>
            <w:shd w:val="clear" w:color="auto" w:fill="auto"/>
          </w:tcPr>
          <w:p w14:paraId="73334DA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“Compliance Officer”</w:t>
            </w:r>
          </w:p>
        </w:tc>
        <w:tc>
          <w:tcPr>
            <w:tcW w:w="7229" w:type="dxa"/>
            <w:shd w:val="clear" w:color="auto" w:fill="auto"/>
          </w:tcPr>
          <w:p w14:paraId="1237E09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person(s) appointed by the Supplier who is responsible for ensuring that the Supplier complies with its legal obligations;</w:t>
            </w:r>
          </w:p>
        </w:tc>
      </w:tr>
      <w:tr w:rsidR="00B318C0" w14:paraId="206190C8" w14:textId="77777777">
        <w:tc>
          <w:tcPr>
            <w:tcW w:w="2552" w:type="dxa"/>
            <w:shd w:val="clear" w:color="auto" w:fill="auto"/>
          </w:tcPr>
          <w:p w14:paraId="5B3453C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“Confidential Information”</w:t>
            </w:r>
          </w:p>
        </w:tc>
        <w:tc>
          <w:tcPr>
            <w:tcW w:w="7229" w:type="dxa"/>
            <w:shd w:val="clear" w:color="auto" w:fill="auto"/>
          </w:tcPr>
          <w:p w14:paraId="017FD6D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2"/>
                <w:szCs w:val="22"/>
              </w:rPr>
              <w:t>“confidential”</w:t>
            </w:r>
            <w:r>
              <w:rPr>
                <w:rFonts w:ascii="Arial" w:eastAsia="Arial" w:hAnsi="Arial" w:cs="Arial"/>
                <w:color w:val="000000"/>
                <w:sz w:val="22"/>
                <w:szCs w:val="22"/>
              </w:rPr>
              <w:t>) or which ought reasonably to be considered to be confidential;</w:t>
            </w:r>
          </w:p>
        </w:tc>
      </w:tr>
      <w:tr w:rsidR="00B318C0" w14:paraId="446E7C81" w14:textId="77777777">
        <w:tc>
          <w:tcPr>
            <w:tcW w:w="2552" w:type="dxa"/>
            <w:shd w:val="clear" w:color="auto" w:fill="auto"/>
          </w:tcPr>
          <w:p w14:paraId="59FC159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“Conflict of Interest”</w:t>
            </w:r>
          </w:p>
        </w:tc>
        <w:tc>
          <w:tcPr>
            <w:tcW w:w="7229" w:type="dxa"/>
            <w:shd w:val="clear" w:color="auto" w:fill="auto"/>
          </w:tcPr>
          <w:p w14:paraId="36D5D58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conflict between the financial or personal duties of the Supplier or the Supplier Staff and the duties owed to CCS or any Buyer under a Contract, in the reasonable opinion of the Buyer or CCS;</w:t>
            </w:r>
          </w:p>
        </w:tc>
      </w:tr>
      <w:tr w:rsidR="00B318C0" w14:paraId="19852FB7" w14:textId="77777777">
        <w:tc>
          <w:tcPr>
            <w:tcW w:w="2552" w:type="dxa"/>
            <w:shd w:val="clear" w:color="auto" w:fill="auto"/>
          </w:tcPr>
          <w:p w14:paraId="5DAB4B7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“Contract”</w:t>
            </w:r>
          </w:p>
        </w:tc>
        <w:tc>
          <w:tcPr>
            <w:tcW w:w="7229" w:type="dxa"/>
            <w:shd w:val="clear" w:color="auto" w:fill="auto"/>
          </w:tcPr>
          <w:p w14:paraId="0F7BC01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either the Framework Contract or the Call-Off Contract, as the context requires;</w:t>
            </w:r>
          </w:p>
        </w:tc>
      </w:tr>
      <w:tr w:rsidR="00B318C0" w14:paraId="561FA257" w14:textId="77777777">
        <w:tc>
          <w:tcPr>
            <w:tcW w:w="2552" w:type="dxa"/>
            <w:shd w:val="clear" w:color="auto" w:fill="auto"/>
          </w:tcPr>
          <w:p w14:paraId="25842E8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“Contract Period”</w:t>
            </w:r>
          </w:p>
        </w:tc>
        <w:tc>
          <w:tcPr>
            <w:tcW w:w="7229" w:type="dxa"/>
            <w:shd w:val="clear" w:color="auto" w:fill="auto"/>
          </w:tcPr>
          <w:p w14:paraId="5AFA1A4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term of either a Framework Contract or Call-Off Contract on and from the earlier of the:</w:t>
            </w:r>
          </w:p>
          <w:p w14:paraId="47D008B0" w14:textId="77777777" w:rsidR="00B318C0" w:rsidRDefault="00DA5A17">
            <w:pPr>
              <w:numPr>
                <w:ilvl w:val="1"/>
                <w:numId w:val="34"/>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applicable Start Date; or</w:t>
            </w:r>
          </w:p>
          <w:p w14:paraId="12EA266D" w14:textId="77777777" w:rsidR="00B318C0" w:rsidRDefault="00DA5A17">
            <w:pPr>
              <w:numPr>
                <w:ilvl w:val="1"/>
                <w:numId w:val="34"/>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Pr>
                <w:rFonts w:ascii="Arial" w:eastAsia="Arial" w:hAnsi="Arial" w:cs="Arial"/>
                <w:color w:val="000000"/>
                <w:sz w:val="22"/>
                <w:szCs w:val="22"/>
              </w:rPr>
              <w:t>the Effective Date,</w:t>
            </w:r>
          </w:p>
          <w:p w14:paraId="3BD0D8F2" w14:textId="77777777" w:rsidR="00B318C0" w:rsidRDefault="00DA5A17">
            <w:pPr>
              <w:pBdr>
                <w:top w:val="nil"/>
                <w:left w:val="nil"/>
                <w:bottom w:val="nil"/>
                <w:right w:val="nil"/>
                <w:between w:val="nil"/>
              </w:pBdr>
              <w:spacing w:before="60" w:after="60"/>
              <w:ind w:left="711" w:right="276" w:hanging="541"/>
              <w:jc w:val="both"/>
              <w:rPr>
                <w:rFonts w:ascii="Arial" w:eastAsia="Arial" w:hAnsi="Arial" w:cs="Arial"/>
                <w:color w:val="000000"/>
                <w:sz w:val="22"/>
                <w:szCs w:val="22"/>
              </w:rPr>
            </w:pPr>
            <w:r>
              <w:rPr>
                <w:rFonts w:ascii="Arial" w:eastAsia="Arial" w:hAnsi="Arial" w:cs="Arial"/>
                <w:color w:val="000000"/>
                <w:sz w:val="22"/>
                <w:szCs w:val="22"/>
              </w:rPr>
              <w:t xml:space="preserve">up to and including the applicable End Date; </w:t>
            </w:r>
          </w:p>
        </w:tc>
      </w:tr>
      <w:tr w:rsidR="00B318C0" w14:paraId="55F1926F" w14:textId="77777777">
        <w:tc>
          <w:tcPr>
            <w:tcW w:w="2552" w:type="dxa"/>
            <w:shd w:val="clear" w:color="auto" w:fill="auto"/>
          </w:tcPr>
          <w:p w14:paraId="16A3C91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“Contract Value”</w:t>
            </w:r>
          </w:p>
        </w:tc>
        <w:tc>
          <w:tcPr>
            <w:tcW w:w="7229" w:type="dxa"/>
            <w:shd w:val="clear" w:color="auto" w:fill="auto"/>
          </w:tcPr>
          <w:p w14:paraId="24651C0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higher of the actual or expected total Charges paid or payable under a Contract where all obligations are met by the Supplier;</w:t>
            </w:r>
          </w:p>
        </w:tc>
      </w:tr>
      <w:tr w:rsidR="00B318C0" w14:paraId="1D78920B" w14:textId="77777777">
        <w:tc>
          <w:tcPr>
            <w:tcW w:w="2552" w:type="dxa"/>
            <w:shd w:val="clear" w:color="auto" w:fill="auto"/>
          </w:tcPr>
          <w:p w14:paraId="2F8B8E4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“Contract Year”</w:t>
            </w:r>
          </w:p>
        </w:tc>
        <w:tc>
          <w:tcPr>
            <w:tcW w:w="7229" w:type="dxa"/>
            <w:shd w:val="clear" w:color="auto" w:fill="auto"/>
          </w:tcPr>
          <w:p w14:paraId="17DD3CF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consecutive period of twelve (12) Months commencing on the Start Date or each anniversary thereof;</w:t>
            </w:r>
          </w:p>
        </w:tc>
      </w:tr>
      <w:tr w:rsidR="00B318C0" w14:paraId="3DBE3BC9" w14:textId="77777777">
        <w:tc>
          <w:tcPr>
            <w:tcW w:w="2552" w:type="dxa"/>
            <w:shd w:val="clear" w:color="auto" w:fill="auto"/>
          </w:tcPr>
          <w:p w14:paraId="3587805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“Control”</w:t>
            </w:r>
          </w:p>
        </w:tc>
        <w:tc>
          <w:tcPr>
            <w:tcW w:w="7229" w:type="dxa"/>
            <w:shd w:val="clear" w:color="auto" w:fill="auto"/>
          </w:tcPr>
          <w:p w14:paraId="2A5298D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control in either of the senses defined in sections 450 and 1124 of the Corporation Tax Act 2010 and “</w:t>
            </w:r>
            <w:r>
              <w:rPr>
                <w:rFonts w:ascii="Arial" w:eastAsia="Arial" w:hAnsi="Arial" w:cs="Arial"/>
                <w:b/>
                <w:color w:val="000000"/>
                <w:sz w:val="22"/>
                <w:szCs w:val="22"/>
              </w:rPr>
              <w:t>Controlled</w:t>
            </w:r>
            <w:r>
              <w:rPr>
                <w:rFonts w:ascii="Arial" w:eastAsia="Arial" w:hAnsi="Arial" w:cs="Arial"/>
                <w:color w:val="000000"/>
                <w:sz w:val="22"/>
                <w:szCs w:val="22"/>
              </w:rPr>
              <w:t>” shall be construed accordingly;</w:t>
            </w:r>
          </w:p>
        </w:tc>
      </w:tr>
      <w:tr w:rsidR="00B318C0" w14:paraId="0FC88702" w14:textId="77777777">
        <w:tc>
          <w:tcPr>
            <w:tcW w:w="2552" w:type="dxa"/>
            <w:shd w:val="clear" w:color="auto" w:fill="auto"/>
          </w:tcPr>
          <w:p w14:paraId="4608530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“Controller”</w:t>
            </w:r>
          </w:p>
        </w:tc>
        <w:tc>
          <w:tcPr>
            <w:tcW w:w="7229" w:type="dxa"/>
            <w:shd w:val="clear" w:color="auto" w:fill="auto"/>
          </w:tcPr>
          <w:p w14:paraId="4866188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33E503B0" w14:textId="77777777">
        <w:tc>
          <w:tcPr>
            <w:tcW w:w="2552" w:type="dxa"/>
            <w:shd w:val="clear" w:color="auto" w:fill="auto"/>
          </w:tcPr>
          <w:p w14:paraId="1AF00A8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“Core Terms”</w:t>
            </w:r>
          </w:p>
        </w:tc>
        <w:tc>
          <w:tcPr>
            <w:tcW w:w="7229" w:type="dxa"/>
            <w:shd w:val="clear" w:color="auto" w:fill="auto"/>
          </w:tcPr>
          <w:p w14:paraId="05D0BCB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CCS’ terms and conditions for common goods and services which govern how Suppliers must interact with CCS and Buyers under Framework Contracts and Call-Off Contracts;</w:t>
            </w:r>
          </w:p>
        </w:tc>
      </w:tr>
      <w:tr w:rsidR="00B318C0" w14:paraId="4983E22C" w14:textId="77777777">
        <w:tc>
          <w:tcPr>
            <w:tcW w:w="2552" w:type="dxa"/>
            <w:shd w:val="clear" w:color="auto" w:fill="auto"/>
          </w:tcPr>
          <w:p w14:paraId="73CB41C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“Costs”</w:t>
            </w:r>
          </w:p>
        </w:tc>
        <w:tc>
          <w:tcPr>
            <w:tcW w:w="7229" w:type="dxa"/>
            <w:shd w:val="clear" w:color="auto" w:fill="auto"/>
          </w:tcPr>
          <w:p w14:paraId="57A7CDD4" w14:textId="77777777" w:rsidR="00B318C0" w:rsidRDefault="00DA5A17">
            <w:pPr>
              <w:pBdr>
                <w:top w:val="nil"/>
                <w:left w:val="nil"/>
                <w:bottom w:val="nil"/>
                <w:right w:val="nil"/>
                <w:between w:val="nil"/>
              </w:pBdr>
              <w:spacing w:before="60" w:after="60"/>
              <w:ind w:left="170" w:right="134"/>
              <w:jc w:val="both"/>
              <w:rPr>
                <w:rFonts w:ascii="Arial" w:eastAsia="Arial" w:hAnsi="Arial" w:cs="Arial"/>
                <w:color w:val="000000"/>
                <w:sz w:val="22"/>
                <w:szCs w:val="22"/>
              </w:rPr>
            </w:pPr>
            <w:r>
              <w:rPr>
                <w:rFonts w:ascii="Arial" w:eastAsia="Arial" w:hAnsi="Arial" w:cs="Arial"/>
                <w:color w:val="000000"/>
                <w:sz w:val="22"/>
                <w:szCs w:val="22"/>
              </w:rPr>
              <w:t>the following costs (without double recovery) to the extent that they are reasonably and properly incurred by the Supplier in providing the Deliverables:</w:t>
            </w:r>
          </w:p>
          <w:p w14:paraId="5B902A23"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the cost to the Supplier or the Key Subcontractor (as the context requires), calculated per Work Day, of engaging the Supplier Staff, including:</w:t>
            </w:r>
          </w:p>
          <w:p w14:paraId="44AD5EAD"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base salary paid to the Supplier Staff;</w:t>
            </w:r>
          </w:p>
          <w:p w14:paraId="4A15E425"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employer’s National Insurance contributions;</w:t>
            </w:r>
          </w:p>
          <w:p w14:paraId="44DE3C5A"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lastRenderedPageBreak/>
              <w:t>pension contributions;</w:t>
            </w:r>
          </w:p>
          <w:p w14:paraId="1CBE2B87"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 xml:space="preserve">car allowances; </w:t>
            </w:r>
          </w:p>
          <w:p w14:paraId="4698A3EC"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any other contractual employment benefits;</w:t>
            </w:r>
          </w:p>
          <w:p w14:paraId="68D57251"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staff training;</w:t>
            </w:r>
          </w:p>
          <w:p w14:paraId="5F8F889B"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work place accommodation;</w:t>
            </w:r>
          </w:p>
          <w:p w14:paraId="207893D4"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work place IT equipment and tools reasonably necessary to provide the Deliverables (but not including items included within limb (b) below); and</w:t>
            </w:r>
          </w:p>
          <w:p w14:paraId="4CCBE69C"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 xml:space="preserve">reasonable recruitment costs, as agreed with the Buyer; </w:t>
            </w:r>
          </w:p>
          <w:p w14:paraId="455ACA29"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70A586B"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operational costs which are not included within (a) or (b) above, to the extent that such costs are necessary and properly incurred by the Supplier in the provision of the Deliverables; and</w:t>
            </w:r>
          </w:p>
          <w:p w14:paraId="72EECC52"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Reimbursable Expenses to the extent these have been specified as allowable in the Order Form and are incurred in delivering any Deliverables;</w:t>
            </w:r>
          </w:p>
          <w:p w14:paraId="4E21629E"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ab/>
              <w:t>but excluding:</w:t>
            </w:r>
          </w:p>
          <w:p w14:paraId="71D138E9"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Overhead;</w:t>
            </w:r>
          </w:p>
          <w:p w14:paraId="028149F8"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financing or similar costs;</w:t>
            </w:r>
          </w:p>
          <w:p w14:paraId="34FF645E"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maintenance and support costs to the extent that these relate to maintenance and/or support Deliverables provided beyond the Call-Off Contract Period whether in relation to Supplier Assets or otherwise;</w:t>
            </w:r>
          </w:p>
          <w:p w14:paraId="44BA499C"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taxation;</w:t>
            </w:r>
          </w:p>
          <w:p w14:paraId="39A6BFE3"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fines and penalties;</w:t>
            </w:r>
          </w:p>
          <w:p w14:paraId="4D1C359D"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amounts payable under Call-Off Schedule 16 (Benchmarking) where such Schedule is used; and</w:t>
            </w:r>
          </w:p>
          <w:p w14:paraId="4E41B32F" w14:textId="77777777" w:rsidR="00B318C0" w:rsidRDefault="00DA5A17">
            <w:pPr>
              <w:numPr>
                <w:ilvl w:val="1"/>
                <w:numId w:val="32"/>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non-cash items (including depreciation, amortisation, impairments and movements in provisions);</w:t>
            </w:r>
          </w:p>
        </w:tc>
      </w:tr>
      <w:tr w:rsidR="00B318C0" w14:paraId="132CECD0" w14:textId="77777777">
        <w:tc>
          <w:tcPr>
            <w:tcW w:w="2552" w:type="dxa"/>
            <w:shd w:val="clear" w:color="auto" w:fill="auto"/>
          </w:tcPr>
          <w:p w14:paraId="6388927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“Commercial off the shelf Software” or “COTS Software”</w:t>
            </w:r>
          </w:p>
        </w:tc>
        <w:tc>
          <w:tcPr>
            <w:tcW w:w="7229" w:type="dxa"/>
            <w:shd w:val="clear" w:color="auto" w:fill="auto"/>
          </w:tcPr>
          <w:p w14:paraId="0968C3D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non-customised software where the IPR may be owned and licensed either by the Supplier or a third party depending on the context, and which is commercially available for purchase and subject to standard licence terms;</w:t>
            </w:r>
          </w:p>
        </w:tc>
      </w:tr>
      <w:tr w:rsidR="00B318C0" w14:paraId="116B9E05" w14:textId="77777777">
        <w:tc>
          <w:tcPr>
            <w:tcW w:w="2552" w:type="dxa"/>
            <w:shd w:val="clear" w:color="auto" w:fill="auto"/>
          </w:tcPr>
          <w:p w14:paraId="3D85B0C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“CRTPA”</w:t>
            </w:r>
          </w:p>
        </w:tc>
        <w:tc>
          <w:tcPr>
            <w:tcW w:w="7229" w:type="dxa"/>
            <w:shd w:val="clear" w:color="auto" w:fill="auto"/>
          </w:tcPr>
          <w:p w14:paraId="4CDB3AC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Contracts (Rights of Third Parties) Act 1999;</w:t>
            </w:r>
          </w:p>
        </w:tc>
      </w:tr>
      <w:tr w:rsidR="00B318C0" w14:paraId="5E8BA021" w14:textId="77777777">
        <w:tc>
          <w:tcPr>
            <w:tcW w:w="2552" w:type="dxa"/>
            <w:shd w:val="clear" w:color="auto" w:fill="auto"/>
          </w:tcPr>
          <w:p w14:paraId="6899ED9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“Data Protection Impact Assessment”</w:t>
            </w:r>
          </w:p>
        </w:tc>
        <w:tc>
          <w:tcPr>
            <w:tcW w:w="7229" w:type="dxa"/>
            <w:shd w:val="clear" w:color="auto" w:fill="auto"/>
          </w:tcPr>
          <w:p w14:paraId="743CE0D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 assessment by the Controller of the impact of the envisaged Processing on the protection of Personal Data;</w:t>
            </w:r>
          </w:p>
        </w:tc>
      </w:tr>
      <w:tr w:rsidR="00B318C0" w14:paraId="06B533B9" w14:textId="77777777">
        <w:tc>
          <w:tcPr>
            <w:tcW w:w="2552" w:type="dxa"/>
            <w:shd w:val="clear" w:color="auto" w:fill="auto"/>
          </w:tcPr>
          <w:p w14:paraId="2D8AF90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“Data Protection Legislation”</w:t>
            </w:r>
          </w:p>
        </w:tc>
        <w:tc>
          <w:tcPr>
            <w:tcW w:w="7229" w:type="dxa"/>
            <w:shd w:val="clear" w:color="auto" w:fill="auto"/>
          </w:tcPr>
          <w:p w14:paraId="477FDEED" w14:textId="77777777" w:rsidR="00B318C0" w:rsidRDefault="00DA5A17">
            <w:pPr>
              <w:numPr>
                <w:ilvl w:val="1"/>
                <w:numId w:val="3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the UK GDPR as amended from time to time;</w:t>
            </w:r>
          </w:p>
          <w:p w14:paraId="0F980716" w14:textId="77777777" w:rsidR="00B318C0" w:rsidRDefault="00DA5A17">
            <w:pPr>
              <w:numPr>
                <w:ilvl w:val="1"/>
                <w:numId w:val="3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the DPA 2018 to the extent that it relates to Processing of Personal Data and privacy; and</w:t>
            </w:r>
          </w:p>
          <w:p w14:paraId="56549A6D" w14:textId="77777777" w:rsidR="00B318C0" w:rsidRDefault="00DA5A17">
            <w:pPr>
              <w:numPr>
                <w:ilvl w:val="1"/>
                <w:numId w:val="3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all applicable Law about the Processing of Personal Data and privacy;</w:t>
            </w:r>
          </w:p>
        </w:tc>
      </w:tr>
      <w:tr w:rsidR="00B318C0" w14:paraId="6DE2D456" w14:textId="77777777">
        <w:tc>
          <w:tcPr>
            <w:tcW w:w="2552" w:type="dxa"/>
            <w:shd w:val="clear" w:color="auto" w:fill="auto"/>
          </w:tcPr>
          <w:p w14:paraId="708DF7C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“Data Protection Liability Cap”</w:t>
            </w:r>
          </w:p>
        </w:tc>
        <w:tc>
          <w:tcPr>
            <w:tcW w:w="7229" w:type="dxa"/>
            <w:shd w:val="clear" w:color="auto" w:fill="auto"/>
          </w:tcPr>
          <w:p w14:paraId="11686B2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amount specified in the Framework Award Form;</w:t>
            </w:r>
          </w:p>
        </w:tc>
      </w:tr>
      <w:tr w:rsidR="00B318C0" w14:paraId="70F1C212" w14:textId="77777777">
        <w:tc>
          <w:tcPr>
            <w:tcW w:w="2552" w:type="dxa"/>
            <w:shd w:val="clear" w:color="auto" w:fill="auto"/>
          </w:tcPr>
          <w:p w14:paraId="31F8D10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“Data Protection Officer”</w:t>
            </w:r>
          </w:p>
        </w:tc>
        <w:tc>
          <w:tcPr>
            <w:tcW w:w="7229" w:type="dxa"/>
            <w:shd w:val="clear" w:color="auto" w:fill="auto"/>
          </w:tcPr>
          <w:p w14:paraId="317858C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1CD0AC64" w14:textId="77777777">
        <w:tc>
          <w:tcPr>
            <w:tcW w:w="2552" w:type="dxa"/>
            <w:shd w:val="clear" w:color="auto" w:fill="auto"/>
          </w:tcPr>
          <w:p w14:paraId="05AF243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“Data Subject”</w:t>
            </w:r>
          </w:p>
        </w:tc>
        <w:tc>
          <w:tcPr>
            <w:tcW w:w="7229" w:type="dxa"/>
            <w:shd w:val="clear" w:color="auto" w:fill="auto"/>
          </w:tcPr>
          <w:p w14:paraId="2B0C958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359EF4F0" w14:textId="77777777">
        <w:tc>
          <w:tcPr>
            <w:tcW w:w="2552" w:type="dxa"/>
            <w:shd w:val="clear" w:color="auto" w:fill="auto"/>
          </w:tcPr>
          <w:p w14:paraId="0C723E1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“Data Subject Access Request”</w:t>
            </w:r>
          </w:p>
        </w:tc>
        <w:tc>
          <w:tcPr>
            <w:tcW w:w="7229" w:type="dxa"/>
            <w:shd w:val="clear" w:color="auto" w:fill="auto"/>
          </w:tcPr>
          <w:p w14:paraId="15C4AFF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request made by, or on behalf of, a Data Subject in accordance with rights granted pursuant to the Data Protection Legislation to access their Personal Data;</w:t>
            </w:r>
          </w:p>
        </w:tc>
      </w:tr>
      <w:tr w:rsidR="00B318C0" w14:paraId="50B58FE3" w14:textId="77777777">
        <w:tc>
          <w:tcPr>
            <w:tcW w:w="2552" w:type="dxa"/>
            <w:shd w:val="clear" w:color="auto" w:fill="auto"/>
          </w:tcPr>
          <w:p w14:paraId="2E27781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“Deductions”</w:t>
            </w:r>
          </w:p>
        </w:tc>
        <w:tc>
          <w:tcPr>
            <w:tcW w:w="7229" w:type="dxa"/>
            <w:shd w:val="clear" w:color="auto" w:fill="auto"/>
          </w:tcPr>
          <w:p w14:paraId="3B3739E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all Service Credits, Delay Payments (if applicable), or any other deduction which the Buyer is paid or is payable to the Buyer under a Call-Off Contract;</w:t>
            </w:r>
          </w:p>
        </w:tc>
      </w:tr>
      <w:tr w:rsidR="00B318C0" w14:paraId="7BF727A5" w14:textId="77777777">
        <w:tc>
          <w:tcPr>
            <w:tcW w:w="2552" w:type="dxa"/>
            <w:shd w:val="clear" w:color="auto" w:fill="auto"/>
          </w:tcPr>
          <w:p w14:paraId="605DD50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“Default”</w:t>
            </w:r>
          </w:p>
        </w:tc>
        <w:tc>
          <w:tcPr>
            <w:tcW w:w="7229" w:type="dxa"/>
            <w:shd w:val="clear" w:color="auto" w:fill="auto"/>
          </w:tcPr>
          <w:p w14:paraId="0AC3288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B318C0" w14:paraId="2EEED348" w14:textId="77777777">
        <w:tc>
          <w:tcPr>
            <w:tcW w:w="2552" w:type="dxa"/>
            <w:shd w:val="clear" w:color="auto" w:fill="auto"/>
          </w:tcPr>
          <w:p w14:paraId="53B8EC4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“Default Management Charge”</w:t>
            </w:r>
          </w:p>
        </w:tc>
        <w:tc>
          <w:tcPr>
            <w:tcW w:w="7229" w:type="dxa"/>
            <w:shd w:val="clear" w:color="auto" w:fill="auto"/>
          </w:tcPr>
          <w:p w14:paraId="784CA1F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Paragraph 8.1.1 of Framework Schedule 5 (Management Charges and Information);</w:t>
            </w:r>
          </w:p>
        </w:tc>
      </w:tr>
      <w:tr w:rsidR="00B318C0" w14:paraId="13B69AE5" w14:textId="77777777">
        <w:tc>
          <w:tcPr>
            <w:tcW w:w="2552" w:type="dxa"/>
            <w:shd w:val="clear" w:color="auto" w:fill="auto"/>
          </w:tcPr>
          <w:p w14:paraId="1B2C348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“Delay Payments”</w:t>
            </w:r>
          </w:p>
        </w:tc>
        <w:tc>
          <w:tcPr>
            <w:tcW w:w="7229" w:type="dxa"/>
            <w:shd w:val="clear" w:color="auto" w:fill="auto"/>
          </w:tcPr>
          <w:p w14:paraId="09E7911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amounts (if any) payable by the Supplier to the Buyer in respect of a delay in respect of a Milestone as specified in the Implementation Plan;</w:t>
            </w:r>
          </w:p>
        </w:tc>
      </w:tr>
      <w:tr w:rsidR="00B318C0" w14:paraId="6CEC3F25" w14:textId="77777777">
        <w:tc>
          <w:tcPr>
            <w:tcW w:w="2552" w:type="dxa"/>
            <w:shd w:val="clear" w:color="auto" w:fill="auto"/>
          </w:tcPr>
          <w:p w14:paraId="5F60EDC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“Deliverables”</w:t>
            </w:r>
          </w:p>
        </w:tc>
        <w:tc>
          <w:tcPr>
            <w:tcW w:w="7229" w:type="dxa"/>
            <w:shd w:val="clear" w:color="auto" w:fill="auto"/>
          </w:tcPr>
          <w:p w14:paraId="248DBF2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Goods and/or Services that may be ordered under the Contract including the Documentation; </w:t>
            </w:r>
          </w:p>
        </w:tc>
      </w:tr>
      <w:tr w:rsidR="00B318C0" w14:paraId="4AF9AB51" w14:textId="77777777">
        <w:tc>
          <w:tcPr>
            <w:tcW w:w="2552" w:type="dxa"/>
            <w:shd w:val="clear" w:color="auto" w:fill="auto"/>
          </w:tcPr>
          <w:p w14:paraId="3E3F5CD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“Delivery”</w:t>
            </w:r>
          </w:p>
        </w:tc>
        <w:tc>
          <w:tcPr>
            <w:tcW w:w="7229" w:type="dxa"/>
            <w:shd w:val="clear" w:color="auto" w:fill="auto"/>
          </w:tcPr>
          <w:p w14:paraId="1FD8607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delivery of the relevant Deliverable or Milestone in accordance with the terms of a Call-Off Contract as confirmed and accepted by the Buyer by confirmation in writing to the Supplier. “</w:t>
            </w:r>
            <w:r>
              <w:rPr>
                <w:rFonts w:ascii="Arial" w:eastAsia="Arial" w:hAnsi="Arial" w:cs="Arial"/>
                <w:b/>
                <w:color w:val="000000"/>
                <w:sz w:val="22"/>
                <w:szCs w:val="22"/>
              </w:rPr>
              <w:t>Deliver</w:t>
            </w:r>
            <w:r>
              <w:rPr>
                <w:rFonts w:ascii="Arial" w:eastAsia="Arial" w:hAnsi="Arial" w:cs="Arial"/>
                <w:color w:val="000000"/>
                <w:sz w:val="22"/>
                <w:szCs w:val="22"/>
              </w:rPr>
              <w:t>” and “</w:t>
            </w:r>
            <w:r>
              <w:rPr>
                <w:rFonts w:ascii="Arial" w:eastAsia="Arial" w:hAnsi="Arial" w:cs="Arial"/>
                <w:b/>
                <w:color w:val="000000"/>
                <w:sz w:val="22"/>
                <w:szCs w:val="22"/>
              </w:rPr>
              <w:t>Delivered</w:t>
            </w:r>
            <w:r>
              <w:rPr>
                <w:rFonts w:ascii="Arial" w:eastAsia="Arial" w:hAnsi="Arial" w:cs="Arial"/>
                <w:color w:val="000000"/>
                <w:sz w:val="22"/>
                <w:szCs w:val="22"/>
              </w:rPr>
              <w:t>” shall be construed accordingly;</w:t>
            </w:r>
          </w:p>
        </w:tc>
      </w:tr>
      <w:tr w:rsidR="00B318C0" w14:paraId="640B3365" w14:textId="77777777">
        <w:tc>
          <w:tcPr>
            <w:tcW w:w="2552" w:type="dxa"/>
            <w:shd w:val="clear" w:color="auto" w:fill="auto"/>
          </w:tcPr>
          <w:p w14:paraId="672E267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“Disclosing Party”</w:t>
            </w:r>
          </w:p>
        </w:tc>
        <w:tc>
          <w:tcPr>
            <w:tcW w:w="7229" w:type="dxa"/>
            <w:shd w:val="clear" w:color="auto" w:fill="auto"/>
          </w:tcPr>
          <w:p w14:paraId="70861CC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Party directly or indirectly providing Confidential Information to the other Party in accordance with Clause 15 (What you must keep confidential);</w:t>
            </w:r>
          </w:p>
        </w:tc>
      </w:tr>
      <w:tr w:rsidR="00B318C0" w14:paraId="1EA00520" w14:textId="77777777">
        <w:tc>
          <w:tcPr>
            <w:tcW w:w="2552" w:type="dxa"/>
            <w:shd w:val="clear" w:color="auto" w:fill="auto"/>
          </w:tcPr>
          <w:p w14:paraId="1CBF849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“Dispute”</w:t>
            </w:r>
          </w:p>
        </w:tc>
        <w:tc>
          <w:tcPr>
            <w:tcW w:w="7229" w:type="dxa"/>
            <w:shd w:val="clear" w:color="auto" w:fill="auto"/>
          </w:tcPr>
          <w:p w14:paraId="7A4E084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B318C0" w14:paraId="718EACA4" w14:textId="77777777">
        <w:tc>
          <w:tcPr>
            <w:tcW w:w="2552" w:type="dxa"/>
            <w:shd w:val="clear" w:color="auto" w:fill="auto"/>
          </w:tcPr>
          <w:p w14:paraId="7BF1702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“Dispute Resolution Procedure”</w:t>
            </w:r>
          </w:p>
        </w:tc>
        <w:tc>
          <w:tcPr>
            <w:tcW w:w="7229" w:type="dxa"/>
            <w:shd w:val="clear" w:color="auto" w:fill="auto"/>
          </w:tcPr>
          <w:p w14:paraId="78690FC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dispute resolution procedure set out in Clause 34 (Resolving disputes);</w:t>
            </w:r>
          </w:p>
        </w:tc>
      </w:tr>
      <w:tr w:rsidR="00B318C0" w14:paraId="7BEEE0D4" w14:textId="77777777">
        <w:tc>
          <w:tcPr>
            <w:tcW w:w="2552" w:type="dxa"/>
            <w:shd w:val="clear" w:color="auto" w:fill="auto"/>
          </w:tcPr>
          <w:p w14:paraId="0981F2B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“Documentation”</w:t>
            </w:r>
          </w:p>
        </w:tc>
        <w:tc>
          <w:tcPr>
            <w:tcW w:w="7229" w:type="dxa"/>
            <w:shd w:val="clear" w:color="auto" w:fill="auto"/>
          </w:tcPr>
          <w:p w14:paraId="5948EF9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required to be supplied by the Supplier to the Buyer under a Contract as:</w:t>
            </w:r>
          </w:p>
          <w:p w14:paraId="5E1BFB32" w14:textId="77777777" w:rsidR="00B318C0" w:rsidRDefault="00DA5A17">
            <w:pPr>
              <w:numPr>
                <w:ilvl w:val="1"/>
                <w:numId w:val="21"/>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 xml:space="preserve">would reasonably be required by a competent third party capable of Good Industry Practice contracted by the Buyer to develop, </w:t>
            </w:r>
            <w:r>
              <w:rPr>
                <w:rFonts w:ascii="Arial" w:eastAsia="Arial" w:hAnsi="Arial" w:cs="Arial"/>
                <w:color w:val="000000"/>
                <w:sz w:val="22"/>
                <w:szCs w:val="22"/>
              </w:rPr>
              <w:lastRenderedPageBreak/>
              <w:t>configure, build, deploy, run, maintain, upgrade and test the individual systems that provide the Deliverables;</w:t>
            </w:r>
          </w:p>
          <w:p w14:paraId="7280A5B9" w14:textId="77777777" w:rsidR="00B318C0" w:rsidRDefault="00DA5A17">
            <w:pPr>
              <w:numPr>
                <w:ilvl w:val="1"/>
                <w:numId w:val="21"/>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is required by the Supplier in order to provide the Deliverables; and/or</w:t>
            </w:r>
          </w:p>
          <w:p w14:paraId="4C628E03" w14:textId="77777777" w:rsidR="00B318C0" w:rsidRDefault="00DA5A17">
            <w:pPr>
              <w:numPr>
                <w:ilvl w:val="1"/>
                <w:numId w:val="21"/>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has been or shall be generated for the purpose of providing the Deliverables;</w:t>
            </w:r>
          </w:p>
        </w:tc>
      </w:tr>
      <w:tr w:rsidR="00B318C0" w14:paraId="38F89450" w14:textId="77777777">
        <w:tc>
          <w:tcPr>
            <w:tcW w:w="2552" w:type="dxa"/>
            <w:shd w:val="clear" w:color="auto" w:fill="auto"/>
          </w:tcPr>
          <w:p w14:paraId="163419C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“DOTAS”</w:t>
            </w:r>
          </w:p>
        </w:tc>
        <w:tc>
          <w:tcPr>
            <w:tcW w:w="7229" w:type="dxa"/>
            <w:shd w:val="clear" w:color="auto" w:fill="auto"/>
          </w:tcPr>
          <w:p w14:paraId="67CCDAF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B318C0" w14:paraId="032B3BE8" w14:textId="77777777">
        <w:tc>
          <w:tcPr>
            <w:tcW w:w="2552" w:type="dxa"/>
            <w:shd w:val="clear" w:color="auto" w:fill="auto"/>
          </w:tcPr>
          <w:p w14:paraId="335E9A7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“DPA 2018”</w:t>
            </w:r>
          </w:p>
        </w:tc>
        <w:tc>
          <w:tcPr>
            <w:tcW w:w="7229" w:type="dxa"/>
            <w:shd w:val="clear" w:color="auto" w:fill="auto"/>
          </w:tcPr>
          <w:p w14:paraId="4F58225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Data Protection Act 2018;</w:t>
            </w:r>
          </w:p>
        </w:tc>
      </w:tr>
      <w:tr w:rsidR="00B318C0" w14:paraId="234F866D" w14:textId="77777777">
        <w:tc>
          <w:tcPr>
            <w:tcW w:w="2552" w:type="dxa"/>
            <w:shd w:val="clear" w:color="auto" w:fill="auto"/>
          </w:tcPr>
          <w:p w14:paraId="2CA5D8E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“Due Diligence Information”</w:t>
            </w:r>
          </w:p>
        </w:tc>
        <w:tc>
          <w:tcPr>
            <w:tcW w:w="7229" w:type="dxa"/>
            <w:shd w:val="clear" w:color="auto" w:fill="auto"/>
          </w:tcPr>
          <w:p w14:paraId="717EAA1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information supplied to the Supplier by or on behalf of the Authority prior to the Start Date;</w:t>
            </w:r>
          </w:p>
        </w:tc>
      </w:tr>
      <w:tr w:rsidR="00B318C0" w14:paraId="33294D0E" w14:textId="77777777">
        <w:tc>
          <w:tcPr>
            <w:tcW w:w="2552" w:type="dxa"/>
            <w:shd w:val="clear" w:color="auto" w:fill="auto"/>
          </w:tcPr>
          <w:p w14:paraId="3CE4D04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“Effective Date”</w:t>
            </w:r>
          </w:p>
        </w:tc>
        <w:tc>
          <w:tcPr>
            <w:tcW w:w="7229" w:type="dxa"/>
            <w:shd w:val="clear" w:color="auto" w:fill="auto"/>
          </w:tcPr>
          <w:p w14:paraId="3115FA1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date on which the final Party has signed the Contract;</w:t>
            </w:r>
          </w:p>
        </w:tc>
      </w:tr>
      <w:tr w:rsidR="00B318C0" w14:paraId="7BAD3628" w14:textId="77777777">
        <w:tc>
          <w:tcPr>
            <w:tcW w:w="2552" w:type="dxa"/>
            <w:shd w:val="clear" w:color="auto" w:fill="auto"/>
          </w:tcPr>
          <w:p w14:paraId="527DEB1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“EIR”</w:t>
            </w:r>
          </w:p>
        </w:tc>
        <w:tc>
          <w:tcPr>
            <w:tcW w:w="7229" w:type="dxa"/>
            <w:shd w:val="clear" w:color="auto" w:fill="auto"/>
          </w:tcPr>
          <w:p w14:paraId="43B1163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Environmental Information Regulations 2004;</w:t>
            </w:r>
          </w:p>
        </w:tc>
      </w:tr>
      <w:tr w:rsidR="00B318C0" w14:paraId="20E56B51" w14:textId="77777777">
        <w:tc>
          <w:tcPr>
            <w:tcW w:w="2552" w:type="dxa"/>
            <w:shd w:val="clear" w:color="auto" w:fill="auto"/>
          </w:tcPr>
          <w:p w14:paraId="3F038D0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“Electronic Invoice”</w:t>
            </w:r>
          </w:p>
        </w:tc>
        <w:tc>
          <w:tcPr>
            <w:tcW w:w="7229" w:type="dxa"/>
            <w:shd w:val="clear" w:color="auto" w:fill="auto"/>
          </w:tcPr>
          <w:p w14:paraId="0645053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B318C0" w14:paraId="41541411" w14:textId="77777777">
        <w:tc>
          <w:tcPr>
            <w:tcW w:w="2552" w:type="dxa"/>
            <w:shd w:val="clear" w:color="auto" w:fill="auto"/>
          </w:tcPr>
          <w:p w14:paraId="1C52CA9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“Employment Regulations”</w:t>
            </w:r>
          </w:p>
        </w:tc>
        <w:tc>
          <w:tcPr>
            <w:tcW w:w="7229" w:type="dxa"/>
            <w:shd w:val="clear" w:color="auto" w:fill="auto"/>
          </w:tcPr>
          <w:p w14:paraId="2F328CE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Transfer of Undertakings (Protection of Employment) Regulations 2006 (SI 2006/246) as amended or replaced or any other Regulations implementing the European Council Directive 77/187/EEC;</w:t>
            </w:r>
          </w:p>
        </w:tc>
      </w:tr>
      <w:tr w:rsidR="00B318C0" w14:paraId="1241D122" w14:textId="77777777">
        <w:tc>
          <w:tcPr>
            <w:tcW w:w="2552" w:type="dxa"/>
            <w:shd w:val="clear" w:color="auto" w:fill="auto"/>
          </w:tcPr>
          <w:p w14:paraId="5192B91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 xml:space="preserve">“End Date” </w:t>
            </w:r>
          </w:p>
        </w:tc>
        <w:tc>
          <w:tcPr>
            <w:tcW w:w="7229" w:type="dxa"/>
            <w:shd w:val="clear" w:color="auto" w:fill="auto"/>
          </w:tcPr>
          <w:p w14:paraId="04D2F32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earlier of: </w:t>
            </w:r>
          </w:p>
          <w:p w14:paraId="2BC6220A" w14:textId="77777777" w:rsidR="00B318C0" w:rsidRDefault="00DA5A17">
            <w:pPr>
              <w:numPr>
                <w:ilvl w:val="1"/>
                <w:numId w:val="22"/>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the Expiry Date (as extended by any Extension Period exercised by the Relevant Authority under Clause 10.1.2); or</w:t>
            </w:r>
          </w:p>
          <w:p w14:paraId="6B14A66F" w14:textId="77777777" w:rsidR="00B318C0" w:rsidRDefault="00DA5A17">
            <w:pPr>
              <w:numPr>
                <w:ilvl w:val="1"/>
                <w:numId w:val="22"/>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if a Contract is terminated before the date specified in (a) above, the date of termination of the Contract;</w:t>
            </w:r>
          </w:p>
        </w:tc>
      </w:tr>
      <w:tr w:rsidR="00B318C0" w14:paraId="62BE2147" w14:textId="77777777">
        <w:tc>
          <w:tcPr>
            <w:tcW w:w="2552" w:type="dxa"/>
            <w:shd w:val="clear" w:color="auto" w:fill="auto"/>
          </w:tcPr>
          <w:p w14:paraId="0200D2E8" w14:textId="77777777" w:rsidR="00B318C0" w:rsidRDefault="00DA5A17">
            <w:pPr>
              <w:pBdr>
                <w:top w:val="nil"/>
                <w:left w:val="nil"/>
                <w:bottom w:val="nil"/>
                <w:right w:val="nil"/>
                <w:between w:val="nil"/>
              </w:pBdr>
              <w:spacing w:before="60" w:after="60"/>
              <w:ind w:left="142" w:right="278"/>
              <w:rPr>
                <w:rFonts w:ascii="Arial" w:eastAsia="Arial" w:hAnsi="Arial" w:cs="Arial"/>
                <w:b/>
                <w:sz w:val="22"/>
                <w:szCs w:val="22"/>
              </w:rPr>
            </w:pPr>
            <w:r>
              <w:rPr>
                <w:rFonts w:ascii="Arial" w:eastAsia="Arial" w:hAnsi="Arial" w:cs="Arial"/>
                <w:b/>
                <w:sz w:val="22"/>
                <w:szCs w:val="22"/>
              </w:rPr>
              <w:t>“End to End”</w:t>
            </w:r>
          </w:p>
        </w:tc>
        <w:tc>
          <w:tcPr>
            <w:tcW w:w="7229" w:type="dxa"/>
            <w:shd w:val="clear" w:color="auto" w:fill="auto"/>
          </w:tcPr>
          <w:p w14:paraId="74A7C1AE" w14:textId="77777777" w:rsidR="00B318C0" w:rsidRDefault="00DA5A17">
            <w:pPr>
              <w:pBdr>
                <w:top w:val="nil"/>
                <w:left w:val="nil"/>
                <w:bottom w:val="nil"/>
                <w:right w:val="nil"/>
                <w:between w:val="nil"/>
              </w:pBdr>
              <w:spacing w:before="60" w:after="60"/>
              <w:ind w:left="140" w:right="144"/>
              <w:jc w:val="both"/>
              <w:rPr>
                <w:rFonts w:ascii="Arial" w:eastAsia="Arial" w:hAnsi="Arial" w:cs="Arial"/>
                <w:sz w:val="22"/>
                <w:szCs w:val="22"/>
              </w:rPr>
            </w:pPr>
            <w:r>
              <w:rPr>
                <w:rFonts w:ascii="Arial" w:eastAsia="Arial" w:hAnsi="Arial" w:cs="Arial"/>
                <w:sz w:val="22"/>
                <w:szCs w:val="22"/>
              </w:rPr>
              <w:t xml:space="preserve">Under Lot 4 and Lot 1 Part B, the full citizen accommodation service requirements from the arrival of a Service User in the UK until their permanent departure from the contracted accommodation. </w:t>
            </w:r>
          </w:p>
        </w:tc>
      </w:tr>
      <w:tr w:rsidR="00B318C0" w14:paraId="5D4EB125" w14:textId="77777777">
        <w:tc>
          <w:tcPr>
            <w:tcW w:w="2552" w:type="dxa"/>
            <w:shd w:val="clear" w:color="auto" w:fill="auto"/>
          </w:tcPr>
          <w:p w14:paraId="330F954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“Environmental Policy”</w:t>
            </w:r>
          </w:p>
        </w:tc>
        <w:tc>
          <w:tcPr>
            <w:tcW w:w="7229" w:type="dxa"/>
            <w:shd w:val="clear" w:color="auto" w:fill="auto"/>
          </w:tcPr>
          <w:p w14:paraId="77DFBC7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B318C0" w14:paraId="1956E991" w14:textId="77777777">
        <w:tc>
          <w:tcPr>
            <w:tcW w:w="2552" w:type="dxa"/>
            <w:shd w:val="clear" w:color="auto" w:fill="auto"/>
          </w:tcPr>
          <w:p w14:paraId="2EEEB90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“Equality and Human Rights Commission”</w:t>
            </w:r>
          </w:p>
        </w:tc>
        <w:tc>
          <w:tcPr>
            <w:tcW w:w="7229" w:type="dxa"/>
            <w:shd w:val="clear" w:color="auto" w:fill="auto"/>
          </w:tcPr>
          <w:p w14:paraId="173CFA3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UK Government body named as such as may be renamed or replaced by an equivalent body from time to time;</w:t>
            </w:r>
          </w:p>
        </w:tc>
      </w:tr>
      <w:tr w:rsidR="00B318C0" w14:paraId="0427673F" w14:textId="77777777">
        <w:tc>
          <w:tcPr>
            <w:tcW w:w="2552" w:type="dxa"/>
            <w:shd w:val="clear" w:color="auto" w:fill="auto"/>
          </w:tcPr>
          <w:p w14:paraId="364B294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“Estimated Year 1 Charges”</w:t>
            </w:r>
          </w:p>
        </w:tc>
        <w:tc>
          <w:tcPr>
            <w:tcW w:w="7229" w:type="dxa"/>
            <w:shd w:val="clear" w:color="auto" w:fill="auto"/>
          </w:tcPr>
          <w:p w14:paraId="7C7A8AA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anticipated total Charges payable by the Buyer in the first Contract Year specified in the Order Form;</w:t>
            </w:r>
          </w:p>
        </w:tc>
      </w:tr>
    </w:tbl>
    <w:p w14:paraId="76B07F2D" w14:textId="77777777" w:rsidR="00B318C0" w:rsidRDefault="00B318C0">
      <w:pPr>
        <w:widowControl w:val="0"/>
        <w:pBdr>
          <w:top w:val="nil"/>
          <w:left w:val="nil"/>
          <w:bottom w:val="nil"/>
          <w:right w:val="nil"/>
          <w:between w:val="nil"/>
        </w:pBdr>
        <w:spacing w:after="0"/>
        <w:rPr>
          <w:rFonts w:ascii="Arial" w:eastAsia="Arial" w:hAnsi="Arial" w:cs="Arial"/>
          <w:color w:val="000000"/>
        </w:rPr>
      </w:pPr>
    </w:p>
    <w:tbl>
      <w:tblPr>
        <w:tblStyle w:val="a6"/>
        <w:tblW w:w="9781"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29"/>
      </w:tblGrid>
      <w:tr w:rsidR="00B318C0" w14:paraId="05E975E9" w14:textId="77777777">
        <w:tc>
          <w:tcPr>
            <w:tcW w:w="2552" w:type="dxa"/>
            <w:tcBorders>
              <w:top w:val="nil"/>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6C0BD06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“Estimated Yearly Charges”</w:t>
            </w:r>
          </w:p>
        </w:tc>
        <w:tc>
          <w:tcPr>
            <w:tcW w:w="7229" w:type="dxa"/>
            <w:tcBorders>
              <w:top w:val="nil"/>
              <w:left w:val="nil"/>
              <w:bottom w:val="single" w:sz="4" w:space="0" w:color="000000"/>
              <w:right w:val="single" w:sz="8" w:space="0" w:color="000000"/>
            </w:tcBorders>
            <w:shd w:val="clear" w:color="auto" w:fill="auto"/>
            <w:tcMar>
              <w:top w:w="0" w:type="dxa"/>
              <w:left w:w="108" w:type="dxa"/>
              <w:bottom w:w="0" w:type="dxa"/>
              <w:right w:w="108" w:type="dxa"/>
            </w:tcMar>
          </w:tcPr>
          <w:p w14:paraId="1C466DA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for the purposes of calculating each Party’s annual liability under Clause 11.2:</w:t>
            </w:r>
          </w:p>
          <w:p w14:paraId="54E9C46F" w14:textId="77777777" w:rsidR="00B318C0" w:rsidRDefault="00DA5A17">
            <w:pPr>
              <w:numPr>
                <w:ilvl w:val="1"/>
                <w:numId w:val="37"/>
              </w:numPr>
              <w:pBdr>
                <w:top w:val="nil"/>
                <w:left w:val="nil"/>
                <w:bottom w:val="nil"/>
                <w:right w:val="nil"/>
                <w:between w:val="nil"/>
              </w:pBdr>
              <w:tabs>
                <w:tab w:val="left" w:pos="711"/>
              </w:tabs>
              <w:spacing w:before="60" w:after="60"/>
              <w:ind w:left="746" w:right="134" w:hanging="572"/>
              <w:jc w:val="both"/>
              <w:rPr>
                <w:rFonts w:ascii="Arial" w:eastAsia="Arial" w:hAnsi="Arial" w:cs="Arial"/>
                <w:color w:val="000000"/>
                <w:sz w:val="22"/>
                <w:szCs w:val="22"/>
              </w:rPr>
            </w:pPr>
            <w:r>
              <w:rPr>
                <w:rFonts w:ascii="Arial" w:eastAsia="Arial" w:hAnsi="Arial" w:cs="Arial"/>
                <w:color w:val="000000"/>
                <w:sz w:val="22"/>
                <w:szCs w:val="22"/>
              </w:rPr>
              <w:t>in the first Contract Year, the Estimated Year 1 Charges; or</w:t>
            </w:r>
          </w:p>
          <w:p w14:paraId="2721C093" w14:textId="77777777" w:rsidR="00B318C0" w:rsidRDefault="00DA5A17">
            <w:pPr>
              <w:numPr>
                <w:ilvl w:val="1"/>
                <w:numId w:val="37"/>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in any subsequent Contract Years, the Charges paid and/or payable in the previous Contract Year; or</w:t>
            </w:r>
          </w:p>
          <w:p w14:paraId="54E5909B" w14:textId="77777777" w:rsidR="00B318C0" w:rsidRDefault="00DA5A17">
            <w:pPr>
              <w:numPr>
                <w:ilvl w:val="1"/>
                <w:numId w:val="37"/>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after the end of the Call-Off Contract, the Charges paid and/or payable in the last Contract Year during the Call-Off Contract Period;</w:t>
            </w:r>
          </w:p>
        </w:tc>
      </w:tr>
      <w:tr w:rsidR="00B318C0" w14:paraId="70BAF6A0"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18D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sz w:val="22"/>
                <w:szCs w:val="22"/>
              </w:rPr>
              <w:t>“</w:t>
            </w:r>
            <w:r>
              <w:rPr>
                <w:rFonts w:ascii="Arial" w:eastAsia="Arial" w:hAnsi="Arial" w:cs="Arial"/>
                <w:b/>
                <w:sz w:val="22"/>
                <w:szCs w:val="22"/>
              </w:rPr>
              <w:t xml:space="preserve">Exempt </w:t>
            </w:r>
            <w:r>
              <w:rPr>
                <w:rFonts w:ascii="Arial" w:eastAsia="Arial" w:hAnsi="Arial" w:cs="Arial"/>
                <w:b/>
                <w:color w:val="000000"/>
                <w:sz w:val="22"/>
                <w:szCs w:val="22"/>
              </w:rPr>
              <w:t>Buyer</w:t>
            </w:r>
            <w:r>
              <w:rPr>
                <w:rFonts w:ascii="Arial" w:eastAsia="Arial" w:hAnsi="Arial"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44C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public sector purchaser that is:</w:t>
            </w:r>
          </w:p>
          <w:p w14:paraId="2AF22066" w14:textId="77777777" w:rsidR="00B318C0" w:rsidRDefault="00DA5A17">
            <w:pPr>
              <w:numPr>
                <w:ilvl w:val="1"/>
                <w:numId w:val="23"/>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eligible to use the Framework Contract; and</w:t>
            </w:r>
          </w:p>
          <w:p w14:paraId="25D1BE2D" w14:textId="77777777" w:rsidR="00B318C0" w:rsidRDefault="00DA5A17">
            <w:pPr>
              <w:numPr>
                <w:ilvl w:val="1"/>
                <w:numId w:val="23"/>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Pr>
                <w:rFonts w:ascii="Arial" w:eastAsia="Arial" w:hAnsi="Arial" w:cs="Arial"/>
                <w:color w:val="000000"/>
                <w:sz w:val="22"/>
                <w:szCs w:val="22"/>
              </w:rPr>
              <w:t>is entering into an Exempt Call-Off Contract that is not subject to (as applicable) any of:</w:t>
            </w:r>
          </w:p>
          <w:p w14:paraId="7A798502"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the Regulations;</w:t>
            </w:r>
          </w:p>
          <w:p w14:paraId="22F09491"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the Concession Contracts Regulations 2016 (SI 2016/273);</w:t>
            </w:r>
          </w:p>
          <w:p w14:paraId="02803574"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the Utilities Contracts Regulations 2016 (SI 2016/274);</w:t>
            </w:r>
          </w:p>
          <w:p w14:paraId="0B8F4E27"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the Defence and Security Public Contracts Regulations 2011 (SI 2011/1848);</w:t>
            </w:r>
          </w:p>
          <w:p w14:paraId="13B5EBB1"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the Remedies Directive (2007/66/EC);</w:t>
            </w:r>
          </w:p>
          <w:p w14:paraId="451F8E47"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Directive 2014/23/EU of the European Parliament and Council;</w:t>
            </w:r>
          </w:p>
          <w:p w14:paraId="66A21218"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Directive 2014/24/EU of the European Parliament and Council;</w:t>
            </w:r>
          </w:p>
          <w:p w14:paraId="729D1236"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sz w:val="22"/>
                <w:szCs w:val="22"/>
              </w:rPr>
            </w:pPr>
            <w:r>
              <w:rPr>
                <w:rFonts w:ascii="Arial" w:eastAsia="Arial" w:hAnsi="Arial" w:cs="Arial"/>
                <w:color w:val="000000"/>
                <w:sz w:val="22"/>
                <w:szCs w:val="22"/>
              </w:rPr>
              <w:t>Directive 2014/25/EU of the European Parliament and Council; or</w:t>
            </w:r>
          </w:p>
          <w:p w14:paraId="0ED08640" w14:textId="77777777" w:rsidR="00B318C0" w:rsidRDefault="00DA5A17">
            <w:pPr>
              <w:numPr>
                <w:ilvl w:val="1"/>
                <w:numId w:val="2"/>
              </w:numPr>
              <w:pBdr>
                <w:top w:val="nil"/>
                <w:left w:val="nil"/>
                <w:bottom w:val="nil"/>
                <w:right w:val="nil"/>
                <w:between w:val="nil"/>
              </w:pBdr>
              <w:spacing w:before="60" w:after="60"/>
              <w:ind w:left="1314" w:hanging="567"/>
              <w:jc w:val="both"/>
              <w:rPr>
                <w:rFonts w:ascii="Arial" w:eastAsia="Arial" w:hAnsi="Arial" w:cs="Arial"/>
                <w:color w:val="000000"/>
                <w:sz w:val="22"/>
                <w:szCs w:val="22"/>
              </w:rPr>
            </w:pPr>
            <w:r>
              <w:rPr>
                <w:rFonts w:ascii="Arial" w:eastAsia="Arial" w:hAnsi="Arial" w:cs="Arial"/>
                <w:color w:val="000000"/>
                <w:sz w:val="22"/>
                <w:szCs w:val="22"/>
              </w:rPr>
              <w:t>Directive 2009/81/EC of the European Parliament and Council;</w:t>
            </w:r>
          </w:p>
        </w:tc>
      </w:tr>
      <w:tr w:rsidR="00B318C0" w14:paraId="7920614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44CD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sz w:val="22"/>
                <w:szCs w:val="22"/>
              </w:rPr>
              <w:t>“</w:t>
            </w:r>
            <w:r>
              <w:rPr>
                <w:rFonts w:ascii="Arial" w:eastAsia="Arial" w:hAnsi="Arial" w:cs="Arial"/>
                <w:b/>
                <w:sz w:val="22"/>
                <w:szCs w:val="22"/>
              </w:rPr>
              <w:t>Exempt Call-Off Contract</w:t>
            </w:r>
            <w:r>
              <w:rPr>
                <w:rFonts w:ascii="Arial" w:eastAsia="Arial" w:hAnsi="Arial"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942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B318C0" w14:paraId="1FCDFCB2" w14:textId="77777777">
        <w:trPr>
          <w:trHeight w:val="961"/>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179F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sz w:val="22"/>
                <w:szCs w:val="22"/>
              </w:rPr>
              <w:t>“</w:t>
            </w:r>
            <w:r>
              <w:rPr>
                <w:rFonts w:ascii="Arial" w:eastAsia="Arial" w:hAnsi="Arial" w:cs="Arial"/>
                <w:b/>
                <w:sz w:val="22"/>
                <w:szCs w:val="22"/>
              </w:rPr>
              <w:t xml:space="preserve">Exempt Procurement </w:t>
            </w:r>
            <w:r>
              <w:rPr>
                <w:rFonts w:ascii="Arial" w:eastAsia="Arial" w:hAnsi="Arial" w:cs="Arial"/>
                <w:b/>
                <w:color w:val="000000"/>
                <w:sz w:val="22"/>
                <w:szCs w:val="22"/>
              </w:rPr>
              <w:t>Amendments</w:t>
            </w:r>
            <w:r>
              <w:rPr>
                <w:rFonts w:ascii="Arial" w:eastAsia="Arial" w:hAnsi="Arial"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2204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B318C0" w14:paraId="134C0B67" w14:textId="77777777">
        <w:trPr>
          <w:trHeight w:val="961"/>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40085" w14:textId="77777777" w:rsidR="00B318C0" w:rsidRDefault="00DA5A17">
            <w:pPr>
              <w:pBdr>
                <w:top w:val="nil"/>
                <w:left w:val="nil"/>
                <w:bottom w:val="nil"/>
                <w:right w:val="nil"/>
                <w:between w:val="nil"/>
              </w:pBdr>
              <w:spacing w:before="60" w:after="60"/>
              <w:ind w:left="142" w:right="278"/>
              <w:rPr>
                <w:rFonts w:ascii="Arial" w:eastAsia="Arial" w:hAnsi="Arial" w:cs="Arial"/>
              </w:rPr>
            </w:pPr>
            <w:r>
              <w:rPr>
                <w:rFonts w:ascii="Arial" w:eastAsia="Arial" w:hAnsi="Arial" w:cs="Arial"/>
                <w:b/>
                <w:color w:val="000000"/>
                <w:sz w:val="22"/>
                <w:szCs w:val="22"/>
              </w:rPr>
              <w:t>“Existing IPR”</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CF9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rPr>
            </w:pPr>
            <w:r>
              <w:rPr>
                <w:rFonts w:ascii="Arial" w:eastAsia="Arial" w:hAnsi="Arial" w:cs="Arial"/>
                <w:color w:val="000000"/>
                <w:sz w:val="22"/>
                <w:szCs w:val="22"/>
              </w:rPr>
              <w:t>any and all IPR that are owned by or licensed to either Party and which are or have been developed independently of the Contract (whether prior to the Start Date or otherwise);</w:t>
            </w:r>
          </w:p>
        </w:tc>
      </w:tr>
    </w:tbl>
    <w:p w14:paraId="675E2F74" w14:textId="77777777" w:rsidR="00B318C0" w:rsidRDefault="00B318C0">
      <w:pPr>
        <w:widowControl w:val="0"/>
        <w:pBdr>
          <w:top w:val="nil"/>
          <w:left w:val="nil"/>
          <w:bottom w:val="nil"/>
          <w:right w:val="nil"/>
          <w:between w:val="nil"/>
        </w:pBdr>
        <w:spacing w:after="0"/>
        <w:rPr>
          <w:rFonts w:ascii="Arial" w:eastAsia="Arial" w:hAnsi="Arial" w:cs="Arial"/>
          <w:color w:val="000000"/>
        </w:rPr>
      </w:pPr>
    </w:p>
    <w:tbl>
      <w:tblPr>
        <w:tblStyle w:val="a7"/>
        <w:tblW w:w="97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7229"/>
      </w:tblGrid>
      <w:tr w:rsidR="00B318C0" w14:paraId="663281C6" w14:textId="77777777">
        <w:tc>
          <w:tcPr>
            <w:tcW w:w="2549" w:type="dxa"/>
            <w:tcBorders>
              <w:top w:val="single" w:sz="4" w:space="0" w:color="000000"/>
              <w:left w:val="single" w:sz="4" w:space="0" w:color="000000"/>
              <w:bottom w:val="single" w:sz="4" w:space="0" w:color="000000"/>
              <w:right w:val="single" w:sz="4" w:space="0" w:color="000000"/>
            </w:tcBorders>
            <w:shd w:val="clear" w:color="auto" w:fill="auto"/>
          </w:tcPr>
          <w:p w14:paraId="234F687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“Exit Day”</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86718E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shall have the meaning in the European Union (Withdrawal) Act 2018;</w:t>
            </w:r>
          </w:p>
        </w:tc>
      </w:tr>
      <w:tr w:rsidR="00B318C0" w14:paraId="5D334390" w14:textId="77777777">
        <w:tc>
          <w:tcPr>
            <w:tcW w:w="2549" w:type="dxa"/>
            <w:tcBorders>
              <w:top w:val="single" w:sz="4" w:space="0" w:color="000000"/>
            </w:tcBorders>
            <w:shd w:val="clear" w:color="auto" w:fill="auto"/>
          </w:tcPr>
          <w:p w14:paraId="3AA9637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“Expiry Date”</w:t>
            </w:r>
          </w:p>
        </w:tc>
        <w:tc>
          <w:tcPr>
            <w:tcW w:w="7229" w:type="dxa"/>
            <w:tcBorders>
              <w:top w:val="single" w:sz="4" w:space="0" w:color="000000"/>
            </w:tcBorders>
            <w:shd w:val="clear" w:color="auto" w:fill="auto"/>
          </w:tcPr>
          <w:p w14:paraId="0F58D01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Framework Expiry Date or the Call-Off Expiry Date (as the context dictates); </w:t>
            </w:r>
          </w:p>
        </w:tc>
      </w:tr>
      <w:tr w:rsidR="00B318C0" w14:paraId="43336B8B" w14:textId="77777777">
        <w:tc>
          <w:tcPr>
            <w:tcW w:w="2549" w:type="dxa"/>
            <w:shd w:val="clear" w:color="auto" w:fill="auto"/>
          </w:tcPr>
          <w:p w14:paraId="12B3E34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“Extension Period”</w:t>
            </w:r>
          </w:p>
        </w:tc>
        <w:tc>
          <w:tcPr>
            <w:tcW w:w="7229" w:type="dxa"/>
            <w:shd w:val="clear" w:color="auto" w:fill="auto"/>
          </w:tcPr>
          <w:p w14:paraId="1A22C6D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Framework Optional Extension Period or the Call-Off Optional Extension Period as the context dictates;</w:t>
            </w:r>
          </w:p>
        </w:tc>
      </w:tr>
      <w:tr w:rsidR="00B318C0" w14:paraId="4AA92E80" w14:textId="77777777">
        <w:tc>
          <w:tcPr>
            <w:tcW w:w="2549" w:type="dxa"/>
            <w:shd w:val="clear" w:color="auto" w:fill="auto"/>
          </w:tcPr>
          <w:p w14:paraId="26B17EE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“FOIA”</w:t>
            </w:r>
          </w:p>
        </w:tc>
        <w:tc>
          <w:tcPr>
            <w:tcW w:w="7229" w:type="dxa"/>
            <w:shd w:val="clear" w:color="auto" w:fill="auto"/>
          </w:tcPr>
          <w:p w14:paraId="025D26E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Freedom of Information Act 2000 and any subordinate legislation made under that Act from time to time together with any guidance and/or </w:t>
            </w:r>
            <w:r>
              <w:rPr>
                <w:rFonts w:ascii="Arial" w:eastAsia="Arial" w:hAnsi="Arial" w:cs="Arial"/>
                <w:color w:val="000000"/>
                <w:sz w:val="22"/>
                <w:szCs w:val="22"/>
              </w:rPr>
              <w:lastRenderedPageBreak/>
              <w:t>codes of practice issued by the Information Commissioner or relevant Government department in relation to such legislation;</w:t>
            </w:r>
          </w:p>
        </w:tc>
      </w:tr>
      <w:tr w:rsidR="00B318C0" w14:paraId="35DB3A58" w14:textId="77777777">
        <w:tc>
          <w:tcPr>
            <w:tcW w:w="2549" w:type="dxa"/>
            <w:shd w:val="clear" w:color="auto" w:fill="auto"/>
          </w:tcPr>
          <w:p w14:paraId="5769B72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“Force Majeure Event”</w:t>
            </w:r>
          </w:p>
        </w:tc>
        <w:tc>
          <w:tcPr>
            <w:tcW w:w="7229" w:type="dxa"/>
            <w:shd w:val="clear" w:color="auto" w:fill="auto"/>
          </w:tcPr>
          <w:p w14:paraId="0DA404B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854FCF9" w14:textId="77777777" w:rsidR="00B318C0" w:rsidRDefault="00DA5A17">
            <w:pPr>
              <w:numPr>
                <w:ilvl w:val="1"/>
                <w:numId w:val="18"/>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Pr>
                <w:rFonts w:ascii="Arial" w:eastAsia="Arial" w:hAnsi="Arial" w:cs="Arial"/>
                <w:color w:val="000000"/>
                <w:sz w:val="22"/>
                <w:szCs w:val="22"/>
              </w:rPr>
              <w:t>riots, civil commotion, war or armed conflict;</w:t>
            </w:r>
          </w:p>
          <w:p w14:paraId="1F79D445" w14:textId="77777777" w:rsidR="00B318C0" w:rsidRDefault="00DA5A17">
            <w:pPr>
              <w:numPr>
                <w:ilvl w:val="1"/>
                <w:numId w:val="18"/>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Pr>
                <w:rFonts w:ascii="Arial" w:eastAsia="Arial" w:hAnsi="Arial" w:cs="Arial"/>
                <w:color w:val="000000"/>
                <w:sz w:val="22"/>
                <w:szCs w:val="22"/>
              </w:rPr>
              <w:t>acts of terrorism;</w:t>
            </w:r>
          </w:p>
          <w:p w14:paraId="1FD11F8E" w14:textId="77777777" w:rsidR="00B318C0" w:rsidRDefault="00DA5A17">
            <w:pPr>
              <w:numPr>
                <w:ilvl w:val="1"/>
                <w:numId w:val="18"/>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Pr>
                <w:rFonts w:ascii="Arial" w:eastAsia="Arial" w:hAnsi="Arial" w:cs="Arial"/>
                <w:color w:val="000000"/>
                <w:sz w:val="22"/>
                <w:szCs w:val="22"/>
              </w:rPr>
              <w:t>acts of government, local government or regulatory bodies;</w:t>
            </w:r>
          </w:p>
          <w:p w14:paraId="34B43ED0" w14:textId="77777777" w:rsidR="00B318C0" w:rsidRDefault="00DA5A17">
            <w:pPr>
              <w:numPr>
                <w:ilvl w:val="1"/>
                <w:numId w:val="18"/>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Pr>
                <w:rFonts w:ascii="Arial" w:eastAsia="Arial" w:hAnsi="Arial" w:cs="Arial"/>
                <w:color w:val="000000"/>
                <w:sz w:val="22"/>
                <w:szCs w:val="22"/>
              </w:rPr>
              <w:t>fire, flood, storm or earthquake or other natural disaster,</w:t>
            </w:r>
          </w:p>
          <w:p w14:paraId="01DA7C32" w14:textId="77777777" w:rsidR="00B318C0" w:rsidRDefault="00DA5A17">
            <w:pPr>
              <w:pBdr>
                <w:top w:val="nil"/>
                <w:left w:val="nil"/>
                <w:bottom w:val="nil"/>
                <w:right w:val="nil"/>
                <w:between w:val="nil"/>
              </w:pBdr>
              <w:tabs>
                <w:tab w:val="left" w:pos="-179"/>
                <w:tab w:val="left" w:pos="-9"/>
              </w:tabs>
              <w:spacing w:before="60" w:after="60"/>
              <w:ind w:left="170" w:right="134"/>
              <w:jc w:val="both"/>
              <w:rPr>
                <w:rFonts w:ascii="Arial" w:eastAsia="Arial" w:hAnsi="Arial" w:cs="Arial"/>
                <w:color w:val="000000"/>
                <w:sz w:val="22"/>
                <w:szCs w:val="22"/>
              </w:rPr>
            </w:pPr>
            <w:r>
              <w:rPr>
                <w:rFonts w:ascii="Arial" w:eastAsia="Arial" w:hAnsi="Arial" w:cs="Arial"/>
                <w:color w:val="000000"/>
                <w:sz w:val="22"/>
                <w:szCs w:val="22"/>
              </w:rPr>
              <w:t>but excluding any industrial dispute relating to the Supplier, the Supplier Staff or any other failure in the Supplier or the Subcontractor's supply chain;</w:t>
            </w:r>
          </w:p>
        </w:tc>
      </w:tr>
      <w:tr w:rsidR="00B318C0" w14:paraId="1C1E3F2E" w14:textId="77777777">
        <w:tc>
          <w:tcPr>
            <w:tcW w:w="2549" w:type="dxa"/>
            <w:shd w:val="clear" w:color="auto" w:fill="auto"/>
          </w:tcPr>
          <w:p w14:paraId="365A13F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“Force Majeure Notice”</w:t>
            </w:r>
          </w:p>
        </w:tc>
        <w:tc>
          <w:tcPr>
            <w:tcW w:w="7229" w:type="dxa"/>
            <w:shd w:val="clear" w:color="auto" w:fill="auto"/>
          </w:tcPr>
          <w:p w14:paraId="38BBEA7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written notice served by the Affected Party on the other Party stating that the Affected Party believes that there is a Force Majeure Event;</w:t>
            </w:r>
          </w:p>
        </w:tc>
      </w:tr>
      <w:tr w:rsidR="00B318C0" w14:paraId="11D68CC0" w14:textId="77777777">
        <w:tc>
          <w:tcPr>
            <w:tcW w:w="2549" w:type="dxa"/>
            <w:shd w:val="clear" w:color="auto" w:fill="auto"/>
          </w:tcPr>
          <w:p w14:paraId="4F6A95C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Award Form”</w:t>
            </w:r>
          </w:p>
        </w:tc>
        <w:tc>
          <w:tcPr>
            <w:tcW w:w="7229" w:type="dxa"/>
            <w:shd w:val="clear" w:color="auto" w:fill="auto"/>
          </w:tcPr>
          <w:p w14:paraId="4701243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document outlining the Framework Incorporated Terms and crucial information required for the Framework Contract, to be executed by the Supplier and CCS;</w:t>
            </w:r>
          </w:p>
        </w:tc>
      </w:tr>
      <w:tr w:rsidR="00B318C0" w14:paraId="65D60860" w14:textId="77777777">
        <w:tc>
          <w:tcPr>
            <w:tcW w:w="2549" w:type="dxa"/>
            <w:shd w:val="clear" w:color="auto" w:fill="auto"/>
          </w:tcPr>
          <w:p w14:paraId="6EE25B8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Contract”</w:t>
            </w:r>
          </w:p>
        </w:tc>
        <w:tc>
          <w:tcPr>
            <w:tcW w:w="7229" w:type="dxa"/>
            <w:shd w:val="clear" w:color="auto" w:fill="auto"/>
          </w:tcPr>
          <w:p w14:paraId="7CDDD8E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B318C0" w14:paraId="19547224" w14:textId="77777777">
        <w:tc>
          <w:tcPr>
            <w:tcW w:w="2549" w:type="dxa"/>
            <w:shd w:val="clear" w:color="auto" w:fill="auto"/>
          </w:tcPr>
          <w:p w14:paraId="5F0C46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Contract Period”</w:t>
            </w:r>
          </w:p>
        </w:tc>
        <w:tc>
          <w:tcPr>
            <w:tcW w:w="7229" w:type="dxa"/>
            <w:shd w:val="clear" w:color="auto" w:fill="auto"/>
          </w:tcPr>
          <w:p w14:paraId="74FC97B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period from the Framework Start Date until the End Date of the Framework Contract;</w:t>
            </w:r>
          </w:p>
        </w:tc>
      </w:tr>
      <w:tr w:rsidR="00B318C0" w14:paraId="74C6E206" w14:textId="77777777">
        <w:tc>
          <w:tcPr>
            <w:tcW w:w="2549" w:type="dxa"/>
            <w:shd w:val="clear" w:color="auto" w:fill="auto"/>
          </w:tcPr>
          <w:p w14:paraId="57AB86E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Expiry Date”</w:t>
            </w:r>
          </w:p>
        </w:tc>
        <w:tc>
          <w:tcPr>
            <w:tcW w:w="7229" w:type="dxa"/>
            <w:shd w:val="clear" w:color="auto" w:fill="auto"/>
          </w:tcPr>
          <w:p w14:paraId="6A630BC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scheduled date of the end of the Framework Contract as stated in the Framework Award Form;</w:t>
            </w:r>
          </w:p>
        </w:tc>
      </w:tr>
      <w:tr w:rsidR="00B318C0" w14:paraId="2CB902C8" w14:textId="77777777">
        <w:tc>
          <w:tcPr>
            <w:tcW w:w="2549" w:type="dxa"/>
            <w:shd w:val="clear" w:color="auto" w:fill="auto"/>
          </w:tcPr>
          <w:p w14:paraId="0CD9E42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Incorporated Terms”</w:t>
            </w:r>
          </w:p>
        </w:tc>
        <w:tc>
          <w:tcPr>
            <w:tcW w:w="7229" w:type="dxa"/>
            <w:shd w:val="clear" w:color="auto" w:fill="auto"/>
          </w:tcPr>
          <w:p w14:paraId="1E11D22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contractual terms applicable to the Framework Contract specified in the Framework Award Form;</w:t>
            </w:r>
          </w:p>
        </w:tc>
      </w:tr>
      <w:tr w:rsidR="00B318C0" w14:paraId="6EBB6EBD" w14:textId="77777777">
        <w:tc>
          <w:tcPr>
            <w:tcW w:w="2549" w:type="dxa"/>
            <w:shd w:val="clear" w:color="auto" w:fill="auto"/>
          </w:tcPr>
          <w:p w14:paraId="50AC84D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Optional Extension Period”</w:t>
            </w:r>
          </w:p>
        </w:tc>
        <w:tc>
          <w:tcPr>
            <w:tcW w:w="7229" w:type="dxa"/>
            <w:shd w:val="clear" w:color="auto" w:fill="auto"/>
          </w:tcPr>
          <w:p w14:paraId="0571830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such period or periods beyond which the Framework Contract Period may be extended as specified in the Framework Award Form;</w:t>
            </w:r>
          </w:p>
        </w:tc>
      </w:tr>
      <w:tr w:rsidR="00B318C0" w14:paraId="28E061DD" w14:textId="77777777">
        <w:tc>
          <w:tcPr>
            <w:tcW w:w="2549" w:type="dxa"/>
            <w:shd w:val="clear" w:color="auto" w:fill="auto"/>
          </w:tcPr>
          <w:p w14:paraId="27943D6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Price(s)”</w:t>
            </w:r>
          </w:p>
        </w:tc>
        <w:tc>
          <w:tcPr>
            <w:tcW w:w="7229" w:type="dxa"/>
            <w:shd w:val="clear" w:color="auto" w:fill="auto"/>
          </w:tcPr>
          <w:p w14:paraId="7D044BE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price(s) applicable to the provision of the Deliverables set out in Framework Schedule 3 (Framework Prices);</w:t>
            </w:r>
          </w:p>
        </w:tc>
      </w:tr>
      <w:tr w:rsidR="00B318C0" w14:paraId="2F0C3B70" w14:textId="77777777">
        <w:tc>
          <w:tcPr>
            <w:tcW w:w="2549" w:type="dxa"/>
            <w:shd w:val="clear" w:color="auto" w:fill="auto"/>
          </w:tcPr>
          <w:p w14:paraId="431734D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Special Terms”</w:t>
            </w:r>
          </w:p>
        </w:tc>
        <w:tc>
          <w:tcPr>
            <w:tcW w:w="7229" w:type="dxa"/>
            <w:shd w:val="clear" w:color="auto" w:fill="auto"/>
          </w:tcPr>
          <w:p w14:paraId="6C525ED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additional terms and conditions specified in the Framework Award Form incorporated into the Framework Contract;</w:t>
            </w:r>
          </w:p>
        </w:tc>
      </w:tr>
      <w:tr w:rsidR="00B318C0" w14:paraId="0D4901E6" w14:textId="77777777">
        <w:tc>
          <w:tcPr>
            <w:tcW w:w="2549" w:type="dxa"/>
            <w:shd w:val="clear" w:color="auto" w:fill="auto"/>
          </w:tcPr>
          <w:p w14:paraId="0351047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Start Date”</w:t>
            </w:r>
          </w:p>
        </w:tc>
        <w:tc>
          <w:tcPr>
            <w:tcW w:w="7229" w:type="dxa"/>
            <w:shd w:val="clear" w:color="auto" w:fill="auto"/>
          </w:tcPr>
          <w:p w14:paraId="5626103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date of start of the Framework Contract as stated in the Framework Award Form;</w:t>
            </w:r>
          </w:p>
        </w:tc>
      </w:tr>
      <w:tr w:rsidR="00B318C0" w14:paraId="31F9D5B3" w14:textId="77777777">
        <w:tc>
          <w:tcPr>
            <w:tcW w:w="2549" w:type="dxa"/>
            <w:shd w:val="clear" w:color="auto" w:fill="auto"/>
          </w:tcPr>
          <w:p w14:paraId="44DA9EF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“Framework Tender Response”</w:t>
            </w:r>
          </w:p>
        </w:tc>
        <w:tc>
          <w:tcPr>
            <w:tcW w:w="7229" w:type="dxa"/>
            <w:shd w:val="clear" w:color="auto" w:fill="auto"/>
          </w:tcPr>
          <w:p w14:paraId="1211050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tender submitted by the Supplier to CCS and annexed to or referred to in Framework Schedule 2 (Framework Tender);</w:t>
            </w:r>
          </w:p>
        </w:tc>
      </w:tr>
      <w:tr w:rsidR="00B318C0" w14:paraId="1F3DBDC9" w14:textId="77777777">
        <w:tc>
          <w:tcPr>
            <w:tcW w:w="2549" w:type="dxa"/>
            <w:shd w:val="clear" w:color="auto" w:fill="auto"/>
          </w:tcPr>
          <w:p w14:paraId="588801C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“Further Competition Procedure”</w:t>
            </w:r>
          </w:p>
        </w:tc>
        <w:tc>
          <w:tcPr>
            <w:tcW w:w="7229" w:type="dxa"/>
            <w:shd w:val="clear" w:color="auto" w:fill="auto"/>
          </w:tcPr>
          <w:p w14:paraId="74BA042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further competition procedure described in Framework Schedule 7 (Call-Off Award Procedure);</w:t>
            </w:r>
          </w:p>
        </w:tc>
      </w:tr>
      <w:tr w:rsidR="00B318C0" w14:paraId="10A9EA23" w14:textId="77777777">
        <w:tc>
          <w:tcPr>
            <w:tcW w:w="2549" w:type="dxa"/>
            <w:shd w:val="clear" w:color="auto" w:fill="auto"/>
          </w:tcPr>
          <w:p w14:paraId="1EA6804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“General Anti-Abuse Rule”</w:t>
            </w:r>
          </w:p>
        </w:tc>
        <w:tc>
          <w:tcPr>
            <w:tcW w:w="7229" w:type="dxa"/>
            <w:shd w:val="clear" w:color="auto" w:fill="auto"/>
          </w:tcPr>
          <w:p w14:paraId="74948087" w14:textId="77777777" w:rsidR="00B318C0" w:rsidRDefault="00DA5A17">
            <w:pPr>
              <w:numPr>
                <w:ilvl w:val="1"/>
                <w:numId w:val="24"/>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Pr>
                <w:rFonts w:ascii="Arial" w:eastAsia="Arial" w:hAnsi="Arial" w:cs="Arial"/>
                <w:color w:val="000000"/>
                <w:sz w:val="22"/>
                <w:szCs w:val="22"/>
              </w:rPr>
              <w:t xml:space="preserve">the legislation in Part 5 of the Finance Act 2013; and </w:t>
            </w:r>
          </w:p>
          <w:p w14:paraId="0013BF98" w14:textId="77777777" w:rsidR="00B318C0" w:rsidRDefault="00DA5A17">
            <w:pPr>
              <w:numPr>
                <w:ilvl w:val="1"/>
                <w:numId w:val="24"/>
              </w:numPr>
              <w:pBdr>
                <w:top w:val="nil"/>
                <w:left w:val="nil"/>
                <w:bottom w:val="nil"/>
                <w:right w:val="nil"/>
                <w:between w:val="nil"/>
              </w:pBdr>
              <w:tabs>
                <w:tab w:val="left" w:pos="565"/>
              </w:tabs>
              <w:spacing w:before="60" w:after="60"/>
              <w:ind w:left="565" w:right="134" w:hanging="421"/>
              <w:jc w:val="both"/>
              <w:rPr>
                <w:rFonts w:ascii="Arial" w:eastAsia="Arial" w:hAnsi="Arial" w:cs="Arial"/>
                <w:color w:val="000000"/>
                <w:sz w:val="22"/>
                <w:szCs w:val="22"/>
              </w:rPr>
            </w:pPr>
            <w:r>
              <w:rPr>
                <w:rFonts w:ascii="Arial" w:eastAsia="Arial" w:hAnsi="Arial" w:cs="Arial"/>
                <w:color w:val="000000"/>
                <w:sz w:val="22"/>
                <w:szCs w:val="22"/>
              </w:rPr>
              <w:t>any future legislation introduced into Parliament to counteract Tax advantages arising from abusive arrangements to avoid National Insurance contributions;</w:t>
            </w:r>
          </w:p>
        </w:tc>
      </w:tr>
      <w:tr w:rsidR="00B318C0" w14:paraId="15EF8227" w14:textId="77777777">
        <w:tc>
          <w:tcPr>
            <w:tcW w:w="2549" w:type="dxa"/>
            <w:shd w:val="clear" w:color="auto" w:fill="auto"/>
          </w:tcPr>
          <w:p w14:paraId="6187F1D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“General Change in Law”</w:t>
            </w:r>
          </w:p>
        </w:tc>
        <w:tc>
          <w:tcPr>
            <w:tcW w:w="7229" w:type="dxa"/>
            <w:shd w:val="clear" w:color="auto" w:fill="auto"/>
          </w:tcPr>
          <w:p w14:paraId="3756BF2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Change in Law where the change is of a general legislative nature (including Tax or duties of any sort affecting the Supplier) or which affects or relates to a Comparable Supply;</w:t>
            </w:r>
          </w:p>
        </w:tc>
      </w:tr>
      <w:tr w:rsidR="00B318C0" w14:paraId="7CA72737" w14:textId="77777777">
        <w:tc>
          <w:tcPr>
            <w:tcW w:w="2549" w:type="dxa"/>
            <w:shd w:val="clear" w:color="auto" w:fill="auto"/>
          </w:tcPr>
          <w:p w14:paraId="2060BCE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“Good Industry Practice”</w:t>
            </w:r>
          </w:p>
        </w:tc>
        <w:tc>
          <w:tcPr>
            <w:tcW w:w="7229" w:type="dxa"/>
            <w:shd w:val="clear" w:color="auto" w:fill="auto"/>
          </w:tcPr>
          <w:p w14:paraId="3A3ACBB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318C0" w14:paraId="0C846694" w14:textId="77777777">
        <w:tc>
          <w:tcPr>
            <w:tcW w:w="2549" w:type="dxa"/>
            <w:shd w:val="clear" w:color="auto" w:fill="auto"/>
          </w:tcPr>
          <w:p w14:paraId="3398581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“Government”</w:t>
            </w:r>
          </w:p>
        </w:tc>
        <w:tc>
          <w:tcPr>
            <w:tcW w:w="7229" w:type="dxa"/>
            <w:shd w:val="clear" w:color="auto" w:fill="auto"/>
          </w:tcPr>
          <w:p w14:paraId="76789F4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B318C0" w14:paraId="6AC6BBAF" w14:textId="77777777">
        <w:tc>
          <w:tcPr>
            <w:tcW w:w="2549" w:type="dxa"/>
            <w:shd w:val="clear" w:color="auto" w:fill="auto"/>
          </w:tcPr>
          <w:p w14:paraId="4E5FFD5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“Government Data”</w:t>
            </w:r>
          </w:p>
        </w:tc>
        <w:tc>
          <w:tcPr>
            <w:tcW w:w="7229" w:type="dxa"/>
            <w:shd w:val="clear" w:color="auto" w:fill="auto"/>
          </w:tcPr>
          <w:p w14:paraId="538656E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63BFEDFF" w14:textId="77777777" w:rsidR="00B318C0" w:rsidRDefault="00DA5A17">
            <w:pPr>
              <w:numPr>
                <w:ilvl w:val="1"/>
                <w:numId w:val="25"/>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Pr>
                <w:rFonts w:ascii="Arial" w:eastAsia="Arial" w:hAnsi="Arial" w:cs="Arial"/>
                <w:color w:val="000000"/>
                <w:sz w:val="22"/>
                <w:szCs w:val="22"/>
              </w:rPr>
              <w:t>are supplied to the Supplier by or on behalf of the Authority; or</w:t>
            </w:r>
          </w:p>
          <w:p w14:paraId="551A3DEE" w14:textId="77777777" w:rsidR="00B318C0" w:rsidRDefault="00DA5A17">
            <w:pPr>
              <w:numPr>
                <w:ilvl w:val="1"/>
                <w:numId w:val="25"/>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Pr>
                <w:rFonts w:ascii="Arial" w:eastAsia="Arial" w:hAnsi="Arial" w:cs="Arial"/>
                <w:color w:val="000000"/>
                <w:sz w:val="22"/>
                <w:szCs w:val="22"/>
              </w:rPr>
              <w:t xml:space="preserve">the Supplier is required to generate, process, store or transmit pursuant to a Contract; </w:t>
            </w:r>
          </w:p>
        </w:tc>
      </w:tr>
      <w:tr w:rsidR="00B318C0" w14:paraId="0F2BACC8" w14:textId="77777777">
        <w:tc>
          <w:tcPr>
            <w:tcW w:w="2549" w:type="dxa"/>
            <w:shd w:val="clear" w:color="auto" w:fill="auto"/>
          </w:tcPr>
          <w:p w14:paraId="651B1BD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“Guarantor”</w:t>
            </w:r>
          </w:p>
        </w:tc>
        <w:tc>
          <w:tcPr>
            <w:tcW w:w="7229" w:type="dxa"/>
            <w:shd w:val="clear" w:color="auto" w:fill="auto"/>
          </w:tcPr>
          <w:p w14:paraId="5C06E27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person (if any) who has entered into a guarantee in the form set out in Joint Schedule 8 (Guarantee) in relation to this Contract;</w:t>
            </w:r>
          </w:p>
        </w:tc>
      </w:tr>
      <w:tr w:rsidR="00B318C0" w14:paraId="47DB5129" w14:textId="77777777">
        <w:tc>
          <w:tcPr>
            <w:tcW w:w="2549" w:type="dxa"/>
            <w:shd w:val="clear" w:color="auto" w:fill="auto"/>
          </w:tcPr>
          <w:p w14:paraId="1990203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“Halifax Abuse Principle”</w:t>
            </w:r>
          </w:p>
        </w:tc>
        <w:tc>
          <w:tcPr>
            <w:tcW w:w="7229" w:type="dxa"/>
            <w:shd w:val="clear" w:color="auto" w:fill="auto"/>
          </w:tcPr>
          <w:p w14:paraId="492FBFB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principle explained in the CJEU Case C-255/02 Halifax and others;</w:t>
            </w:r>
          </w:p>
        </w:tc>
      </w:tr>
      <w:tr w:rsidR="00B318C0" w14:paraId="540E6066" w14:textId="77777777">
        <w:tc>
          <w:tcPr>
            <w:tcW w:w="2549" w:type="dxa"/>
            <w:shd w:val="clear" w:color="auto" w:fill="auto"/>
          </w:tcPr>
          <w:p w14:paraId="43C55EC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“HMRC”</w:t>
            </w:r>
          </w:p>
        </w:tc>
        <w:tc>
          <w:tcPr>
            <w:tcW w:w="7229" w:type="dxa"/>
            <w:shd w:val="clear" w:color="auto" w:fill="auto"/>
          </w:tcPr>
          <w:p w14:paraId="05D1935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Her Majesty’s Revenue and Customs;</w:t>
            </w:r>
          </w:p>
        </w:tc>
      </w:tr>
      <w:tr w:rsidR="00B318C0" w14:paraId="1EEB8B3D" w14:textId="77777777">
        <w:tc>
          <w:tcPr>
            <w:tcW w:w="2549" w:type="dxa"/>
            <w:shd w:val="clear" w:color="auto" w:fill="auto"/>
          </w:tcPr>
          <w:p w14:paraId="4695033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“ICT Environment”</w:t>
            </w:r>
          </w:p>
        </w:tc>
        <w:tc>
          <w:tcPr>
            <w:tcW w:w="7229" w:type="dxa"/>
            <w:shd w:val="clear" w:color="auto" w:fill="auto"/>
          </w:tcPr>
          <w:p w14:paraId="5DA85C5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Buyer System and the Supplier System;</w:t>
            </w:r>
          </w:p>
        </w:tc>
      </w:tr>
      <w:tr w:rsidR="00B318C0" w14:paraId="61AEDAA2" w14:textId="77777777">
        <w:tc>
          <w:tcPr>
            <w:tcW w:w="2549" w:type="dxa"/>
            <w:shd w:val="clear" w:color="auto" w:fill="auto"/>
          </w:tcPr>
          <w:p w14:paraId="4D4972E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“ICT Policy”</w:t>
            </w:r>
          </w:p>
        </w:tc>
        <w:tc>
          <w:tcPr>
            <w:tcW w:w="7229" w:type="dxa"/>
            <w:shd w:val="clear" w:color="auto" w:fill="auto"/>
          </w:tcPr>
          <w:p w14:paraId="15C92C2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B318C0" w14:paraId="40884B28" w14:textId="77777777">
        <w:tc>
          <w:tcPr>
            <w:tcW w:w="2549" w:type="dxa"/>
            <w:shd w:val="clear" w:color="auto" w:fill="auto"/>
          </w:tcPr>
          <w:p w14:paraId="0C06613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“Impact Assessment”</w:t>
            </w:r>
          </w:p>
        </w:tc>
        <w:tc>
          <w:tcPr>
            <w:tcW w:w="7229" w:type="dxa"/>
            <w:shd w:val="clear" w:color="auto" w:fill="auto"/>
          </w:tcPr>
          <w:p w14:paraId="6BCCC8E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 assessment of the impact of a Variation request by the Relevant Authority completed in good faith, including:</w:t>
            </w:r>
          </w:p>
          <w:p w14:paraId="2A4365A3" w14:textId="77777777" w:rsidR="00B318C0" w:rsidRDefault="00DA5A17">
            <w:pPr>
              <w:numPr>
                <w:ilvl w:val="1"/>
                <w:numId w:val="5"/>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 xml:space="preserve">details of the impact of the proposed Variation on the Deliverables and the Supplier's ability to meet its other obligations under the Contract; </w:t>
            </w:r>
          </w:p>
          <w:p w14:paraId="769EE877" w14:textId="77777777" w:rsidR="00B318C0" w:rsidRDefault="00DA5A17">
            <w:pPr>
              <w:numPr>
                <w:ilvl w:val="1"/>
                <w:numId w:val="5"/>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details of the cost of implementing the proposed Variation;</w:t>
            </w:r>
          </w:p>
          <w:p w14:paraId="49491DA8" w14:textId="77777777" w:rsidR="00B318C0" w:rsidRDefault="00DA5A17">
            <w:pPr>
              <w:numPr>
                <w:ilvl w:val="1"/>
                <w:numId w:val="5"/>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5039CC3" w14:textId="77777777" w:rsidR="00B318C0" w:rsidRDefault="00DA5A17">
            <w:pPr>
              <w:numPr>
                <w:ilvl w:val="1"/>
                <w:numId w:val="5"/>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a timetable for the implementation, together with any proposals for the testing of the Variation; and</w:t>
            </w:r>
          </w:p>
          <w:p w14:paraId="46A19970" w14:textId="77777777" w:rsidR="00B318C0" w:rsidRDefault="00DA5A17">
            <w:pPr>
              <w:numPr>
                <w:ilvl w:val="1"/>
                <w:numId w:val="5"/>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lastRenderedPageBreak/>
              <w:t>such other information as the Relevant Authority may reasonably request in (or in response to) the Variation request;</w:t>
            </w:r>
          </w:p>
        </w:tc>
      </w:tr>
      <w:tr w:rsidR="00B318C0" w14:paraId="7C96DE5C" w14:textId="77777777">
        <w:tc>
          <w:tcPr>
            <w:tcW w:w="2549" w:type="dxa"/>
            <w:shd w:val="clear" w:color="auto" w:fill="auto"/>
          </w:tcPr>
          <w:p w14:paraId="47B825D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lastRenderedPageBreak/>
              <w:t>“Implant”</w:t>
            </w:r>
          </w:p>
        </w:tc>
        <w:tc>
          <w:tcPr>
            <w:tcW w:w="7229" w:type="dxa"/>
            <w:shd w:val="clear" w:color="auto" w:fill="auto"/>
          </w:tcPr>
          <w:p w14:paraId="7E90303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 employee of the Supplier based at the Buyer Premises;</w:t>
            </w:r>
          </w:p>
        </w:tc>
      </w:tr>
      <w:tr w:rsidR="00B318C0" w14:paraId="672D808C" w14:textId="77777777">
        <w:tc>
          <w:tcPr>
            <w:tcW w:w="2549" w:type="dxa"/>
            <w:shd w:val="clear" w:color="auto" w:fill="auto"/>
          </w:tcPr>
          <w:p w14:paraId="42DD5FB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“Implementation Plan”</w:t>
            </w:r>
          </w:p>
        </w:tc>
        <w:tc>
          <w:tcPr>
            <w:tcW w:w="7229" w:type="dxa"/>
            <w:shd w:val="clear" w:color="auto" w:fill="auto"/>
          </w:tcPr>
          <w:p w14:paraId="41AEBA4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plan for provision of the Deliverables set out or referred to in Call-Off Schedule 13 (Implementation Plan and Testing) where that Schedule is used or otherwise as agreed between the Supplier and the Buyer;</w:t>
            </w:r>
          </w:p>
        </w:tc>
      </w:tr>
      <w:tr w:rsidR="00B318C0" w14:paraId="73073B55" w14:textId="77777777">
        <w:tc>
          <w:tcPr>
            <w:tcW w:w="2549" w:type="dxa"/>
            <w:shd w:val="clear" w:color="auto" w:fill="auto"/>
          </w:tcPr>
          <w:p w14:paraId="57A968A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“Indemnifier”</w:t>
            </w:r>
          </w:p>
        </w:tc>
        <w:tc>
          <w:tcPr>
            <w:tcW w:w="7229" w:type="dxa"/>
            <w:shd w:val="clear" w:color="auto" w:fill="auto"/>
          </w:tcPr>
          <w:p w14:paraId="191FC64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Party from whom an indemnity is sought under this Contract;</w:t>
            </w:r>
          </w:p>
        </w:tc>
      </w:tr>
      <w:tr w:rsidR="00B318C0" w14:paraId="1E4417A7" w14:textId="77777777">
        <w:tc>
          <w:tcPr>
            <w:tcW w:w="2549" w:type="dxa"/>
          </w:tcPr>
          <w:p w14:paraId="777C110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“Independent Control”</w:t>
            </w:r>
          </w:p>
        </w:tc>
        <w:tc>
          <w:tcPr>
            <w:tcW w:w="7229" w:type="dxa"/>
          </w:tcPr>
          <w:p w14:paraId="6DA6422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2"/>
                <w:szCs w:val="22"/>
              </w:rPr>
              <w:t>Independent Controller</w:t>
            </w:r>
            <w:r>
              <w:rPr>
                <w:rFonts w:ascii="Arial" w:eastAsia="Arial" w:hAnsi="Arial" w:cs="Arial"/>
                <w:color w:val="000000"/>
                <w:sz w:val="22"/>
                <w:szCs w:val="22"/>
              </w:rPr>
              <w:t>” shall be construed accordingly;</w:t>
            </w:r>
          </w:p>
        </w:tc>
      </w:tr>
      <w:tr w:rsidR="00B318C0" w14:paraId="5D96400D" w14:textId="77777777">
        <w:tc>
          <w:tcPr>
            <w:tcW w:w="2549" w:type="dxa"/>
            <w:shd w:val="clear" w:color="auto" w:fill="auto"/>
          </w:tcPr>
          <w:p w14:paraId="354C1A8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“Indexation”</w:t>
            </w:r>
          </w:p>
        </w:tc>
        <w:tc>
          <w:tcPr>
            <w:tcW w:w="7229" w:type="dxa"/>
            <w:shd w:val="clear" w:color="auto" w:fill="auto"/>
          </w:tcPr>
          <w:p w14:paraId="43A2F4C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adjustment of an amount or sum in accordance with Framework Schedule 3 (Framework Prices) and the relevant Order Form;</w:t>
            </w:r>
          </w:p>
        </w:tc>
      </w:tr>
      <w:tr w:rsidR="00B318C0" w14:paraId="353B8586" w14:textId="77777777">
        <w:tc>
          <w:tcPr>
            <w:tcW w:w="2549" w:type="dxa"/>
            <w:shd w:val="clear" w:color="auto" w:fill="auto"/>
          </w:tcPr>
          <w:p w14:paraId="68241BE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“Information”</w:t>
            </w:r>
          </w:p>
        </w:tc>
        <w:tc>
          <w:tcPr>
            <w:tcW w:w="7229" w:type="dxa"/>
            <w:shd w:val="clear" w:color="auto" w:fill="auto"/>
          </w:tcPr>
          <w:p w14:paraId="4C50077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under section 84 of the Freedom of Information Act 2000;</w:t>
            </w:r>
          </w:p>
        </w:tc>
      </w:tr>
      <w:tr w:rsidR="00B318C0" w14:paraId="53B8EA23" w14:textId="77777777">
        <w:tc>
          <w:tcPr>
            <w:tcW w:w="2549" w:type="dxa"/>
            <w:shd w:val="clear" w:color="auto" w:fill="auto"/>
          </w:tcPr>
          <w:p w14:paraId="477E33F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“Information Commissioner”</w:t>
            </w:r>
          </w:p>
        </w:tc>
        <w:tc>
          <w:tcPr>
            <w:tcW w:w="7229" w:type="dxa"/>
            <w:shd w:val="clear" w:color="auto" w:fill="auto"/>
          </w:tcPr>
          <w:p w14:paraId="4F9CF6E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UK’s independent authority which deals with ensuring information relating to rights in the public interest and data privacy for individuals is met, whilst promoting openness by public bodies; </w:t>
            </w:r>
          </w:p>
        </w:tc>
      </w:tr>
      <w:tr w:rsidR="00B318C0" w14:paraId="27C42F9E" w14:textId="77777777">
        <w:tc>
          <w:tcPr>
            <w:tcW w:w="2549" w:type="dxa"/>
            <w:shd w:val="clear" w:color="auto" w:fill="auto"/>
          </w:tcPr>
          <w:p w14:paraId="77FB21F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“Initial Period”</w:t>
            </w:r>
          </w:p>
        </w:tc>
        <w:tc>
          <w:tcPr>
            <w:tcW w:w="7229" w:type="dxa"/>
            <w:shd w:val="clear" w:color="auto" w:fill="auto"/>
          </w:tcPr>
          <w:p w14:paraId="78531E74"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initial term of a Contract specified in the Framework Award Form or the Order Form, as the context requires;</w:t>
            </w:r>
          </w:p>
        </w:tc>
      </w:tr>
      <w:tr w:rsidR="00B318C0" w14:paraId="61DF88DC" w14:textId="77777777">
        <w:tc>
          <w:tcPr>
            <w:tcW w:w="2549" w:type="dxa"/>
            <w:shd w:val="clear" w:color="auto" w:fill="auto"/>
          </w:tcPr>
          <w:p w14:paraId="2C63946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“Insolvency Event”</w:t>
            </w:r>
          </w:p>
        </w:tc>
        <w:tc>
          <w:tcPr>
            <w:tcW w:w="7229" w:type="dxa"/>
            <w:shd w:val="clear" w:color="auto" w:fill="auto"/>
          </w:tcPr>
          <w:p w14:paraId="0340B1E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with respect to any person, means:</w:t>
            </w:r>
          </w:p>
          <w:p w14:paraId="63F66C4B" w14:textId="77777777" w:rsidR="00B318C0" w:rsidRDefault="00DA5A17">
            <w:pPr>
              <w:numPr>
                <w:ilvl w:val="1"/>
                <w:numId w:val="6"/>
              </w:numPr>
              <w:pBdr>
                <w:top w:val="nil"/>
                <w:left w:val="nil"/>
                <w:bottom w:val="nil"/>
                <w:right w:val="nil"/>
                <w:between w:val="nil"/>
              </w:pBdr>
              <w:tabs>
                <w:tab w:val="left" w:pos="-576"/>
              </w:tabs>
              <w:spacing w:before="60" w:after="60"/>
              <w:ind w:left="707" w:right="134" w:hanging="565"/>
              <w:jc w:val="both"/>
              <w:rPr>
                <w:rFonts w:ascii="Arial" w:eastAsia="Arial" w:hAnsi="Arial" w:cs="Arial"/>
                <w:color w:val="000000"/>
                <w:sz w:val="22"/>
                <w:szCs w:val="22"/>
              </w:rPr>
            </w:pPr>
            <w:r>
              <w:rPr>
                <w:rFonts w:ascii="Arial" w:eastAsia="Arial" w:hAnsi="Arial" w:cs="Arial"/>
                <w:color w:val="000000"/>
                <w:sz w:val="22"/>
                <w:szCs w:val="22"/>
              </w:rPr>
              <w:t>that person suspends, or threatens to suspend, payment of its debts, or is unable to pay its debts as they fall due or admits inability to pay its debts, or:</w:t>
            </w:r>
          </w:p>
          <w:p w14:paraId="7FA576F9" w14:textId="77777777" w:rsidR="00B318C0" w:rsidRDefault="00DA5A17">
            <w:pPr>
              <w:numPr>
                <w:ilvl w:val="2"/>
                <w:numId w:val="26"/>
              </w:numPr>
              <w:pBdr>
                <w:top w:val="nil"/>
                <w:left w:val="nil"/>
                <w:bottom w:val="nil"/>
                <w:right w:val="nil"/>
                <w:between w:val="nil"/>
              </w:pBdr>
              <w:tabs>
                <w:tab w:val="left" w:pos="1132"/>
              </w:tabs>
              <w:spacing w:before="60" w:after="60"/>
              <w:ind w:left="1132" w:right="134" w:hanging="425"/>
              <w:jc w:val="both"/>
              <w:rPr>
                <w:rFonts w:ascii="Arial" w:eastAsia="Arial" w:hAnsi="Arial" w:cs="Arial"/>
                <w:color w:val="000000"/>
                <w:sz w:val="22"/>
                <w:szCs w:val="22"/>
              </w:rPr>
            </w:pPr>
            <w:r>
              <w:rPr>
                <w:rFonts w:ascii="Arial" w:eastAsia="Arial" w:hAnsi="Arial" w:cs="Arial"/>
                <w:color w:val="000000"/>
                <w:sz w:val="22"/>
                <w:szCs w:val="22"/>
              </w:rPr>
              <w:t>(being a company or a LLP) is deemed unable to pay its debts within the meaning of section 123 of the Insolvency Act 1986; or</w:t>
            </w:r>
          </w:p>
          <w:p w14:paraId="09D23DB9" w14:textId="77777777" w:rsidR="00B318C0" w:rsidRDefault="00DA5A17">
            <w:pPr>
              <w:numPr>
                <w:ilvl w:val="2"/>
                <w:numId w:val="26"/>
              </w:numPr>
              <w:pBdr>
                <w:top w:val="nil"/>
                <w:left w:val="nil"/>
                <w:bottom w:val="nil"/>
                <w:right w:val="nil"/>
                <w:between w:val="nil"/>
              </w:pBdr>
              <w:tabs>
                <w:tab w:val="left" w:pos="1132"/>
              </w:tabs>
              <w:spacing w:before="60" w:after="60"/>
              <w:ind w:left="1132" w:right="134" w:hanging="425"/>
              <w:jc w:val="both"/>
              <w:rPr>
                <w:rFonts w:ascii="Arial" w:eastAsia="Arial" w:hAnsi="Arial" w:cs="Arial"/>
                <w:color w:val="000000"/>
                <w:sz w:val="22"/>
                <w:szCs w:val="22"/>
              </w:rPr>
            </w:pPr>
            <w:r>
              <w:rPr>
                <w:rFonts w:ascii="Arial" w:eastAsia="Arial" w:hAnsi="Arial" w:cs="Arial"/>
                <w:color w:val="000000"/>
                <w:sz w:val="22"/>
                <w:szCs w:val="22"/>
              </w:rPr>
              <w:t>(being a partnership) is deemed unable to pay its debts within the meaning of section 222 of the Insolvency Act 1986;</w:t>
            </w:r>
          </w:p>
          <w:p w14:paraId="6196A112"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6AAE1896"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another person becomes entitled to appoint a receiver over the assets of that person or a receiver is appointed over the assets of that person;</w:t>
            </w:r>
          </w:p>
          <w:p w14:paraId="33F225A8"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B9B7ED6"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lastRenderedPageBreak/>
              <w:t>that person suspends or ceases, or threatens to suspend or cease, carrying on all or a substantial part of its business;</w:t>
            </w:r>
          </w:p>
          <w:p w14:paraId="475DCBA8"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where that person is a company, a LLP or a partnership:</w:t>
            </w:r>
          </w:p>
          <w:p w14:paraId="745AC5DE" w14:textId="77777777" w:rsidR="00B318C0" w:rsidRDefault="00DA5A17">
            <w:pPr>
              <w:numPr>
                <w:ilvl w:val="2"/>
                <w:numId w:val="8"/>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Pr>
                <w:rFonts w:ascii="Arial" w:eastAsia="Arial" w:hAnsi="Arial" w:cs="Arial"/>
                <w:color w:val="000000"/>
                <w:sz w:val="22"/>
                <w:szCs w:val="22"/>
              </w:rP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5965CDAF" w14:textId="77777777" w:rsidR="00B318C0" w:rsidRDefault="00DA5A17">
            <w:pPr>
              <w:numPr>
                <w:ilvl w:val="2"/>
                <w:numId w:val="8"/>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Pr>
                <w:rFonts w:ascii="Arial" w:eastAsia="Arial" w:hAnsi="Arial" w:cs="Arial"/>
                <w:color w:val="000000"/>
                <w:sz w:val="22"/>
                <w:szCs w:val="22"/>
              </w:rPr>
              <w:t>an application is made to court, or an order is made, for the appointment of an administrator, or if a notice of intention to appoint an administrator is filed at court or given or if an administrator is appointed, over that person;</w:t>
            </w:r>
          </w:p>
          <w:p w14:paraId="31908C1D" w14:textId="77777777" w:rsidR="00B318C0" w:rsidRDefault="00DA5A17">
            <w:pPr>
              <w:numPr>
                <w:ilvl w:val="2"/>
                <w:numId w:val="8"/>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Pr>
                <w:rFonts w:ascii="Arial" w:eastAsia="Arial" w:hAnsi="Arial" w:cs="Arial"/>
                <w:color w:val="000000"/>
                <w:sz w:val="22"/>
                <w:szCs w:val="22"/>
              </w:rPr>
              <w:t>(being a company or a LLP) the holder of a qualifying floating charge over the assets of that person has become entitled to appoint or has appointed an administrative receiver; or</w:t>
            </w:r>
          </w:p>
          <w:p w14:paraId="115C10B3" w14:textId="77777777" w:rsidR="00B318C0" w:rsidRDefault="00DA5A17">
            <w:pPr>
              <w:numPr>
                <w:ilvl w:val="2"/>
                <w:numId w:val="8"/>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Pr>
                <w:rFonts w:ascii="Arial" w:eastAsia="Arial" w:hAnsi="Arial" w:cs="Arial"/>
                <w:color w:val="000000"/>
                <w:sz w:val="22"/>
                <w:szCs w:val="22"/>
              </w:rPr>
              <w:t>(being a partnership) the holder of an agricultural floating charge over the assets of that person has become entitled to appoint or has appointed an agricultural receiver; or</w:t>
            </w:r>
          </w:p>
          <w:p w14:paraId="13F9668A" w14:textId="77777777" w:rsidR="00B318C0" w:rsidRDefault="00DA5A17">
            <w:pPr>
              <w:numPr>
                <w:ilvl w:val="1"/>
                <w:numId w:val="6"/>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Pr>
                <w:rFonts w:ascii="Arial" w:eastAsia="Arial" w:hAnsi="Arial" w:cs="Arial"/>
                <w:color w:val="000000"/>
                <w:sz w:val="22"/>
                <w:szCs w:val="22"/>
              </w:rPr>
              <w:t>any event occurs, or proceeding is taken, with respect to that person in any jurisdiction to which it is subject that has an effect equivalent or similar to any of the events mentioned above;</w:t>
            </w:r>
          </w:p>
        </w:tc>
      </w:tr>
      <w:tr w:rsidR="00B318C0" w14:paraId="55D2EBE5" w14:textId="77777777">
        <w:tc>
          <w:tcPr>
            <w:tcW w:w="2549" w:type="dxa"/>
            <w:shd w:val="clear" w:color="auto" w:fill="auto"/>
          </w:tcPr>
          <w:p w14:paraId="579239C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“Intellectual Property Rights” or “IPR”</w:t>
            </w:r>
          </w:p>
        </w:tc>
        <w:tc>
          <w:tcPr>
            <w:tcW w:w="7229" w:type="dxa"/>
            <w:shd w:val="clear" w:color="auto" w:fill="auto"/>
          </w:tcPr>
          <w:p w14:paraId="1FBEBF84" w14:textId="77777777" w:rsidR="00B318C0" w:rsidRDefault="00DA5A17">
            <w:pPr>
              <w:numPr>
                <w:ilvl w:val="1"/>
                <w:numId w:val="11"/>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73C5DDFA" w14:textId="77777777" w:rsidR="00B318C0" w:rsidRDefault="00DA5A17">
            <w:pPr>
              <w:numPr>
                <w:ilvl w:val="1"/>
                <w:numId w:val="11"/>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applications for registration, and the right to apply for registration, for any of the rights listed at (a) that are capable of being registered in any country or jurisdiction; and</w:t>
            </w:r>
          </w:p>
          <w:p w14:paraId="08E1B46A" w14:textId="77777777" w:rsidR="00B318C0" w:rsidRDefault="00DA5A17">
            <w:pPr>
              <w:numPr>
                <w:ilvl w:val="1"/>
                <w:numId w:val="11"/>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all other rights having equivalent or similar effect in any country or jurisdiction;</w:t>
            </w:r>
          </w:p>
        </w:tc>
      </w:tr>
      <w:tr w:rsidR="00B318C0" w14:paraId="45421767" w14:textId="77777777">
        <w:tc>
          <w:tcPr>
            <w:tcW w:w="2549" w:type="dxa"/>
            <w:shd w:val="clear" w:color="auto" w:fill="auto"/>
          </w:tcPr>
          <w:p w14:paraId="17B0A28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“IPR Claim”</w:t>
            </w:r>
          </w:p>
        </w:tc>
        <w:tc>
          <w:tcPr>
            <w:tcW w:w="7229" w:type="dxa"/>
            <w:shd w:val="clear" w:color="auto" w:fill="auto"/>
          </w:tcPr>
          <w:p w14:paraId="6E581C4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B318C0" w14:paraId="453914D1" w14:textId="77777777">
        <w:tc>
          <w:tcPr>
            <w:tcW w:w="2549" w:type="dxa"/>
            <w:shd w:val="clear" w:color="auto" w:fill="auto"/>
          </w:tcPr>
          <w:p w14:paraId="1388A01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“IR35”</w:t>
            </w:r>
          </w:p>
        </w:tc>
        <w:tc>
          <w:tcPr>
            <w:tcW w:w="7229" w:type="dxa"/>
            <w:shd w:val="clear" w:color="auto" w:fill="auto"/>
          </w:tcPr>
          <w:p w14:paraId="7B7150E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2"/>
                  <w:szCs w:val="22"/>
                  <w:u w:val="single"/>
                </w:rPr>
                <w:t>https://www.gov.uk/guidance/ir35-find-out-if-it-applies</w:t>
              </w:r>
            </w:hyperlink>
            <w:r>
              <w:rPr>
                <w:rFonts w:ascii="Arial" w:eastAsia="Arial" w:hAnsi="Arial" w:cs="Arial"/>
                <w:color w:val="000000"/>
                <w:sz w:val="22"/>
                <w:szCs w:val="22"/>
              </w:rPr>
              <w:t>;</w:t>
            </w:r>
          </w:p>
        </w:tc>
      </w:tr>
      <w:tr w:rsidR="00B318C0" w14:paraId="4A40453C" w14:textId="77777777">
        <w:tc>
          <w:tcPr>
            <w:tcW w:w="2549" w:type="dxa"/>
            <w:shd w:val="clear" w:color="auto" w:fill="auto"/>
          </w:tcPr>
          <w:p w14:paraId="39E0759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“Joint Controller Agreement”</w:t>
            </w:r>
          </w:p>
        </w:tc>
        <w:tc>
          <w:tcPr>
            <w:tcW w:w="7229" w:type="dxa"/>
            <w:shd w:val="clear" w:color="auto" w:fill="auto"/>
          </w:tcPr>
          <w:p w14:paraId="730CB9C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agreement (if any) entered into between the Relevant Authority and the Supplier substantially in the form set out in Annex 2 of Joint Schedule 11 (</w:t>
            </w:r>
            <w:r>
              <w:rPr>
                <w:rFonts w:ascii="Arial" w:eastAsia="Arial" w:hAnsi="Arial" w:cs="Arial"/>
                <w:i/>
                <w:color w:val="000000"/>
                <w:sz w:val="22"/>
                <w:szCs w:val="22"/>
              </w:rPr>
              <w:t>Processing Data</w:t>
            </w:r>
            <w:r>
              <w:rPr>
                <w:rFonts w:ascii="Arial" w:eastAsia="Arial" w:hAnsi="Arial" w:cs="Arial"/>
                <w:color w:val="000000"/>
                <w:sz w:val="22"/>
                <w:szCs w:val="22"/>
              </w:rPr>
              <w:t>);</w:t>
            </w:r>
          </w:p>
        </w:tc>
      </w:tr>
      <w:tr w:rsidR="00B318C0" w14:paraId="7CDE2A0C" w14:textId="77777777">
        <w:tc>
          <w:tcPr>
            <w:tcW w:w="2549" w:type="dxa"/>
            <w:shd w:val="clear" w:color="auto" w:fill="auto"/>
          </w:tcPr>
          <w:p w14:paraId="1EACFA5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“Joint Controllers”</w:t>
            </w:r>
          </w:p>
        </w:tc>
        <w:tc>
          <w:tcPr>
            <w:tcW w:w="7229" w:type="dxa"/>
            <w:shd w:val="clear" w:color="auto" w:fill="auto"/>
          </w:tcPr>
          <w:p w14:paraId="6D0BE85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where two or more Controllers jointly determine the purposes and means of Processing;</w:t>
            </w:r>
          </w:p>
        </w:tc>
      </w:tr>
      <w:tr w:rsidR="00B318C0" w14:paraId="6C9FFFA9" w14:textId="77777777">
        <w:tc>
          <w:tcPr>
            <w:tcW w:w="2549" w:type="dxa"/>
            <w:shd w:val="clear" w:color="auto" w:fill="auto"/>
          </w:tcPr>
          <w:p w14:paraId="72000EB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“Key Staff”</w:t>
            </w:r>
          </w:p>
        </w:tc>
        <w:tc>
          <w:tcPr>
            <w:tcW w:w="7229" w:type="dxa"/>
            <w:shd w:val="clear" w:color="auto" w:fill="auto"/>
          </w:tcPr>
          <w:p w14:paraId="07413BC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individuals (if any) identified as such in the Order Form;</w:t>
            </w:r>
          </w:p>
        </w:tc>
      </w:tr>
      <w:tr w:rsidR="00B318C0" w14:paraId="02B4DDB5" w14:textId="77777777">
        <w:trPr>
          <w:trHeight w:val="357"/>
        </w:trPr>
        <w:tc>
          <w:tcPr>
            <w:tcW w:w="2549" w:type="dxa"/>
            <w:shd w:val="clear" w:color="auto" w:fill="auto"/>
          </w:tcPr>
          <w:p w14:paraId="511FEE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“Key Sub-Contract”</w:t>
            </w:r>
          </w:p>
        </w:tc>
        <w:tc>
          <w:tcPr>
            <w:tcW w:w="7229" w:type="dxa"/>
            <w:shd w:val="clear" w:color="auto" w:fill="auto"/>
          </w:tcPr>
          <w:p w14:paraId="51108B1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each Sub-Contract with a Key Subcontractor;</w:t>
            </w:r>
          </w:p>
        </w:tc>
      </w:tr>
      <w:tr w:rsidR="00B318C0" w14:paraId="5E1C3C2A" w14:textId="77777777">
        <w:trPr>
          <w:trHeight w:val="426"/>
        </w:trPr>
        <w:tc>
          <w:tcPr>
            <w:tcW w:w="2549" w:type="dxa"/>
            <w:shd w:val="clear" w:color="auto" w:fill="auto"/>
          </w:tcPr>
          <w:p w14:paraId="6FAA0EE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“Key Subcontractor”</w:t>
            </w:r>
          </w:p>
        </w:tc>
        <w:tc>
          <w:tcPr>
            <w:tcW w:w="7229" w:type="dxa"/>
            <w:shd w:val="clear" w:color="auto" w:fill="auto"/>
          </w:tcPr>
          <w:p w14:paraId="6A0A2C2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Subcontractor:</w:t>
            </w:r>
          </w:p>
          <w:p w14:paraId="234BBCBD" w14:textId="77777777" w:rsidR="00B318C0" w:rsidRDefault="00DA5A17">
            <w:pPr>
              <w:numPr>
                <w:ilvl w:val="1"/>
                <w:numId w:val="9"/>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which is relied upon to deliver any work package within the Deliverables in their entirety; and/or</w:t>
            </w:r>
          </w:p>
          <w:p w14:paraId="2B9474D4" w14:textId="77777777" w:rsidR="00B318C0" w:rsidRDefault="00DA5A17">
            <w:pPr>
              <w:numPr>
                <w:ilvl w:val="1"/>
                <w:numId w:val="9"/>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which, in the opinion of CCS or the Buyer performs (or would perform if appointed) a critical role in the provision of all or any part of the Deliverables; and/or</w:t>
            </w:r>
          </w:p>
          <w:p w14:paraId="7952BE81" w14:textId="77777777" w:rsidR="00B318C0" w:rsidRDefault="00DA5A17">
            <w:pPr>
              <w:numPr>
                <w:ilvl w:val="1"/>
                <w:numId w:val="9"/>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with a Sub-Contract with a contract value which at the time of appointment exceeds (or would exceed if appointed) 10% of the aggregate Charges forecast to be payable under the Call-Off Contract,</w:t>
            </w:r>
          </w:p>
          <w:p w14:paraId="766364BA" w14:textId="77777777" w:rsidR="00B318C0" w:rsidRDefault="00DA5A17">
            <w:pPr>
              <w:pBdr>
                <w:top w:val="nil"/>
                <w:left w:val="nil"/>
                <w:bottom w:val="nil"/>
                <w:right w:val="nil"/>
                <w:between w:val="nil"/>
              </w:pBdr>
              <w:tabs>
                <w:tab w:val="left" w:pos="-576"/>
              </w:tabs>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and the Supplier shall list all such Key Subcontractors in section 21 of the Framework Award Form and in the Key Subcontractor section in the Order Form;</w:t>
            </w:r>
          </w:p>
        </w:tc>
      </w:tr>
      <w:tr w:rsidR="00B318C0" w14:paraId="09086F39" w14:textId="77777777">
        <w:tc>
          <w:tcPr>
            <w:tcW w:w="2549" w:type="dxa"/>
            <w:shd w:val="clear" w:color="auto" w:fill="auto"/>
          </w:tcPr>
          <w:p w14:paraId="7C3CF63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“Know-How”</w:t>
            </w:r>
          </w:p>
        </w:tc>
        <w:tc>
          <w:tcPr>
            <w:tcW w:w="7229" w:type="dxa"/>
            <w:shd w:val="clear" w:color="auto" w:fill="auto"/>
          </w:tcPr>
          <w:p w14:paraId="49BD94F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B318C0" w14:paraId="1C95EB32" w14:textId="77777777">
        <w:tc>
          <w:tcPr>
            <w:tcW w:w="2549" w:type="dxa"/>
            <w:shd w:val="clear" w:color="auto" w:fill="auto"/>
          </w:tcPr>
          <w:p w14:paraId="239F869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“Law”</w:t>
            </w:r>
          </w:p>
        </w:tc>
        <w:tc>
          <w:tcPr>
            <w:tcW w:w="7229" w:type="dxa"/>
            <w:shd w:val="clear" w:color="auto" w:fill="auto"/>
          </w:tcPr>
          <w:p w14:paraId="39FC3BF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318C0" w14:paraId="435307B5" w14:textId="77777777">
        <w:tc>
          <w:tcPr>
            <w:tcW w:w="2549" w:type="dxa"/>
            <w:shd w:val="clear" w:color="auto" w:fill="auto"/>
          </w:tcPr>
          <w:p w14:paraId="3E6C9CE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“Losses”</w:t>
            </w:r>
          </w:p>
        </w:tc>
        <w:tc>
          <w:tcPr>
            <w:tcW w:w="7229" w:type="dxa"/>
            <w:shd w:val="clear" w:color="auto" w:fill="auto"/>
          </w:tcPr>
          <w:p w14:paraId="67CD200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2"/>
                <w:szCs w:val="22"/>
              </w:rPr>
              <w:t>Loss</w:t>
            </w:r>
            <w:r>
              <w:rPr>
                <w:rFonts w:ascii="Arial" w:eastAsia="Arial" w:hAnsi="Arial" w:cs="Arial"/>
                <w:color w:val="000000"/>
                <w:sz w:val="22"/>
                <w:szCs w:val="22"/>
              </w:rPr>
              <w:t>” shall be interpreted accordingly;</w:t>
            </w:r>
          </w:p>
        </w:tc>
      </w:tr>
      <w:tr w:rsidR="00B318C0" w14:paraId="3711297D" w14:textId="77777777">
        <w:tc>
          <w:tcPr>
            <w:tcW w:w="2549" w:type="dxa"/>
            <w:shd w:val="clear" w:color="auto" w:fill="auto"/>
          </w:tcPr>
          <w:p w14:paraId="635B900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“Lots”</w:t>
            </w:r>
          </w:p>
        </w:tc>
        <w:tc>
          <w:tcPr>
            <w:tcW w:w="7229" w:type="dxa"/>
            <w:shd w:val="clear" w:color="auto" w:fill="auto"/>
          </w:tcPr>
          <w:p w14:paraId="4AB2591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number of lots specified in, as applicable, Framework Schedule 1 (Specification) or Call-Off Schedule 20 (Call-Off Specification);</w:t>
            </w:r>
          </w:p>
        </w:tc>
      </w:tr>
      <w:tr w:rsidR="00B318C0" w14:paraId="0AE3526A" w14:textId="77777777">
        <w:tc>
          <w:tcPr>
            <w:tcW w:w="2549" w:type="dxa"/>
            <w:shd w:val="clear" w:color="auto" w:fill="auto"/>
          </w:tcPr>
          <w:p w14:paraId="2871819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“Management Charge”</w:t>
            </w:r>
          </w:p>
        </w:tc>
        <w:tc>
          <w:tcPr>
            <w:tcW w:w="7229" w:type="dxa"/>
            <w:shd w:val="clear" w:color="auto" w:fill="auto"/>
          </w:tcPr>
          <w:p w14:paraId="25856E4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sum specified in the Framework Award Form payable by the Supplier to CCS in accordance with Framework Schedule 5 (Management Charges and Information);</w:t>
            </w:r>
          </w:p>
        </w:tc>
      </w:tr>
      <w:tr w:rsidR="00B318C0" w14:paraId="32D6BF16" w14:textId="77777777">
        <w:tc>
          <w:tcPr>
            <w:tcW w:w="2549" w:type="dxa"/>
            <w:shd w:val="clear" w:color="auto" w:fill="auto"/>
          </w:tcPr>
          <w:p w14:paraId="4DDD52B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“Management Information” or “MI”</w:t>
            </w:r>
          </w:p>
        </w:tc>
        <w:tc>
          <w:tcPr>
            <w:tcW w:w="7229" w:type="dxa"/>
            <w:shd w:val="clear" w:color="auto" w:fill="auto"/>
          </w:tcPr>
          <w:p w14:paraId="3EBB4F1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management information specified in Framework Schedule 5 (Management Charges and Information);</w:t>
            </w:r>
          </w:p>
        </w:tc>
      </w:tr>
      <w:tr w:rsidR="00B318C0" w14:paraId="305E9F03" w14:textId="77777777">
        <w:tc>
          <w:tcPr>
            <w:tcW w:w="2549" w:type="dxa"/>
            <w:shd w:val="clear" w:color="auto" w:fill="auto"/>
          </w:tcPr>
          <w:p w14:paraId="736D87A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“MI Default”</w:t>
            </w:r>
          </w:p>
        </w:tc>
        <w:tc>
          <w:tcPr>
            <w:tcW w:w="7229" w:type="dxa"/>
            <w:shd w:val="clear" w:color="auto" w:fill="auto"/>
          </w:tcPr>
          <w:p w14:paraId="4BF9271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222222"/>
                <w:sz w:val="22"/>
                <w:szCs w:val="22"/>
              </w:rPr>
              <w:t>means when</w:t>
            </w:r>
            <w:r>
              <w:rPr>
                <w:rFonts w:ascii="Arial" w:eastAsia="Arial" w:hAnsi="Arial" w:cs="Arial"/>
                <w:b/>
                <w:color w:val="222222"/>
                <w:sz w:val="22"/>
                <w:szCs w:val="22"/>
              </w:rPr>
              <w:t xml:space="preserve"> </w:t>
            </w:r>
            <w:r>
              <w:rPr>
                <w:rFonts w:ascii="Arial" w:eastAsia="Arial" w:hAnsi="Arial" w:cs="Arial"/>
                <w:color w:val="000000"/>
                <w:sz w:val="22"/>
                <w:szCs w:val="22"/>
              </w:rPr>
              <w:t>two (2) MI Reports are not provided in any rolling six (6) month period;</w:t>
            </w:r>
          </w:p>
        </w:tc>
      </w:tr>
      <w:tr w:rsidR="00B318C0" w14:paraId="3EC9ADED" w14:textId="77777777">
        <w:tc>
          <w:tcPr>
            <w:tcW w:w="2549" w:type="dxa"/>
            <w:shd w:val="clear" w:color="auto" w:fill="auto"/>
          </w:tcPr>
          <w:p w14:paraId="39070C4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“MI Failure”</w:t>
            </w:r>
          </w:p>
        </w:tc>
        <w:tc>
          <w:tcPr>
            <w:tcW w:w="7229" w:type="dxa"/>
            <w:shd w:val="clear" w:color="auto" w:fill="auto"/>
          </w:tcPr>
          <w:p w14:paraId="5E6E157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when an MI report:</w:t>
            </w:r>
          </w:p>
          <w:p w14:paraId="403A8019" w14:textId="77777777" w:rsidR="00B318C0" w:rsidRDefault="00DA5A17">
            <w:pPr>
              <w:numPr>
                <w:ilvl w:val="1"/>
                <w:numId w:val="14"/>
              </w:numPr>
              <w:pBdr>
                <w:top w:val="nil"/>
                <w:left w:val="nil"/>
                <w:bottom w:val="nil"/>
                <w:right w:val="nil"/>
                <w:between w:val="nil"/>
              </w:pBdr>
              <w:tabs>
                <w:tab w:val="left" w:pos="707"/>
              </w:tabs>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 xml:space="preserve">contains any material errors or material omissions or a missing mandatory field; or  </w:t>
            </w:r>
          </w:p>
          <w:p w14:paraId="1F512151" w14:textId="77777777" w:rsidR="00B318C0" w:rsidRDefault="00DA5A17">
            <w:pPr>
              <w:numPr>
                <w:ilvl w:val="1"/>
                <w:numId w:val="14"/>
              </w:numPr>
              <w:pBdr>
                <w:top w:val="nil"/>
                <w:left w:val="nil"/>
                <w:bottom w:val="nil"/>
                <w:right w:val="nil"/>
                <w:between w:val="nil"/>
              </w:pBdr>
              <w:tabs>
                <w:tab w:val="left" w:pos="707"/>
              </w:tabs>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is submitted using an incorrect MI reporting Template; or</w:t>
            </w:r>
          </w:p>
          <w:p w14:paraId="0677D8ED" w14:textId="77777777" w:rsidR="00B318C0" w:rsidRDefault="00DA5A17">
            <w:pPr>
              <w:numPr>
                <w:ilvl w:val="1"/>
                <w:numId w:val="14"/>
              </w:numPr>
              <w:pBdr>
                <w:top w:val="nil"/>
                <w:left w:val="nil"/>
                <w:bottom w:val="nil"/>
                <w:right w:val="nil"/>
                <w:between w:val="nil"/>
              </w:pBdr>
              <w:tabs>
                <w:tab w:val="left" w:pos="707"/>
              </w:tabs>
              <w:spacing w:before="60" w:after="60"/>
              <w:ind w:left="707" w:right="144" w:hanging="533"/>
              <w:rPr>
                <w:rFonts w:ascii="Arial" w:eastAsia="Arial" w:hAnsi="Arial" w:cs="Arial"/>
                <w:color w:val="000000"/>
                <w:sz w:val="22"/>
                <w:szCs w:val="22"/>
              </w:rPr>
            </w:pPr>
            <w:r>
              <w:rPr>
                <w:rFonts w:ascii="Arial" w:eastAsia="Arial" w:hAnsi="Arial" w:cs="Arial"/>
                <w:color w:val="000000"/>
                <w:sz w:val="22"/>
                <w:szCs w:val="22"/>
              </w:rPr>
              <w:t>is not submitted by the reporting date (including where a declaration of no business should have been filed);</w:t>
            </w:r>
          </w:p>
        </w:tc>
      </w:tr>
      <w:tr w:rsidR="00B318C0" w14:paraId="72E29D02" w14:textId="77777777">
        <w:tc>
          <w:tcPr>
            <w:tcW w:w="2549" w:type="dxa"/>
            <w:shd w:val="clear" w:color="auto" w:fill="auto"/>
          </w:tcPr>
          <w:p w14:paraId="5A222EE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“MI Report”</w:t>
            </w:r>
          </w:p>
        </w:tc>
        <w:tc>
          <w:tcPr>
            <w:tcW w:w="7229" w:type="dxa"/>
            <w:shd w:val="clear" w:color="auto" w:fill="auto"/>
          </w:tcPr>
          <w:p w14:paraId="6C6ED4B2"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a report containing Management Information submitted to the Authority in accordance with Framework Schedule 5 (Management Charges and Information);</w:t>
            </w:r>
          </w:p>
        </w:tc>
      </w:tr>
      <w:tr w:rsidR="00B318C0" w14:paraId="5052CDEE" w14:textId="77777777">
        <w:tc>
          <w:tcPr>
            <w:tcW w:w="2549" w:type="dxa"/>
            <w:shd w:val="clear" w:color="auto" w:fill="auto"/>
          </w:tcPr>
          <w:p w14:paraId="7AAE48B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“MI Reporting Template”</w:t>
            </w:r>
          </w:p>
        </w:tc>
        <w:tc>
          <w:tcPr>
            <w:tcW w:w="7229" w:type="dxa"/>
            <w:shd w:val="clear" w:color="auto" w:fill="auto"/>
          </w:tcPr>
          <w:p w14:paraId="0B2973F9"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the form of report set out in the Annex to Framework Schedule 5 (Management Charges and Information) setting out the information the Supplier is required to supply to the Authority;</w:t>
            </w:r>
          </w:p>
        </w:tc>
      </w:tr>
      <w:tr w:rsidR="00B318C0" w14:paraId="113F7262" w14:textId="77777777">
        <w:tc>
          <w:tcPr>
            <w:tcW w:w="2549" w:type="dxa"/>
            <w:shd w:val="clear" w:color="auto" w:fill="auto"/>
          </w:tcPr>
          <w:p w14:paraId="13B2FF5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“Milestone”</w:t>
            </w:r>
          </w:p>
        </w:tc>
        <w:tc>
          <w:tcPr>
            <w:tcW w:w="7229" w:type="dxa"/>
            <w:shd w:val="clear" w:color="auto" w:fill="auto"/>
          </w:tcPr>
          <w:p w14:paraId="54F9E12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 event or task described in the Implementation Plan;</w:t>
            </w:r>
          </w:p>
        </w:tc>
      </w:tr>
      <w:tr w:rsidR="00B318C0" w14:paraId="66340FC3" w14:textId="77777777">
        <w:tc>
          <w:tcPr>
            <w:tcW w:w="2549" w:type="dxa"/>
            <w:shd w:val="clear" w:color="auto" w:fill="auto"/>
          </w:tcPr>
          <w:p w14:paraId="4A13CB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“Milestone Date”</w:t>
            </w:r>
          </w:p>
        </w:tc>
        <w:tc>
          <w:tcPr>
            <w:tcW w:w="7229" w:type="dxa"/>
            <w:shd w:val="clear" w:color="auto" w:fill="auto"/>
          </w:tcPr>
          <w:p w14:paraId="7475CC8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target date set out against the relevant Milestone in the Implementation Plan by which the Milestone must be Achieved;</w:t>
            </w:r>
          </w:p>
        </w:tc>
      </w:tr>
      <w:tr w:rsidR="00B318C0" w14:paraId="3A2CB048" w14:textId="77777777">
        <w:tc>
          <w:tcPr>
            <w:tcW w:w="2549" w:type="dxa"/>
            <w:shd w:val="clear" w:color="auto" w:fill="auto"/>
          </w:tcPr>
          <w:p w14:paraId="764D990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“Month”</w:t>
            </w:r>
          </w:p>
        </w:tc>
        <w:tc>
          <w:tcPr>
            <w:tcW w:w="7229" w:type="dxa"/>
            <w:shd w:val="clear" w:color="auto" w:fill="auto"/>
          </w:tcPr>
          <w:p w14:paraId="19F3D48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calendar month and “</w:t>
            </w:r>
            <w:r>
              <w:rPr>
                <w:rFonts w:ascii="Arial" w:eastAsia="Arial" w:hAnsi="Arial" w:cs="Arial"/>
                <w:b/>
                <w:color w:val="000000"/>
                <w:sz w:val="22"/>
                <w:szCs w:val="22"/>
              </w:rPr>
              <w:t>Monthly</w:t>
            </w:r>
            <w:r>
              <w:rPr>
                <w:rFonts w:ascii="Arial" w:eastAsia="Arial" w:hAnsi="Arial" w:cs="Arial"/>
                <w:color w:val="000000"/>
                <w:sz w:val="22"/>
                <w:szCs w:val="22"/>
              </w:rPr>
              <w:t>” shall be interpreted accordingly;</w:t>
            </w:r>
          </w:p>
        </w:tc>
      </w:tr>
      <w:tr w:rsidR="00B318C0" w14:paraId="529FECF4" w14:textId="77777777">
        <w:tc>
          <w:tcPr>
            <w:tcW w:w="2549" w:type="dxa"/>
            <w:shd w:val="clear" w:color="auto" w:fill="auto"/>
          </w:tcPr>
          <w:p w14:paraId="5F739C5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“National Insurance”</w:t>
            </w:r>
          </w:p>
        </w:tc>
        <w:tc>
          <w:tcPr>
            <w:tcW w:w="7229" w:type="dxa"/>
            <w:shd w:val="clear" w:color="auto" w:fill="auto"/>
          </w:tcPr>
          <w:p w14:paraId="714080F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contributions required by the Social Security Contributions and Benefits Act 1992 and made in accordance with the  Social Security (Contributions) Regulations 2001 (SI 2001/1004);</w:t>
            </w:r>
          </w:p>
        </w:tc>
      </w:tr>
      <w:tr w:rsidR="00B318C0" w14:paraId="3B62FCCA" w14:textId="77777777">
        <w:tc>
          <w:tcPr>
            <w:tcW w:w="2549" w:type="dxa"/>
            <w:shd w:val="clear" w:color="auto" w:fill="auto"/>
          </w:tcPr>
          <w:p w14:paraId="5C521E1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“New IPR”</w:t>
            </w:r>
          </w:p>
        </w:tc>
        <w:tc>
          <w:tcPr>
            <w:tcW w:w="7229" w:type="dxa"/>
            <w:shd w:val="clear" w:color="auto" w:fill="auto"/>
          </w:tcPr>
          <w:p w14:paraId="55591CD7" w14:textId="77777777" w:rsidR="00B318C0" w:rsidRDefault="00DA5A17">
            <w:pPr>
              <w:numPr>
                <w:ilvl w:val="1"/>
                <w:numId w:val="27"/>
              </w:numPr>
              <w:pBdr>
                <w:top w:val="nil"/>
                <w:left w:val="nil"/>
                <w:bottom w:val="nil"/>
                <w:right w:val="nil"/>
                <w:between w:val="nil"/>
              </w:pBdr>
              <w:tabs>
                <w:tab w:val="left" w:pos="707"/>
              </w:tabs>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IPR in items created by the Supplier (or by a third party on behalf of the Supplier) specifically for the purposes of a Contract and updates and amendments of these items including (but not limited to) database schema; and/or</w:t>
            </w:r>
          </w:p>
          <w:p w14:paraId="56B43EB1" w14:textId="77777777" w:rsidR="00B318C0" w:rsidRDefault="00DA5A17">
            <w:pPr>
              <w:numPr>
                <w:ilvl w:val="1"/>
                <w:numId w:val="27"/>
              </w:numPr>
              <w:pBdr>
                <w:top w:val="nil"/>
                <w:left w:val="nil"/>
                <w:bottom w:val="nil"/>
                <w:right w:val="nil"/>
                <w:between w:val="nil"/>
              </w:pBdr>
              <w:tabs>
                <w:tab w:val="left" w:pos="707"/>
              </w:tabs>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IPR in or arising as a result of the performance of the Supplier’s obligations under a Contract and all updates and amendments to the same;</w:t>
            </w:r>
          </w:p>
          <w:p w14:paraId="5BD5FD4B" w14:textId="77777777" w:rsidR="00B318C0" w:rsidRDefault="00DA5A17">
            <w:pPr>
              <w:pBdr>
                <w:top w:val="nil"/>
                <w:left w:val="nil"/>
                <w:bottom w:val="nil"/>
                <w:right w:val="nil"/>
                <w:between w:val="nil"/>
              </w:pBdr>
              <w:tabs>
                <w:tab w:val="left" w:pos="707"/>
              </w:tabs>
              <w:spacing w:before="60" w:after="60"/>
              <w:ind w:left="174" w:right="135"/>
              <w:jc w:val="both"/>
              <w:rPr>
                <w:rFonts w:ascii="Arial" w:eastAsia="Arial" w:hAnsi="Arial" w:cs="Arial"/>
                <w:color w:val="000000"/>
                <w:sz w:val="22"/>
                <w:szCs w:val="22"/>
              </w:rPr>
            </w:pPr>
            <w:r>
              <w:rPr>
                <w:rFonts w:ascii="Arial" w:eastAsia="Arial" w:hAnsi="Arial" w:cs="Arial"/>
                <w:color w:val="000000"/>
                <w:sz w:val="22"/>
                <w:szCs w:val="22"/>
              </w:rPr>
              <w:t>but shall not include the Supplier’s Existing IPR;</w:t>
            </w:r>
          </w:p>
        </w:tc>
      </w:tr>
      <w:tr w:rsidR="00B318C0" w14:paraId="706A0055" w14:textId="77777777">
        <w:tc>
          <w:tcPr>
            <w:tcW w:w="2549" w:type="dxa"/>
            <w:shd w:val="clear" w:color="auto" w:fill="auto"/>
          </w:tcPr>
          <w:p w14:paraId="5F88A35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“Occasion of Tax Non–Compliance”</w:t>
            </w:r>
          </w:p>
        </w:tc>
        <w:tc>
          <w:tcPr>
            <w:tcW w:w="7229" w:type="dxa"/>
            <w:shd w:val="clear" w:color="auto" w:fill="auto"/>
          </w:tcPr>
          <w:p w14:paraId="17EFA8F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where: </w:t>
            </w:r>
          </w:p>
          <w:p w14:paraId="6031A31B" w14:textId="77777777" w:rsidR="00B318C0" w:rsidRDefault="00DA5A17">
            <w:pPr>
              <w:numPr>
                <w:ilvl w:val="1"/>
                <w:numId w:val="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any Tax return of the Supplier submitted to a Relevant Tax Authority on or after 1 October 2012 is found on or after 1 April 2013 to be incorrect as a result of:</w:t>
            </w:r>
          </w:p>
          <w:p w14:paraId="6B4B366C" w14:textId="77777777" w:rsidR="00B318C0" w:rsidRDefault="00DA5A17">
            <w:pPr>
              <w:numPr>
                <w:ilvl w:val="2"/>
                <w:numId w:val="8"/>
              </w:numPr>
              <w:pBdr>
                <w:top w:val="nil"/>
                <w:left w:val="nil"/>
                <w:bottom w:val="nil"/>
                <w:right w:val="nil"/>
                <w:between w:val="nil"/>
              </w:pBdr>
              <w:tabs>
                <w:tab w:val="left" w:pos="-576"/>
                <w:tab w:val="left" w:pos="144"/>
              </w:tabs>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F73B17D" w14:textId="77777777" w:rsidR="00B318C0" w:rsidRDefault="00DA5A17">
            <w:pPr>
              <w:numPr>
                <w:ilvl w:val="2"/>
                <w:numId w:val="8"/>
              </w:numPr>
              <w:pBdr>
                <w:top w:val="nil"/>
                <w:left w:val="nil"/>
                <w:bottom w:val="nil"/>
                <w:right w:val="nil"/>
                <w:between w:val="nil"/>
              </w:pBdr>
              <w:tabs>
                <w:tab w:val="left" w:pos="-576"/>
                <w:tab w:val="left" w:pos="144"/>
              </w:tabs>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the failure of an avoidance scheme which the Supplier was involved in, and which was, or should have been, notified to a Relevant Tax Authority under the DOTAS or any equivalent or similar regime in any jurisdiction; and/or</w:t>
            </w:r>
          </w:p>
          <w:p w14:paraId="546CE3BF" w14:textId="77777777" w:rsidR="00B318C0" w:rsidRDefault="00DA5A17">
            <w:pPr>
              <w:numPr>
                <w:ilvl w:val="1"/>
                <w:numId w:val="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B318C0" w14:paraId="48D47833" w14:textId="77777777">
        <w:tc>
          <w:tcPr>
            <w:tcW w:w="2549" w:type="dxa"/>
            <w:shd w:val="clear" w:color="auto" w:fill="auto"/>
          </w:tcPr>
          <w:p w14:paraId="2D9BB6F0" w14:textId="77777777" w:rsidR="00B318C0" w:rsidRDefault="00DA5A17">
            <w:pPr>
              <w:spacing w:before="60" w:after="60"/>
              <w:ind w:left="142" w:right="278"/>
              <w:rPr>
                <w:rFonts w:ascii="Arial" w:eastAsia="Arial" w:hAnsi="Arial" w:cs="Arial"/>
                <w:b/>
                <w:sz w:val="22"/>
                <w:szCs w:val="22"/>
              </w:rPr>
            </w:pPr>
            <w:r>
              <w:rPr>
                <w:rFonts w:ascii="Arial" w:eastAsia="Arial" w:hAnsi="Arial" w:cs="Arial"/>
                <w:b/>
                <w:sz w:val="22"/>
                <w:szCs w:val="22"/>
              </w:rPr>
              <w:t>“Offline Booking Solution“</w:t>
            </w:r>
          </w:p>
        </w:tc>
        <w:tc>
          <w:tcPr>
            <w:tcW w:w="7229" w:type="dxa"/>
            <w:shd w:val="clear" w:color="auto" w:fill="auto"/>
          </w:tcPr>
          <w:p w14:paraId="49C5EAFB" w14:textId="77777777" w:rsidR="00B318C0" w:rsidRDefault="00DA5A17">
            <w:pPr>
              <w:spacing w:before="60" w:after="60"/>
              <w:ind w:left="140" w:right="144"/>
              <w:jc w:val="both"/>
              <w:rPr>
                <w:rFonts w:ascii="Arial" w:eastAsia="Arial" w:hAnsi="Arial" w:cs="Arial"/>
                <w:sz w:val="22"/>
                <w:szCs w:val="22"/>
              </w:rPr>
            </w:pPr>
            <w:r>
              <w:rPr>
                <w:rFonts w:ascii="Arial" w:eastAsia="Arial" w:hAnsi="Arial" w:cs="Arial"/>
                <w:color w:val="000000"/>
                <w:sz w:val="22"/>
                <w:szCs w:val="22"/>
              </w:rPr>
              <w:t xml:space="preserve">the Supplier’s offline solution for the delivery of the Services in accordance with Call-Off Schedule 20 (Call-Off Specification) or Framework Schedule 1 (Specification), as the context requires and the relevant Call-Off </w:t>
            </w:r>
            <w:r>
              <w:rPr>
                <w:rFonts w:ascii="Arial" w:eastAsia="Arial" w:hAnsi="Arial" w:cs="Arial"/>
                <w:sz w:val="22"/>
                <w:szCs w:val="22"/>
              </w:rPr>
              <w:t>Contract;</w:t>
            </w:r>
          </w:p>
        </w:tc>
      </w:tr>
      <w:tr w:rsidR="00B318C0" w14:paraId="248AD67D" w14:textId="77777777">
        <w:tc>
          <w:tcPr>
            <w:tcW w:w="2549" w:type="dxa"/>
            <w:shd w:val="clear" w:color="auto" w:fill="auto"/>
          </w:tcPr>
          <w:p w14:paraId="1A140E47" w14:textId="77777777" w:rsidR="00B318C0" w:rsidRDefault="00DA5A17">
            <w:pPr>
              <w:spacing w:before="60" w:after="60"/>
              <w:ind w:left="142" w:right="278"/>
              <w:rPr>
                <w:rFonts w:ascii="Arial" w:eastAsia="Arial" w:hAnsi="Arial" w:cs="Arial"/>
                <w:b/>
                <w:sz w:val="22"/>
                <w:szCs w:val="22"/>
              </w:rPr>
            </w:pPr>
            <w:r>
              <w:rPr>
                <w:rFonts w:ascii="Arial" w:eastAsia="Arial" w:hAnsi="Arial" w:cs="Arial"/>
                <w:b/>
                <w:sz w:val="22"/>
                <w:szCs w:val="22"/>
              </w:rPr>
              <w:t>“Online Booking Solution”</w:t>
            </w:r>
          </w:p>
        </w:tc>
        <w:tc>
          <w:tcPr>
            <w:tcW w:w="7229" w:type="dxa"/>
            <w:shd w:val="clear" w:color="auto" w:fill="auto"/>
          </w:tcPr>
          <w:p w14:paraId="0E7473CA" w14:textId="77777777" w:rsidR="00B318C0" w:rsidRDefault="00DA5A17">
            <w:pPr>
              <w:spacing w:before="60" w:after="60"/>
              <w:ind w:left="140" w:right="144"/>
              <w:jc w:val="both"/>
              <w:rPr>
                <w:rFonts w:ascii="Arial" w:eastAsia="Arial" w:hAnsi="Arial" w:cs="Arial"/>
                <w:sz w:val="22"/>
                <w:szCs w:val="22"/>
              </w:rPr>
            </w:pPr>
            <w:r>
              <w:rPr>
                <w:rFonts w:ascii="Arial" w:eastAsia="Arial" w:hAnsi="Arial" w:cs="Arial"/>
                <w:color w:val="000000"/>
                <w:sz w:val="22"/>
                <w:szCs w:val="22"/>
              </w:rPr>
              <w:t>the Supplier’s o</w:t>
            </w:r>
            <w:r>
              <w:rPr>
                <w:rFonts w:ascii="Arial" w:eastAsia="Arial" w:hAnsi="Arial" w:cs="Arial"/>
                <w:sz w:val="22"/>
                <w:szCs w:val="22"/>
              </w:rPr>
              <w:t>n</w:t>
            </w:r>
            <w:r>
              <w:rPr>
                <w:rFonts w:ascii="Arial" w:eastAsia="Arial" w:hAnsi="Arial" w:cs="Arial"/>
                <w:color w:val="000000"/>
                <w:sz w:val="22"/>
                <w:szCs w:val="22"/>
              </w:rPr>
              <w:t xml:space="preserve">line solution for the delivery of the Services in accordance with Call-Off Schedule 20 (Call-Off Specification) or Framework Schedule 1 (Specification), as the context requires and the relevant Call-Off </w:t>
            </w:r>
            <w:r>
              <w:rPr>
                <w:rFonts w:ascii="Arial" w:eastAsia="Arial" w:hAnsi="Arial" w:cs="Arial"/>
                <w:sz w:val="22"/>
                <w:szCs w:val="22"/>
              </w:rPr>
              <w:t xml:space="preserve">Contract; </w:t>
            </w:r>
          </w:p>
        </w:tc>
      </w:tr>
      <w:tr w:rsidR="00B318C0" w14:paraId="38E36D34" w14:textId="77777777">
        <w:tc>
          <w:tcPr>
            <w:tcW w:w="2549" w:type="dxa"/>
            <w:shd w:val="clear" w:color="auto" w:fill="auto"/>
          </w:tcPr>
          <w:p w14:paraId="7D53458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“Open Book Data”</w:t>
            </w:r>
          </w:p>
        </w:tc>
        <w:tc>
          <w:tcPr>
            <w:tcW w:w="7229" w:type="dxa"/>
            <w:shd w:val="clear" w:color="auto" w:fill="auto"/>
          </w:tcPr>
          <w:p w14:paraId="7E9F879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9217835"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lastRenderedPageBreak/>
              <w:t>the Supplier’s Costs broken down against each Service and/or Deliverable, including actual capital expenditure (including capital replacement costs) and the unit cost and total actual costs of all Deliverables;</w:t>
            </w:r>
          </w:p>
          <w:p w14:paraId="240D66B1"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operating expenditure relating to the provision of the Deliverables including an analysis showing:</w:t>
            </w:r>
          </w:p>
          <w:p w14:paraId="31295B2F" w14:textId="77777777" w:rsidR="00B318C0" w:rsidRDefault="00DA5A17">
            <w:pPr>
              <w:numPr>
                <w:ilvl w:val="2"/>
                <w:numId w:val="28"/>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the unit costs and quantity of consumables and bought-in Deliverables;</w:t>
            </w:r>
          </w:p>
          <w:p w14:paraId="1A9BED79" w14:textId="77777777" w:rsidR="00B318C0" w:rsidRDefault="00DA5A17">
            <w:pPr>
              <w:numPr>
                <w:ilvl w:val="2"/>
                <w:numId w:val="28"/>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staff costs broken down into the number and grade/role of all Supplier Staff (free of any contingency) together with a list of agreed rates against each grade;</w:t>
            </w:r>
          </w:p>
          <w:p w14:paraId="6AF1F4CD" w14:textId="77777777" w:rsidR="00B318C0" w:rsidRDefault="00DA5A17">
            <w:pPr>
              <w:numPr>
                <w:ilvl w:val="2"/>
                <w:numId w:val="28"/>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a list of Costs underpinning those rates for each grade, being the agreed rate less the Supplier Profit Margin; and</w:t>
            </w:r>
          </w:p>
          <w:p w14:paraId="5F493F00" w14:textId="77777777" w:rsidR="00B318C0" w:rsidRDefault="00DA5A17">
            <w:pPr>
              <w:numPr>
                <w:ilvl w:val="2"/>
                <w:numId w:val="28"/>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Pr>
                <w:rFonts w:ascii="Arial" w:eastAsia="Arial" w:hAnsi="Arial" w:cs="Arial"/>
                <w:color w:val="000000"/>
                <w:sz w:val="22"/>
                <w:szCs w:val="22"/>
              </w:rPr>
              <w:t xml:space="preserve">Reimbursable Expenses, if allowed under the Order Form; </w:t>
            </w:r>
          </w:p>
          <w:p w14:paraId="1802DDCF"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 xml:space="preserve">Overheads; </w:t>
            </w:r>
          </w:p>
          <w:p w14:paraId="41041CE0"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all interest, expenses and any other third party financing costs incurred in relation to the provision of the Deliverables;</w:t>
            </w:r>
          </w:p>
          <w:p w14:paraId="55D48C93"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the Supplier Profit achieved over the Framework Contract Period and on an annual basis;</w:t>
            </w:r>
          </w:p>
          <w:p w14:paraId="5621BD04"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confirmation that all methods of Cost apportionment and Overhead allocation are consistent with and not more onerous than such methods applied generally by the Supplier;</w:t>
            </w:r>
          </w:p>
          <w:p w14:paraId="675D2595"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an explanation of the type and value of risk and contingencies associated with the provision of the Deliverables, including the amount of money attributed to each risk and/or contingency; and</w:t>
            </w:r>
          </w:p>
          <w:p w14:paraId="7B77AAE1" w14:textId="77777777" w:rsidR="00B318C0" w:rsidRDefault="00DA5A17">
            <w:pPr>
              <w:numPr>
                <w:ilvl w:val="1"/>
                <w:numId w:val="28"/>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the actual Costs profile for each Service Period;</w:t>
            </w:r>
          </w:p>
        </w:tc>
      </w:tr>
      <w:tr w:rsidR="00B318C0" w14:paraId="351F0CBB" w14:textId="77777777">
        <w:tc>
          <w:tcPr>
            <w:tcW w:w="2549" w:type="dxa"/>
            <w:shd w:val="clear" w:color="auto" w:fill="auto"/>
          </w:tcPr>
          <w:p w14:paraId="07E13A4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“Order”</w:t>
            </w:r>
          </w:p>
        </w:tc>
        <w:tc>
          <w:tcPr>
            <w:tcW w:w="7229" w:type="dxa"/>
            <w:shd w:val="clear" w:color="auto" w:fill="auto"/>
          </w:tcPr>
          <w:p w14:paraId="6685C68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means an order for the provision of the Deliverables placed by a Buyer with the Supplier under a Contract;</w:t>
            </w:r>
          </w:p>
        </w:tc>
      </w:tr>
      <w:tr w:rsidR="00B318C0" w14:paraId="7FF1696E" w14:textId="77777777">
        <w:tc>
          <w:tcPr>
            <w:tcW w:w="2549" w:type="dxa"/>
            <w:shd w:val="clear" w:color="auto" w:fill="auto"/>
          </w:tcPr>
          <w:p w14:paraId="03381EE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“Order Form”</w:t>
            </w:r>
          </w:p>
        </w:tc>
        <w:tc>
          <w:tcPr>
            <w:tcW w:w="7229" w:type="dxa"/>
            <w:shd w:val="clear" w:color="auto" w:fill="auto"/>
          </w:tcPr>
          <w:p w14:paraId="1B073E6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completed Order Form Template (or equivalent information issued by the Buyer) used to create a Call-Off Contract;</w:t>
            </w:r>
          </w:p>
        </w:tc>
      </w:tr>
      <w:tr w:rsidR="00B318C0" w14:paraId="6790D094" w14:textId="77777777">
        <w:tc>
          <w:tcPr>
            <w:tcW w:w="2549" w:type="dxa"/>
            <w:shd w:val="clear" w:color="auto" w:fill="auto"/>
          </w:tcPr>
          <w:p w14:paraId="6B668F6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“Order Form Template”</w:t>
            </w:r>
          </w:p>
        </w:tc>
        <w:tc>
          <w:tcPr>
            <w:tcW w:w="7229" w:type="dxa"/>
            <w:shd w:val="clear" w:color="auto" w:fill="auto"/>
          </w:tcPr>
          <w:p w14:paraId="589858B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applicable template in either Framework Schedule 6A (Order Form Template and Call-Off Schedules – Direct Award) or Framework Schedule 6B (Order Form Template and Call-Off Schedules – Further Competition);</w:t>
            </w:r>
          </w:p>
        </w:tc>
      </w:tr>
      <w:tr w:rsidR="00B318C0" w14:paraId="68280F00" w14:textId="77777777">
        <w:tc>
          <w:tcPr>
            <w:tcW w:w="2549" w:type="dxa"/>
            <w:shd w:val="clear" w:color="auto" w:fill="auto"/>
          </w:tcPr>
          <w:p w14:paraId="399EA50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“Other Contracting Authority”</w:t>
            </w:r>
          </w:p>
        </w:tc>
        <w:tc>
          <w:tcPr>
            <w:tcW w:w="7229" w:type="dxa"/>
            <w:shd w:val="clear" w:color="auto" w:fill="auto"/>
          </w:tcPr>
          <w:p w14:paraId="162D6FD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actual or potential Buyer under the Framework Contract;</w:t>
            </w:r>
          </w:p>
        </w:tc>
      </w:tr>
      <w:tr w:rsidR="00B318C0" w14:paraId="325EEBC1" w14:textId="77777777">
        <w:tc>
          <w:tcPr>
            <w:tcW w:w="2549" w:type="dxa"/>
            <w:shd w:val="clear" w:color="auto" w:fill="auto"/>
          </w:tcPr>
          <w:p w14:paraId="63D45DE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“Overhead”</w:t>
            </w:r>
          </w:p>
        </w:tc>
        <w:tc>
          <w:tcPr>
            <w:tcW w:w="7229" w:type="dxa"/>
            <w:shd w:val="clear" w:color="auto" w:fill="auto"/>
          </w:tcPr>
          <w:p w14:paraId="6524084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B318C0" w14:paraId="7D8A92CA" w14:textId="77777777">
        <w:tc>
          <w:tcPr>
            <w:tcW w:w="2549" w:type="dxa"/>
            <w:shd w:val="clear" w:color="auto" w:fill="auto"/>
          </w:tcPr>
          <w:p w14:paraId="7E87220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“Parliament”</w:t>
            </w:r>
          </w:p>
        </w:tc>
        <w:tc>
          <w:tcPr>
            <w:tcW w:w="7229" w:type="dxa"/>
            <w:shd w:val="clear" w:color="auto" w:fill="auto"/>
          </w:tcPr>
          <w:p w14:paraId="21315B5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takes its natural meaning as interpreted by Law;</w:t>
            </w:r>
          </w:p>
        </w:tc>
      </w:tr>
      <w:tr w:rsidR="00B318C0" w14:paraId="4D32397D" w14:textId="77777777">
        <w:tc>
          <w:tcPr>
            <w:tcW w:w="2549" w:type="dxa"/>
            <w:shd w:val="clear" w:color="auto" w:fill="auto"/>
          </w:tcPr>
          <w:p w14:paraId="482E3C5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“Party”</w:t>
            </w:r>
          </w:p>
        </w:tc>
        <w:tc>
          <w:tcPr>
            <w:tcW w:w="7229" w:type="dxa"/>
            <w:shd w:val="clear" w:color="auto" w:fill="auto"/>
          </w:tcPr>
          <w:p w14:paraId="30CD408D"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in the context of the Framework Contract, CCS or the Supplier, and in the in the context of a Call-Off Contract the Buyer or the Supplier. “</w:t>
            </w:r>
            <w:r>
              <w:rPr>
                <w:rFonts w:ascii="Arial" w:eastAsia="Arial" w:hAnsi="Arial" w:cs="Arial"/>
                <w:b/>
                <w:color w:val="000000"/>
                <w:sz w:val="22"/>
                <w:szCs w:val="22"/>
              </w:rPr>
              <w:t>Parties</w:t>
            </w:r>
            <w:r>
              <w:rPr>
                <w:rFonts w:ascii="Arial" w:eastAsia="Arial" w:hAnsi="Arial" w:cs="Arial"/>
                <w:color w:val="000000"/>
                <w:sz w:val="22"/>
                <w:szCs w:val="22"/>
              </w:rPr>
              <w:t>” shall mean both of them where the context permits;</w:t>
            </w:r>
          </w:p>
        </w:tc>
      </w:tr>
      <w:tr w:rsidR="00B318C0" w14:paraId="3F3A4EA8" w14:textId="77777777">
        <w:tc>
          <w:tcPr>
            <w:tcW w:w="2549" w:type="dxa"/>
            <w:shd w:val="clear" w:color="auto" w:fill="auto"/>
          </w:tcPr>
          <w:p w14:paraId="1AD4493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“Performance Indicators” or “PIs”</w:t>
            </w:r>
          </w:p>
        </w:tc>
        <w:tc>
          <w:tcPr>
            <w:tcW w:w="7229" w:type="dxa"/>
            <w:shd w:val="clear" w:color="auto" w:fill="auto"/>
          </w:tcPr>
          <w:p w14:paraId="5D090CB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performance measurements and targets in respect of the Supplier’s performance of the Framework Contract set out in Framework Schedule 4 (Framework Management);</w:t>
            </w:r>
          </w:p>
        </w:tc>
      </w:tr>
      <w:tr w:rsidR="00B318C0" w14:paraId="5C540990" w14:textId="77777777">
        <w:tc>
          <w:tcPr>
            <w:tcW w:w="2549" w:type="dxa"/>
            <w:shd w:val="clear" w:color="auto" w:fill="auto"/>
          </w:tcPr>
          <w:p w14:paraId="3AE84C0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“Personal Data”</w:t>
            </w:r>
          </w:p>
        </w:tc>
        <w:tc>
          <w:tcPr>
            <w:tcW w:w="7229" w:type="dxa"/>
            <w:shd w:val="clear" w:color="auto" w:fill="auto"/>
          </w:tcPr>
          <w:p w14:paraId="7CB8E5C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275EE582" w14:textId="77777777">
        <w:tc>
          <w:tcPr>
            <w:tcW w:w="2549" w:type="dxa"/>
            <w:shd w:val="clear" w:color="auto" w:fill="auto"/>
          </w:tcPr>
          <w:p w14:paraId="1EFFC65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“Personal Data Breach”</w:t>
            </w:r>
          </w:p>
        </w:tc>
        <w:tc>
          <w:tcPr>
            <w:tcW w:w="7229" w:type="dxa"/>
            <w:shd w:val="clear" w:color="auto" w:fill="auto"/>
          </w:tcPr>
          <w:p w14:paraId="55688FB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696A5C3B" w14:textId="77777777">
        <w:tc>
          <w:tcPr>
            <w:tcW w:w="2549" w:type="dxa"/>
            <w:shd w:val="clear" w:color="auto" w:fill="auto"/>
          </w:tcPr>
          <w:p w14:paraId="7E97674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“Personnel”</w:t>
            </w:r>
          </w:p>
        </w:tc>
        <w:tc>
          <w:tcPr>
            <w:tcW w:w="7229" w:type="dxa"/>
            <w:shd w:val="clear" w:color="auto" w:fill="auto"/>
          </w:tcPr>
          <w:p w14:paraId="1161A10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all directors, officers, employees, agents, consultants and suppliers of a Party and/or of any Subcontractor and/or Subprocessor engaged in the performance of its obligations under a Contract;</w:t>
            </w:r>
          </w:p>
        </w:tc>
      </w:tr>
      <w:tr w:rsidR="00B318C0" w14:paraId="0DC47467" w14:textId="77777777">
        <w:tc>
          <w:tcPr>
            <w:tcW w:w="2549" w:type="dxa"/>
            <w:shd w:val="clear" w:color="auto" w:fill="auto"/>
          </w:tcPr>
          <w:p w14:paraId="30613E7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“Prescribed Person”</w:t>
            </w:r>
          </w:p>
        </w:tc>
        <w:tc>
          <w:tcPr>
            <w:tcW w:w="7229" w:type="dxa"/>
            <w:shd w:val="clear" w:color="auto" w:fill="auto"/>
          </w:tcPr>
          <w:p w14:paraId="1DA63ED0"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2"/>
                  <w:szCs w:val="22"/>
                  <w:u w:val="single"/>
                </w:rPr>
                <w:t>https://www.gov.uk/government/publications/blowing-the-whistle-list-of-prescribed-people-and-bodies--2/whistleblowing-list-of-prescribed-people-and-bodies</w:t>
              </w:r>
            </w:hyperlink>
            <w:r>
              <w:rPr>
                <w:rFonts w:ascii="Arial" w:eastAsia="Arial" w:hAnsi="Arial" w:cs="Arial"/>
                <w:color w:val="000000"/>
                <w:sz w:val="22"/>
                <w:szCs w:val="22"/>
              </w:rPr>
              <w:t>;</w:t>
            </w:r>
          </w:p>
        </w:tc>
      </w:tr>
      <w:tr w:rsidR="00B318C0" w14:paraId="6D4D3E5C" w14:textId="77777777">
        <w:tc>
          <w:tcPr>
            <w:tcW w:w="2549" w:type="dxa"/>
            <w:shd w:val="clear" w:color="auto" w:fill="auto"/>
          </w:tcPr>
          <w:p w14:paraId="44B247C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“Processing”</w:t>
            </w:r>
          </w:p>
        </w:tc>
        <w:tc>
          <w:tcPr>
            <w:tcW w:w="7229" w:type="dxa"/>
            <w:shd w:val="clear" w:color="auto" w:fill="auto"/>
          </w:tcPr>
          <w:p w14:paraId="06790F5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1BE8E5E3" w14:textId="77777777">
        <w:tc>
          <w:tcPr>
            <w:tcW w:w="2549" w:type="dxa"/>
            <w:shd w:val="clear" w:color="auto" w:fill="auto"/>
          </w:tcPr>
          <w:p w14:paraId="475E488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“Processor”</w:t>
            </w:r>
          </w:p>
        </w:tc>
        <w:tc>
          <w:tcPr>
            <w:tcW w:w="7229" w:type="dxa"/>
            <w:shd w:val="clear" w:color="auto" w:fill="auto"/>
          </w:tcPr>
          <w:p w14:paraId="07106B1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UK GDPR;</w:t>
            </w:r>
          </w:p>
        </w:tc>
      </w:tr>
      <w:tr w:rsidR="00B318C0" w14:paraId="12F25805" w14:textId="77777777">
        <w:tc>
          <w:tcPr>
            <w:tcW w:w="2549" w:type="dxa"/>
            <w:shd w:val="clear" w:color="auto" w:fill="auto"/>
          </w:tcPr>
          <w:p w14:paraId="50C8067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“Progress Meeting”</w:t>
            </w:r>
          </w:p>
        </w:tc>
        <w:tc>
          <w:tcPr>
            <w:tcW w:w="7229" w:type="dxa"/>
            <w:shd w:val="clear" w:color="auto" w:fill="auto"/>
          </w:tcPr>
          <w:p w14:paraId="24ACC44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 meeting between the Buyer Authorised Representative and the Supplier Authorised Representative; </w:t>
            </w:r>
          </w:p>
        </w:tc>
      </w:tr>
      <w:tr w:rsidR="00B318C0" w14:paraId="67B09154" w14:textId="77777777">
        <w:tc>
          <w:tcPr>
            <w:tcW w:w="2549" w:type="dxa"/>
            <w:shd w:val="clear" w:color="auto" w:fill="auto"/>
          </w:tcPr>
          <w:p w14:paraId="7627803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“Progress Meeting Frequency“</w:t>
            </w:r>
          </w:p>
        </w:tc>
        <w:tc>
          <w:tcPr>
            <w:tcW w:w="7229" w:type="dxa"/>
            <w:shd w:val="clear" w:color="auto" w:fill="auto"/>
          </w:tcPr>
          <w:p w14:paraId="646DE9D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frequency at which the Supplier shall conduct a Progress Meeting in accordance with Clause 6.1 as specified in the Order Form;</w:t>
            </w:r>
          </w:p>
        </w:tc>
      </w:tr>
      <w:tr w:rsidR="00B318C0" w14:paraId="155E989E" w14:textId="77777777">
        <w:tc>
          <w:tcPr>
            <w:tcW w:w="2549" w:type="dxa"/>
            <w:shd w:val="clear" w:color="auto" w:fill="auto"/>
          </w:tcPr>
          <w:p w14:paraId="7BC4348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“Progress Report”</w:t>
            </w:r>
          </w:p>
        </w:tc>
        <w:tc>
          <w:tcPr>
            <w:tcW w:w="7229" w:type="dxa"/>
            <w:shd w:val="clear" w:color="auto" w:fill="auto"/>
          </w:tcPr>
          <w:p w14:paraId="311F35C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report provided by the Supplier indicating the steps taken to achieve Milestones or Delivery dates;</w:t>
            </w:r>
          </w:p>
        </w:tc>
      </w:tr>
      <w:tr w:rsidR="00B318C0" w14:paraId="6D0F088B" w14:textId="77777777">
        <w:tc>
          <w:tcPr>
            <w:tcW w:w="2549" w:type="dxa"/>
            <w:shd w:val="clear" w:color="auto" w:fill="auto"/>
          </w:tcPr>
          <w:p w14:paraId="691194E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“Progress Report Frequency”</w:t>
            </w:r>
          </w:p>
        </w:tc>
        <w:tc>
          <w:tcPr>
            <w:tcW w:w="7229" w:type="dxa"/>
            <w:shd w:val="clear" w:color="auto" w:fill="auto"/>
          </w:tcPr>
          <w:p w14:paraId="628A41E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frequency at which the Supplier shall deliver Progress Reports in accordance with Clause 6.1 as specified in the Order Form;</w:t>
            </w:r>
          </w:p>
        </w:tc>
      </w:tr>
      <w:tr w:rsidR="00B318C0" w14:paraId="45F044F3" w14:textId="77777777">
        <w:tc>
          <w:tcPr>
            <w:tcW w:w="2549" w:type="dxa"/>
            <w:shd w:val="clear" w:color="auto" w:fill="auto"/>
          </w:tcPr>
          <w:p w14:paraId="74C79D3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“Prohibited Acts”</w:t>
            </w:r>
          </w:p>
        </w:tc>
        <w:tc>
          <w:tcPr>
            <w:tcW w:w="7229" w:type="dxa"/>
            <w:shd w:val="clear" w:color="auto" w:fill="auto"/>
          </w:tcPr>
          <w:p w14:paraId="28E7A718" w14:textId="77777777" w:rsidR="00B318C0" w:rsidRDefault="00DA5A17">
            <w:pPr>
              <w:numPr>
                <w:ilvl w:val="1"/>
                <w:numId w:val="29"/>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to directly or indirectly offer, promise or give any person working for or engaged by a Buyer or any other public body a financial or other advantage to:</w:t>
            </w:r>
          </w:p>
          <w:p w14:paraId="5A020248" w14:textId="77777777" w:rsidR="00B318C0" w:rsidRDefault="00DA5A17">
            <w:pPr>
              <w:numPr>
                <w:ilvl w:val="2"/>
                <w:numId w:val="29"/>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Pr>
                <w:rFonts w:ascii="Arial" w:eastAsia="Arial" w:hAnsi="Arial" w:cs="Arial"/>
                <w:color w:val="000000"/>
                <w:sz w:val="22"/>
                <w:szCs w:val="22"/>
              </w:rPr>
              <w:t>induce that person to perform improperly a relevant function or activity; or</w:t>
            </w:r>
          </w:p>
          <w:p w14:paraId="1A1E77B3" w14:textId="77777777" w:rsidR="00B318C0" w:rsidRDefault="00DA5A17">
            <w:pPr>
              <w:numPr>
                <w:ilvl w:val="2"/>
                <w:numId w:val="29"/>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Pr>
                <w:rFonts w:ascii="Arial" w:eastAsia="Arial" w:hAnsi="Arial" w:cs="Arial"/>
                <w:color w:val="000000"/>
                <w:sz w:val="22"/>
                <w:szCs w:val="22"/>
              </w:rPr>
              <w:t xml:space="preserve">reward that person for improper performance of a relevant function or activity; </w:t>
            </w:r>
          </w:p>
          <w:p w14:paraId="1DE2C4F4" w14:textId="77777777" w:rsidR="00B318C0" w:rsidRDefault="00DA5A17">
            <w:pPr>
              <w:numPr>
                <w:ilvl w:val="1"/>
                <w:numId w:val="29"/>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to directly or indirectly request, agree to receive or accept any financial or other advantage as an inducement or a reward for improper performance of a relevant function or activity in connection with each Contract; or</w:t>
            </w:r>
          </w:p>
          <w:p w14:paraId="1FAA7D97" w14:textId="77777777" w:rsidR="00B318C0" w:rsidRDefault="00DA5A17">
            <w:pPr>
              <w:numPr>
                <w:ilvl w:val="1"/>
                <w:numId w:val="29"/>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committing any offence:</w:t>
            </w:r>
          </w:p>
          <w:p w14:paraId="6AA0BF21" w14:textId="77777777" w:rsidR="00B318C0" w:rsidRDefault="00DA5A17">
            <w:pPr>
              <w:numPr>
                <w:ilvl w:val="2"/>
                <w:numId w:val="29"/>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Pr>
                <w:rFonts w:ascii="Arial" w:eastAsia="Arial" w:hAnsi="Arial" w:cs="Arial"/>
                <w:color w:val="000000"/>
                <w:sz w:val="22"/>
                <w:szCs w:val="22"/>
              </w:rPr>
              <w:t>under the Bribery Act 2010 (or any legislation repealed or revoked by such Act); or</w:t>
            </w:r>
          </w:p>
          <w:p w14:paraId="33D13473" w14:textId="77777777" w:rsidR="00B318C0" w:rsidRDefault="00DA5A17">
            <w:pPr>
              <w:numPr>
                <w:ilvl w:val="2"/>
                <w:numId w:val="29"/>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Pr>
                <w:rFonts w:ascii="Arial" w:eastAsia="Arial" w:hAnsi="Arial" w:cs="Arial"/>
                <w:color w:val="000000"/>
                <w:sz w:val="22"/>
                <w:szCs w:val="22"/>
              </w:rPr>
              <w:t>under legislation or common law concerning fraudulent acts; or</w:t>
            </w:r>
          </w:p>
          <w:p w14:paraId="7BD5E2FC" w14:textId="77777777" w:rsidR="00B318C0" w:rsidRDefault="00DA5A17">
            <w:pPr>
              <w:numPr>
                <w:ilvl w:val="2"/>
                <w:numId w:val="29"/>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Pr>
                <w:rFonts w:ascii="Arial" w:eastAsia="Arial" w:hAnsi="Arial" w:cs="Arial"/>
                <w:color w:val="000000"/>
                <w:sz w:val="22"/>
                <w:szCs w:val="22"/>
              </w:rPr>
              <w:t xml:space="preserve">defrauding, attempting to defraud or conspiring to defraud a Buyer or other public body; or </w:t>
            </w:r>
          </w:p>
          <w:p w14:paraId="5771DB20" w14:textId="77777777" w:rsidR="00B318C0" w:rsidRDefault="00DA5A17">
            <w:pPr>
              <w:numPr>
                <w:ilvl w:val="1"/>
                <w:numId w:val="29"/>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Pr>
                <w:rFonts w:ascii="Arial" w:eastAsia="Arial" w:hAnsi="Arial" w:cs="Arial"/>
                <w:color w:val="000000"/>
                <w:sz w:val="22"/>
                <w:szCs w:val="22"/>
              </w:rPr>
              <w:t>any activity, practice or conduct which would constitute one of the offences listed under (c) above if such activity, practice or conduct had been carried out in the UK;</w:t>
            </w:r>
          </w:p>
        </w:tc>
      </w:tr>
      <w:tr w:rsidR="00B318C0" w14:paraId="04852689" w14:textId="77777777">
        <w:tc>
          <w:tcPr>
            <w:tcW w:w="2549" w:type="dxa"/>
            <w:shd w:val="clear" w:color="auto" w:fill="auto"/>
          </w:tcPr>
          <w:p w14:paraId="2D91EE7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“Protective Measures”</w:t>
            </w:r>
          </w:p>
        </w:tc>
        <w:tc>
          <w:tcPr>
            <w:tcW w:w="7229" w:type="dxa"/>
            <w:shd w:val="clear" w:color="auto" w:fill="auto"/>
          </w:tcPr>
          <w:p w14:paraId="52759941"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appropriate technical and organisational measures which may include: </w:t>
            </w:r>
            <w:r>
              <w:rPr>
                <w:rFonts w:ascii="Arial" w:eastAsia="Arial" w:hAnsi="Arial" w:cs="Arial"/>
                <w:sz w:val="22"/>
                <w:szCs w:val="22"/>
              </w:rPr>
              <w:t>pseudonymisation</w:t>
            </w:r>
            <w:r>
              <w:rPr>
                <w:rFonts w:ascii="Arial" w:eastAsia="Arial" w:hAnsi="Arial" w:cs="Arial"/>
                <w:color w:val="000000"/>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9A (Security) or Call-Off 9B (MOD Security), if applicable, in the case of a Call-Off Contract;</w:t>
            </w:r>
          </w:p>
        </w:tc>
      </w:tr>
      <w:tr w:rsidR="00B318C0" w14:paraId="0690F9DA" w14:textId="77777777">
        <w:tc>
          <w:tcPr>
            <w:tcW w:w="2549" w:type="dxa"/>
            <w:shd w:val="clear" w:color="auto" w:fill="auto"/>
          </w:tcPr>
          <w:p w14:paraId="03241A0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“Recipient Party”</w:t>
            </w:r>
          </w:p>
        </w:tc>
        <w:tc>
          <w:tcPr>
            <w:tcW w:w="7229" w:type="dxa"/>
            <w:shd w:val="clear" w:color="auto" w:fill="auto"/>
          </w:tcPr>
          <w:p w14:paraId="1B076A9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Party which receives or obtains directly or indirectly Confidential Information;</w:t>
            </w:r>
          </w:p>
        </w:tc>
      </w:tr>
      <w:tr w:rsidR="00B318C0" w14:paraId="09C50879" w14:textId="77777777">
        <w:tc>
          <w:tcPr>
            <w:tcW w:w="2549" w:type="dxa"/>
            <w:shd w:val="clear" w:color="auto" w:fill="auto"/>
          </w:tcPr>
          <w:p w14:paraId="02CDE64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“Rectification Plan”</w:t>
            </w:r>
          </w:p>
        </w:tc>
        <w:tc>
          <w:tcPr>
            <w:tcW w:w="7229" w:type="dxa"/>
            <w:shd w:val="clear" w:color="auto" w:fill="auto"/>
          </w:tcPr>
          <w:p w14:paraId="30071F1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Supplier’s plan (or revised plan) to rectify it’s breach using the template in Joint Schedule 10 (Rectification Plan) which shall include:</w:t>
            </w:r>
          </w:p>
          <w:p w14:paraId="1C404FCF" w14:textId="77777777" w:rsidR="00B318C0" w:rsidRDefault="00DA5A17">
            <w:pPr>
              <w:numPr>
                <w:ilvl w:val="1"/>
                <w:numId w:val="31"/>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Pr>
                <w:rFonts w:ascii="Arial" w:eastAsia="Arial" w:hAnsi="Arial" w:cs="Arial"/>
                <w:color w:val="000000"/>
                <w:sz w:val="22"/>
                <w:szCs w:val="22"/>
              </w:rPr>
              <w:t>full details of the Default that has occurred, including a root cause analysis;</w:t>
            </w:r>
          </w:p>
          <w:p w14:paraId="6A42873F" w14:textId="77777777" w:rsidR="00B318C0" w:rsidRDefault="00DA5A17">
            <w:pPr>
              <w:numPr>
                <w:ilvl w:val="1"/>
                <w:numId w:val="31"/>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Pr>
                <w:rFonts w:ascii="Arial" w:eastAsia="Arial" w:hAnsi="Arial" w:cs="Arial"/>
                <w:color w:val="000000"/>
                <w:sz w:val="22"/>
                <w:szCs w:val="22"/>
              </w:rPr>
              <w:t>the actual or anticipated effect of the Default; and</w:t>
            </w:r>
          </w:p>
          <w:p w14:paraId="154B6DEE" w14:textId="77777777" w:rsidR="00B318C0" w:rsidRDefault="00DA5A17">
            <w:pPr>
              <w:numPr>
                <w:ilvl w:val="1"/>
                <w:numId w:val="31"/>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Pr>
                <w:rFonts w:ascii="Arial" w:eastAsia="Arial" w:hAnsi="Arial" w:cs="Arial"/>
                <w:color w:val="000000"/>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B318C0" w14:paraId="3382DDBC" w14:textId="77777777">
        <w:tc>
          <w:tcPr>
            <w:tcW w:w="2549" w:type="dxa"/>
            <w:shd w:val="clear" w:color="auto" w:fill="auto"/>
          </w:tcPr>
          <w:p w14:paraId="66E2C89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“Rectification Plan Process”</w:t>
            </w:r>
          </w:p>
        </w:tc>
        <w:tc>
          <w:tcPr>
            <w:tcW w:w="7229" w:type="dxa"/>
            <w:shd w:val="clear" w:color="auto" w:fill="auto"/>
          </w:tcPr>
          <w:p w14:paraId="253669B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the process set out in Clause 10.3.1 to 10.3.4 (Rectification Plan Process); </w:t>
            </w:r>
          </w:p>
        </w:tc>
      </w:tr>
      <w:tr w:rsidR="00B318C0" w14:paraId="3459C9D4" w14:textId="77777777">
        <w:tc>
          <w:tcPr>
            <w:tcW w:w="2549" w:type="dxa"/>
            <w:shd w:val="clear" w:color="auto" w:fill="auto"/>
          </w:tcPr>
          <w:p w14:paraId="3E8154F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“Regulations”</w:t>
            </w:r>
          </w:p>
        </w:tc>
        <w:tc>
          <w:tcPr>
            <w:tcW w:w="7229" w:type="dxa"/>
            <w:shd w:val="clear" w:color="auto" w:fill="auto"/>
          </w:tcPr>
          <w:p w14:paraId="02A5F94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Public Contracts Regulations 2015 and/or the Public Contracts (Scotland) Regulations 2015 (as the context requires);</w:t>
            </w:r>
          </w:p>
        </w:tc>
      </w:tr>
      <w:tr w:rsidR="00B318C0" w14:paraId="61C53679" w14:textId="77777777">
        <w:tc>
          <w:tcPr>
            <w:tcW w:w="2549" w:type="dxa"/>
            <w:shd w:val="clear" w:color="auto" w:fill="auto"/>
          </w:tcPr>
          <w:p w14:paraId="73A08F1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“Reimbursable Expenses”</w:t>
            </w:r>
          </w:p>
        </w:tc>
        <w:tc>
          <w:tcPr>
            <w:tcW w:w="7229" w:type="dxa"/>
            <w:shd w:val="clear" w:color="auto" w:fill="auto"/>
          </w:tcPr>
          <w:p w14:paraId="719EB50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094C767" w14:textId="77777777" w:rsidR="00B318C0" w:rsidRDefault="00DA5A17">
            <w:pPr>
              <w:numPr>
                <w:ilvl w:val="1"/>
                <w:numId w:val="1"/>
              </w:numPr>
              <w:pBdr>
                <w:top w:val="nil"/>
                <w:left w:val="nil"/>
                <w:bottom w:val="nil"/>
                <w:right w:val="nil"/>
                <w:between w:val="nil"/>
              </w:pBdr>
              <w:tabs>
                <w:tab w:val="left" w:pos="174"/>
              </w:tabs>
              <w:spacing w:before="60" w:after="60"/>
              <w:ind w:left="708" w:right="144" w:hanging="534"/>
              <w:jc w:val="both"/>
              <w:rPr>
                <w:rFonts w:ascii="Arial" w:eastAsia="Arial" w:hAnsi="Arial" w:cs="Arial"/>
                <w:color w:val="000000"/>
                <w:sz w:val="22"/>
                <w:szCs w:val="22"/>
              </w:rPr>
            </w:pPr>
            <w:r>
              <w:rPr>
                <w:rFonts w:ascii="Arial" w:eastAsia="Arial" w:hAnsi="Arial" w:cs="Arial"/>
                <w:color w:val="000000"/>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6B2BB39" w14:textId="77777777" w:rsidR="00B318C0" w:rsidRDefault="00DA5A17">
            <w:pPr>
              <w:numPr>
                <w:ilvl w:val="1"/>
                <w:numId w:val="1"/>
              </w:numPr>
              <w:pBdr>
                <w:top w:val="nil"/>
                <w:left w:val="nil"/>
                <w:bottom w:val="nil"/>
                <w:right w:val="nil"/>
                <w:between w:val="nil"/>
              </w:pBdr>
              <w:tabs>
                <w:tab w:val="left" w:pos="174"/>
              </w:tabs>
              <w:spacing w:before="60" w:after="60"/>
              <w:ind w:left="708" w:right="144" w:hanging="534"/>
              <w:jc w:val="both"/>
              <w:rPr>
                <w:rFonts w:ascii="Arial" w:eastAsia="Arial" w:hAnsi="Arial" w:cs="Arial"/>
                <w:color w:val="000000"/>
                <w:sz w:val="22"/>
                <w:szCs w:val="22"/>
              </w:rPr>
            </w:pPr>
            <w:r>
              <w:rPr>
                <w:rFonts w:ascii="Arial" w:eastAsia="Arial" w:hAnsi="Arial" w:cs="Arial"/>
                <w:color w:val="000000"/>
                <w:sz w:val="22"/>
                <w:szCs w:val="22"/>
              </w:rPr>
              <w:t>subsistence expenses incurred by Supplier Staff whilst performing the Services at their usual place of work, or to and from the premises at which the Services are principally to be performed;</w:t>
            </w:r>
          </w:p>
        </w:tc>
      </w:tr>
      <w:tr w:rsidR="00B318C0" w14:paraId="5507AEA9" w14:textId="77777777">
        <w:tc>
          <w:tcPr>
            <w:tcW w:w="2549" w:type="dxa"/>
            <w:shd w:val="clear" w:color="auto" w:fill="auto"/>
          </w:tcPr>
          <w:p w14:paraId="65C7A5B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“Relevant Authority”</w:t>
            </w:r>
          </w:p>
        </w:tc>
        <w:tc>
          <w:tcPr>
            <w:tcW w:w="7229" w:type="dxa"/>
            <w:shd w:val="clear" w:color="auto" w:fill="auto"/>
          </w:tcPr>
          <w:p w14:paraId="372D043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Authority which is party to the Contract to which a right or obligation is owed, as the context requires;</w:t>
            </w:r>
          </w:p>
        </w:tc>
      </w:tr>
      <w:tr w:rsidR="00B318C0" w14:paraId="7C8225E9" w14:textId="77777777">
        <w:tc>
          <w:tcPr>
            <w:tcW w:w="2549" w:type="dxa"/>
          </w:tcPr>
          <w:p w14:paraId="22C46CD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rPr>
              <w:t>“Relevant Authority's Confidential Information”</w:t>
            </w:r>
          </w:p>
        </w:tc>
        <w:tc>
          <w:tcPr>
            <w:tcW w:w="7229" w:type="dxa"/>
          </w:tcPr>
          <w:p w14:paraId="648FB5EA" w14:textId="77777777" w:rsidR="00B318C0" w:rsidRDefault="00DA5A17">
            <w:pPr>
              <w:numPr>
                <w:ilvl w:val="1"/>
                <w:numId w:val="3"/>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rPr>
              <w:t>all Personal Data and any information, however it is conveyed, that relates to the business, affairs, developments, property rights, trade secrets, Know-How and IPR of the Relevant Authority (including all Relevant Authority Existing IPR and New IPR);</w:t>
            </w:r>
          </w:p>
          <w:p w14:paraId="7842B4FC" w14:textId="77777777" w:rsidR="00B318C0" w:rsidRDefault="00DA5A17">
            <w:pPr>
              <w:numPr>
                <w:ilvl w:val="1"/>
                <w:numId w:val="3"/>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22625BA" w14:textId="77777777" w:rsidR="00B318C0" w:rsidRDefault="00DA5A17">
            <w:pPr>
              <w:numPr>
                <w:ilvl w:val="1"/>
                <w:numId w:val="3"/>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Pr>
                <w:rFonts w:ascii="Arial" w:eastAsia="Arial" w:hAnsi="Arial" w:cs="Arial"/>
                <w:color w:val="000000"/>
              </w:rPr>
              <w:t>information derived from any of the above;</w:t>
            </w:r>
          </w:p>
        </w:tc>
      </w:tr>
      <w:tr w:rsidR="00B318C0" w14:paraId="10880B3B" w14:textId="77777777">
        <w:tc>
          <w:tcPr>
            <w:tcW w:w="2549" w:type="dxa"/>
            <w:shd w:val="clear" w:color="auto" w:fill="auto"/>
          </w:tcPr>
          <w:p w14:paraId="27F557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“Relevant   Requirements”</w:t>
            </w:r>
          </w:p>
        </w:tc>
        <w:tc>
          <w:tcPr>
            <w:tcW w:w="7229" w:type="dxa"/>
            <w:shd w:val="clear" w:color="auto" w:fill="auto"/>
          </w:tcPr>
          <w:p w14:paraId="0A2D8D0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all applicable Law relating to bribery, corruption and fraud, including the Bribery Act 2010 and any guidance issued by the Secretary of State pursuant to section 9 of the Bribery Act 2010;</w:t>
            </w:r>
          </w:p>
        </w:tc>
      </w:tr>
      <w:tr w:rsidR="00B318C0" w14:paraId="7FF021F7" w14:textId="77777777">
        <w:tc>
          <w:tcPr>
            <w:tcW w:w="2549" w:type="dxa"/>
            <w:shd w:val="clear" w:color="auto" w:fill="auto"/>
          </w:tcPr>
          <w:p w14:paraId="4E23871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“Relevant Tax Authority”</w:t>
            </w:r>
          </w:p>
        </w:tc>
        <w:tc>
          <w:tcPr>
            <w:tcW w:w="7229" w:type="dxa"/>
            <w:shd w:val="clear" w:color="auto" w:fill="auto"/>
          </w:tcPr>
          <w:p w14:paraId="4401463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HMRC, or, if applicable, the tax authority in the jurisdiction in which the Supplier is established;</w:t>
            </w:r>
          </w:p>
        </w:tc>
      </w:tr>
      <w:tr w:rsidR="00B318C0" w14:paraId="73BF8F01" w14:textId="77777777">
        <w:tc>
          <w:tcPr>
            <w:tcW w:w="2549" w:type="dxa"/>
            <w:shd w:val="clear" w:color="auto" w:fill="auto"/>
          </w:tcPr>
          <w:p w14:paraId="3A540D72"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“Reminder Notice”</w:t>
            </w:r>
          </w:p>
        </w:tc>
        <w:tc>
          <w:tcPr>
            <w:tcW w:w="7229" w:type="dxa"/>
            <w:shd w:val="clear" w:color="auto" w:fill="auto"/>
          </w:tcPr>
          <w:p w14:paraId="4594AD0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 notice sent in accordance with Clause 10.5 given by the Supplier to the Buyer providing notification that payment has not been received on time; </w:t>
            </w:r>
          </w:p>
        </w:tc>
      </w:tr>
      <w:tr w:rsidR="00B318C0" w14:paraId="273C8A41" w14:textId="77777777">
        <w:tc>
          <w:tcPr>
            <w:tcW w:w="2549" w:type="dxa"/>
            <w:shd w:val="clear" w:color="auto" w:fill="auto"/>
          </w:tcPr>
          <w:p w14:paraId="16DE1DE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“Replacement Deliverables”</w:t>
            </w:r>
          </w:p>
        </w:tc>
        <w:tc>
          <w:tcPr>
            <w:tcW w:w="7229" w:type="dxa"/>
            <w:shd w:val="clear" w:color="auto" w:fill="auto"/>
          </w:tcPr>
          <w:p w14:paraId="622E59EB"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B318C0" w14:paraId="431A1C30" w14:textId="77777777">
        <w:tc>
          <w:tcPr>
            <w:tcW w:w="2549" w:type="dxa"/>
            <w:shd w:val="clear" w:color="auto" w:fill="auto"/>
          </w:tcPr>
          <w:p w14:paraId="5890991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“Replacement Subcontractor”</w:t>
            </w:r>
          </w:p>
        </w:tc>
        <w:tc>
          <w:tcPr>
            <w:tcW w:w="7229" w:type="dxa"/>
            <w:shd w:val="clear" w:color="auto" w:fill="auto"/>
          </w:tcPr>
          <w:p w14:paraId="3E4DA0A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 xml:space="preserve">a Subcontractor of the Replacement Supplier to whom Transferring Supplier Employees will transfer on a Service Transfer Date (or any Subcontractor of any such Subcontractor); </w:t>
            </w:r>
          </w:p>
        </w:tc>
      </w:tr>
      <w:tr w:rsidR="00B318C0" w14:paraId="77CFEDCF" w14:textId="77777777">
        <w:tc>
          <w:tcPr>
            <w:tcW w:w="2549" w:type="dxa"/>
            <w:shd w:val="clear" w:color="auto" w:fill="auto"/>
          </w:tcPr>
          <w:p w14:paraId="5BB8234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“Replacement Supplier”</w:t>
            </w:r>
          </w:p>
        </w:tc>
        <w:tc>
          <w:tcPr>
            <w:tcW w:w="7229" w:type="dxa"/>
            <w:shd w:val="clear" w:color="auto" w:fill="auto"/>
          </w:tcPr>
          <w:p w14:paraId="422DF2F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B318C0" w14:paraId="261C5DAA" w14:textId="77777777">
        <w:tc>
          <w:tcPr>
            <w:tcW w:w="2549" w:type="dxa"/>
            <w:shd w:val="clear" w:color="auto" w:fill="auto"/>
          </w:tcPr>
          <w:p w14:paraId="7EE321D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“Request For Information”</w:t>
            </w:r>
          </w:p>
        </w:tc>
        <w:tc>
          <w:tcPr>
            <w:tcW w:w="7229" w:type="dxa"/>
            <w:shd w:val="clear" w:color="auto" w:fill="auto"/>
          </w:tcPr>
          <w:p w14:paraId="6A96613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request for information or an apparent request relating to a Contract for the provision of the Deliverables or an apparent request for such information under the FOIA or the EIRs;</w:t>
            </w:r>
          </w:p>
        </w:tc>
      </w:tr>
      <w:tr w:rsidR="00B318C0" w14:paraId="7D41EBA0" w14:textId="77777777">
        <w:tc>
          <w:tcPr>
            <w:tcW w:w="2549" w:type="dxa"/>
            <w:shd w:val="clear" w:color="auto" w:fill="auto"/>
          </w:tcPr>
          <w:p w14:paraId="2941FEB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“Required Insurances”</w:t>
            </w:r>
          </w:p>
        </w:tc>
        <w:tc>
          <w:tcPr>
            <w:tcW w:w="7229" w:type="dxa"/>
            <w:shd w:val="clear" w:color="auto" w:fill="auto"/>
          </w:tcPr>
          <w:p w14:paraId="63D4FEDA"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rPr>
              <w:t>the insurances required by Joint Schedule 3 (Insurance Requirements) or any Additional Insurances specified in the Order Form</w:t>
            </w:r>
            <w:r>
              <w:rPr>
                <w:rFonts w:ascii="Arial" w:eastAsia="Arial" w:hAnsi="Arial" w:cs="Arial"/>
                <w:color w:val="000000"/>
                <w:sz w:val="22"/>
                <w:szCs w:val="22"/>
              </w:rPr>
              <w:t xml:space="preserve">; </w:t>
            </w:r>
          </w:p>
        </w:tc>
      </w:tr>
      <w:tr w:rsidR="00B318C0" w14:paraId="0E2F62DA" w14:textId="77777777">
        <w:tc>
          <w:tcPr>
            <w:tcW w:w="2549" w:type="dxa"/>
            <w:shd w:val="clear" w:color="auto" w:fill="auto"/>
          </w:tcPr>
          <w:p w14:paraId="64F951A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“Security Management Plan”</w:t>
            </w:r>
          </w:p>
        </w:tc>
        <w:tc>
          <w:tcPr>
            <w:tcW w:w="7229" w:type="dxa"/>
            <w:shd w:val="clear" w:color="auto" w:fill="auto"/>
          </w:tcPr>
          <w:p w14:paraId="4BBF8A74"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 xml:space="preserve">the Supplier's security management plan prepared pursuant to Call-Off Schedule 9A (Security) or the Call-Off Schedule 9B (MOD Security) (if applicable); </w:t>
            </w:r>
          </w:p>
        </w:tc>
      </w:tr>
      <w:tr w:rsidR="00B318C0" w14:paraId="2EC786AF" w14:textId="77777777">
        <w:tc>
          <w:tcPr>
            <w:tcW w:w="2549" w:type="dxa"/>
            <w:shd w:val="clear" w:color="auto" w:fill="auto"/>
          </w:tcPr>
          <w:p w14:paraId="4AF00F7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“Security Policy”</w:t>
            </w:r>
          </w:p>
        </w:tc>
        <w:tc>
          <w:tcPr>
            <w:tcW w:w="7229" w:type="dxa"/>
            <w:shd w:val="clear" w:color="auto" w:fill="auto"/>
          </w:tcPr>
          <w:p w14:paraId="768D88D7"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the Buyer's security policy, referred to in the Order Form, in force as at the Call-Off Start Date (a copy of which has been supplied to the Supplier), as updated from time to time and notified to the Supplier;</w:t>
            </w:r>
          </w:p>
        </w:tc>
      </w:tr>
      <w:tr w:rsidR="00B318C0" w14:paraId="10C159B1" w14:textId="77777777">
        <w:tc>
          <w:tcPr>
            <w:tcW w:w="2549" w:type="dxa"/>
            <w:shd w:val="clear" w:color="auto" w:fill="auto"/>
          </w:tcPr>
          <w:p w14:paraId="3786B4A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“Self Audit Certificate”</w:t>
            </w:r>
          </w:p>
        </w:tc>
        <w:tc>
          <w:tcPr>
            <w:tcW w:w="7229" w:type="dxa"/>
            <w:shd w:val="clear" w:color="auto" w:fill="auto"/>
          </w:tcPr>
          <w:p w14:paraId="45CE272A" w14:textId="77777777" w:rsidR="00B318C0" w:rsidRDefault="00DA5A17">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means the certificate in the form as set out in Framework Schedule 8 (Self Audit Certificate);</w:t>
            </w:r>
          </w:p>
        </w:tc>
      </w:tr>
      <w:tr w:rsidR="00B318C0" w14:paraId="074A6E0C" w14:textId="77777777">
        <w:tc>
          <w:tcPr>
            <w:tcW w:w="2549" w:type="dxa"/>
            <w:shd w:val="clear" w:color="auto" w:fill="auto"/>
          </w:tcPr>
          <w:p w14:paraId="649A903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“Serious Fraud Office”</w:t>
            </w:r>
          </w:p>
        </w:tc>
        <w:tc>
          <w:tcPr>
            <w:tcW w:w="7229" w:type="dxa"/>
            <w:shd w:val="clear" w:color="auto" w:fill="auto"/>
          </w:tcPr>
          <w:p w14:paraId="189AD783" w14:textId="77777777" w:rsidR="00B318C0" w:rsidRDefault="00DA5A17">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the UK Government body named as such as may be renamed or replaced by an equivalent body from time to time;</w:t>
            </w:r>
          </w:p>
        </w:tc>
      </w:tr>
      <w:tr w:rsidR="00B318C0" w14:paraId="73253E74" w14:textId="77777777">
        <w:tc>
          <w:tcPr>
            <w:tcW w:w="2549" w:type="dxa"/>
            <w:shd w:val="clear" w:color="auto" w:fill="auto"/>
          </w:tcPr>
          <w:p w14:paraId="4D6C715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“Service Credits”</w:t>
            </w:r>
          </w:p>
        </w:tc>
        <w:tc>
          <w:tcPr>
            <w:tcW w:w="7229" w:type="dxa"/>
            <w:shd w:val="clear" w:color="auto" w:fill="auto"/>
          </w:tcPr>
          <w:p w14:paraId="5444EC2C" w14:textId="77777777" w:rsidR="00B318C0" w:rsidRDefault="00DA5A17">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service credits specified in the Annex to Part A of Call-Off Schedule 14 (Service Levels) being payable by the Supplier to the Buyer in respect of any failure by the Supplier to meet one or more Service Levels;</w:t>
            </w:r>
          </w:p>
        </w:tc>
      </w:tr>
      <w:tr w:rsidR="00B318C0" w14:paraId="26CA85D0" w14:textId="77777777">
        <w:tc>
          <w:tcPr>
            <w:tcW w:w="2549" w:type="dxa"/>
            <w:shd w:val="clear" w:color="auto" w:fill="auto"/>
          </w:tcPr>
          <w:p w14:paraId="76D9EC9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“Service Levels”</w:t>
            </w:r>
          </w:p>
        </w:tc>
        <w:tc>
          <w:tcPr>
            <w:tcW w:w="7229" w:type="dxa"/>
            <w:shd w:val="clear" w:color="auto" w:fill="auto"/>
          </w:tcPr>
          <w:p w14:paraId="21572245"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service levels applicable to the provision of the Deliverables under the Call-Off Contract which are specified in the Annex to Part A of Call-Off Schedule 14 (Service Levels;</w:t>
            </w:r>
          </w:p>
        </w:tc>
      </w:tr>
      <w:tr w:rsidR="00B318C0" w14:paraId="5199E458" w14:textId="77777777">
        <w:tc>
          <w:tcPr>
            <w:tcW w:w="2549" w:type="dxa"/>
            <w:shd w:val="clear" w:color="auto" w:fill="auto"/>
          </w:tcPr>
          <w:p w14:paraId="427C40B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“Service Period”</w:t>
            </w:r>
          </w:p>
        </w:tc>
        <w:tc>
          <w:tcPr>
            <w:tcW w:w="7229" w:type="dxa"/>
            <w:shd w:val="clear" w:color="auto" w:fill="auto"/>
          </w:tcPr>
          <w:p w14:paraId="33CCC477"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has the meaning given to it in the Order Form;</w:t>
            </w:r>
          </w:p>
        </w:tc>
      </w:tr>
      <w:tr w:rsidR="00B318C0" w14:paraId="5F7C0E66" w14:textId="77777777">
        <w:tc>
          <w:tcPr>
            <w:tcW w:w="2549" w:type="dxa"/>
            <w:shd w:val="clear" w:color="auto" w:fill="auto"/>
          </w:tcPr>
          <w:p w14:paraId="17D9D90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“Services”</w:t>
            </w:r>
          </w:p>
        </w:tc>
        <w:tc>
          <w:tcPr>
            <w:tcW w:w="7229" w:type="dxa"/>
            <w:shd w:val="clear" w:color="auto" w:fill="auto"/>
          </w:tcPr>
          <w:p w14:paraId="1B672827"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services made available by the Supplier as specified in Framework Schedule 1 (Specification) and in relation to a Call-Off Contract as specified in the Order Form;</w:t>
            </w:r>
          </w:p>
        </w:tc>
      </w:tr>
      <w:tr w:rsidR="00B318C0" w14:paraId="291397A2" w14:textId="77777777">
        <w:tc>
          <w:tcPr>
            <w:tcW w:w="2549" w:type="dxa"/>
            <w:shd w:val="clear" w:color="auto" w:fill="auto"/>
          </w:tcPr>
          <w:p w14:paraId="35413BA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“Service Transfer”</w:t>
            </w:r>
          </w:p>
        </w:tc>
        <w:tc>
          <w:tcPr>
            <w:tcW w:w="7229" w:type="dxa"/>
            <w:shd w:val="clear" w:color="auto" w:fill="auto"/>
          </w:tcPr>
          <w:p w14:paraId="229AD615"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transfer of the Deliverables (or any part of the Deliverables), for whatever reason, from the Supplier or any Subcontractor to a Replacement Supplier or a Replacement Subcontractor;</w:t>
            </w:r>
          </w:p>
        </w:tc>
      </w:tr>
      <w:tr w:rsidR="00B318C0" w14:paraId="57F3788C" w14:textId="77777777">
        <w:tc>
          <w:tcPr>
            <w:tcW w:w="2549" w:type="dxa"/>
            <w:shd w:val="clear" w:color="auto" w:fill="auto"/>
          </w:tcPr>
          <w:p w14:paraId="6FACD79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highlight w:val="green"/>
              </w:rPr>
            </w:pPr>
            <w:r>
              <w:rPr>
                <w:rFonts w:ascii="Arial" w:eastAsia="Arial" w:hAnsi="Arial" w:cs="Arial"/>
                <w:b/>
                <w:color w:val="000000"/>
                <w:sz w:val="22"/>
                <w:szCs w:val="22"/>
              </w:rPr>
              <w:t>“Service Transfer Date”</w:t>
            </w:r>
          </w:p>
        </w:tc>
        <w:tc>
          <w:tcPr>
            <w:tcW w:w="7229" w:type="dxa"/>
            <w:shd w:val="clear" w:color="auto" w:fill="auto"/>
          </w:tcPr>
          <w:p w14:paraId="54D7054F"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date of a Service Transfer;</w:t>
            </w:r>
          </w:p>
        </w:tc>
      </w:tr>
      <w:tr w:rsidR="00B318C0" w14:paraId="42C8DD11" w14:textId="77777777">
        <w:tc>
          <w:tcPr>
            <w:tcW w:w="2549" w:type="dxa"/>
            <w:shd w:val="clear" w:color="auto" w:fill="auto"/>
          </w:tcPr>
          <w:p w14:paraId="32646C5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“Sites”</w:t>
            </w:r>
          </w:p>
        </w:tc>
        <w:tc>
          <w:tcPr>
            <w:tcW w:w="7229" w:type="dxa"/>
            <w:shd w:val="clear" w:color="auto" w:fill="auto"/>
          </w:tcPr>
          <w:p w14:paraId="519C8158"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any premises (including the Buyer Premises, the Supplier’s premises or third party premises) from, to or at which:</w:t>
            </w:r>
          </w:p>
          <w:p w14:paraId="7C1AFAF6" w14:textId="77777777" w:rsidR="00B318C0" w:rsidRDefault="00DA5A17">
            <w:pPr>
              <w:numPr>
                <w:ilvl w:val="1"/>
                <w:numId w:val="10"/>
              </w:numPr>
              <w:pBdr>
                <w:top w:val="nil"/>
                <w:left w:val="nil"/>
                <w:bottom w:val="nil"/>
                <w:right w:val="nil"/>
                <w:between w:val="nil"/>
              </w:pBdr>
              <w:spacing w:before="60" w:after="60"/>
              <w:ind w:left="565" w:right="144" w:hanging="391"/>
              <w:jc w:val="both"/>
              <w:rPr>
                <w:rFonts w:ascii="Arial" w:eastAsia="Arial" w:hAnsi="Arial" w:cs="Arial"/>
                <w:color w:val="000000"/>
                <w:sz w:val="22"/>
                <w:szCs w:val="22"/>
              </w:rPr>
            </w:pPr>
            <w:r>
              <w:rPr>
                <w:rFonts w:ascii="Arial" w:eastAsia="Arial" w:hAnsi="Arial" w:cs="Arial"/>
                <w:color w:val="000000"/>
                <w:sz w:val="22"/>
                <w:szCs w:val="22"/>
              </w:rPr>
              <w:t>the Deliverables are (or are to be) provided; or</w:t>
            </w:r>
          </w:p>
          <w:p w14:paraId="321AA215" w14:textId="77777777" w:rsidR="00B318C0" w:rsidRDefault="00DA5A17">
            <w:pPr>
              <w:numPr>
                <w:ilvl w:val="1"/>
                <w:numId w:val="10"/>
              </w:numPr>
              <w:pBdr>
                <w:top w:val="nil"/>
                <w:left w:val="nil"/>
                <w:bottom w:val="nil"/>
                <w:right w:val="nil"/>
                <w:between w:val="nil"/>
              </w:pBdr>
              <w:spacing w:before="60" w:after="60"/>
              <w:ind w:left="565" w:right="144" w:hanging="391"/>
              <w:jc w:val="both"/>
              <w:rPr>
                <w:rFonts w:ascii="Arial" w:eastAsia="Arial" w:hAnsi="Arial" w:cs="Arial"/>
                <w:color w:val="000000"/>
                <w:sz w:val="22"/>
                <w:szCs w:val="22"/>
              </w:rPr>
            </w:pPr>
            <w:r>
              <w:rPr>
                <w:rFonts w:ascii="Arial" w:eastAsia="Arial" w:hAnsi="Arial" w:cs="Arial"/>
                <w:color w:val="000000"/>
                <w:sz w:val="22"/>
                <w:szCs w:val="22"/>
              </w:rPr>
              <w:t>the Supplier manages, organises or otherwise directs the provision or the use of the Deliverables;</w:t>
            </w:r>
          </w:p>
        </w:tc>
      </w:tr>
      <w:tr w:rsidR="00B318C0" w14:paraId="0A3644AE" w14:textId="77777777">
        <w:trPr>
          <w:trHeight w:val="945"/>
        </w:trPr>
        <w:tc>
          <w:tcPr>
            <w:tcW w:w="2549" w:type="dxa"/>
            <w:shd w:val="clear" w:color="auto" w:fill="auto"/>
          </w:tcPr>
          <w:p w14:paraId="2ED59C0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“SME”</w:t>
            </w:r>
          </w:p>
        </w:tc>
        <w:tc>
          <w:tcPr>
            <w:tcW w:w="7229" w:type="dxa"/>
            <w:shd w:val="clear" w:color="auto" w:fill="auto"/>
          </w:tcPr>
          <w:p w14:paraId="53D0BED8"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 enterprise falling within the category of micro, small and medium sized enterprises defined by the Commission Recommendation of 6 May 2003 concerning the definition of micro, small and medium enterprises;</w:t>
            </w:r>
          </w:p>
        </w:tc>
      </w:tr>
      <w:tr w:rsidR="00B318C0" w14:paraId="115DCC62" w14:textId="77777777">
        <w:trPr>
          <w:trHeight w:val="615"/>
        </w:trPr>
        <w:tc>
          <w:tcPr>
            <w:tcW w:w="2549" w:type="dxa"/>
            <w:shd w:val="clear" w:color="auto" w:fill="auto"/>
          </w:tcPr>
          <w:p w14:paraId="5EF5836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“Special Terms”</w:t>
            </w:r>
          </w:p>
        </w:tc>
        <w:tc>
          <w:tcPr>
            <w:tcW w:w="7229" w:type="dxa"/>
            <w:shd w:val="clear" w:color="auto" w:fill="auto"/>
          </w:tcPr>
          <w:p w14:paraId="0BBDF49C"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additional Clauses set out in the Framework Award Form or Order Form which shall form part of the respective Contract;</w:t>
            </w:r>
          </w:p>
        </w:tc>
      </w:tr>
      <w:tr w:rsidR="00B318C0" w14:paraId="6EAE1B16" w14:textId="77777777">
        <w:trPr>
          <w:trHeight w:val="945"/>
        </w:trPr>
        <w:tc>
          <w:tcPr>
            <w:tcW w:w="2549" w:type="dxa"/>
            <w:shd w:val="clear" w:color="auto" w:fill="auto"/>
          </w:tcPr>
          <w:p w14:paraId="5676788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“Specific Change in Law”</w:t>
            </w:r>
          </w:p>
        </w:tc>
        <w:tc>
          <w:tcPr>
            <w:tcW w:w="7229" w:type="dxa"/>
            <w:shd w:val="clear" w:color="auto" w:fill="auto"/>
          </w:tcPr>
          <w:p w14:paraId="19FBDF31"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B318C0" w14:paraId="473C6D88" w14:textId="77777777">
        <w:trPr>
          <w:trHeight w:val="945"/>
        </w:trPr>
        <w:tc>
          <w:tcPr>
            <w:tcW w:w="2549" w:type="dxa"/>
            <w:shd w:val="clear" w:color="auto" w:fill="auto"/>
          </w:tcPr>
          <w:p w14:paraId="2852155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“Specification”</w:t>
            </w:r>
          </w:p>
        </w:tc>
        <w:tc>
          <w:tcPr>
            <w:tcW w:w="7229" w:type="dxa"/>
            <w:shd w:val="clear" w:color="auto" w:fill="auto"/>
          </w:tcPr>
          <w:p w14:paraId="7009E8FF"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 xml:space="preserve">the specification set out in Framework Schedule 1 (Specification) and in relation to a Call-Off Contract, Call-Off Schedule 20 (Call-Off Specification); </w:t>
            </w:r>
          </w:p>
        </w:tc>
      </w:tr>
      <w:tr w:rsidR="00B318C0" w14:paraId="09A7938C" w14:textId="77777777">
        <w:tc>
          <w:tcPr>
            <w:tcW w:w="2549" w:type="dxa"/>
            <w:shd w:val="clear" w:color="auto" w:fill="auto"/>
          </w:tcPr>
          <w:p w14:paraId="7442CDA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“Standards”</w:t>
            </w:r>
          </w:p>
        </w:tc>
        <w:tc>
          <w:tcPr>
            <w:tcW w:w="7229" w:type="dxa"/>
            <w:shd w:val="clear" w:color="auto" w:fill="auto"/>
          </w:tcPr>
          <w:p w14:paraId="41D851F1" w14:textId="77777777" w:rsidR="00B318C0" w:rsidRDefault="00DA5A17">
            <w:pPr>
              <w:pBdr>
                <w:top w:val="nil"/>
                <w:left w:val="nil"/>
                <w:bottom w:val="nil"/>
                <w:right w:val="nil"/>
                <w:between w:val="nil"/>
              </w:pBdr>
              <w:spacing w:before="60" w:after="60"/>
              <w:ind w:left="423" w:right="144" w:hanging="283"/>
              <w:jc w:val="both"/>
              <w:rPr>
                <w:rFonts w:ascii="Arial" w:eastAsia="Arial" w:hAnsi="Arial" w:cs="Arial"/>
                <w:color w:val="000000"/>
                <w:sz w:val="22"/>
                <w:szCs w:val="22"/>
              </w:rPr>
            </w:pPr>
            <w:r>
              <w:rPr>
                <w:rFonts w:ascii="Arial" w:eastAsia="Arial" w:hAnsi="Arial" w:cs="Arial"/>
                <w:color w:val="000000"/>
                <w:sz w:val="22"/>
                <w:szCs w:val="22"/>
              </w:rPr>
              <w:t>any:</w:t>
            </w:r>
          </w:p>
          <w:p w14:paraId="22CC4F1D" w14:textId="77777777" w:rsidR="00B318C0" w:rsidRDefault="00DA5A17">
            <w:pPr>
              <w:numPr>
                <w:ilvl w:val="1"/>
                <w:numId w:val="7"/>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03C6BB" w14:textId="77777777" w:rsidR="00B318C0" w:rsidRDefault="00DA5A17">
            <w:pPr>
              <w:numPr>
                <w:ilvl w:val="1"/>
                <w:numId w:val="7"/>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standards detailed in the specification in Schedule 1 (Specification);</w:t>
            </w:r>
          </w:p>
          <w:p w14:paraId="12EBBA72" w14:textId="77777777" w:rsidR="00B318C0" w:rsidRDefault="00DA5A17">
            <w:pPr>
              <w:numPr>
                <w:ilvl w:val="1"/>
                <w:numId w:val="7"/>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standards detailed by the Buyer in the Order Form or agreed between the Parties from time to time;</w:t>
            </w:r>
          </w:p>
          <w:p w14:paraId="785C57F7" w14:textId="77777777" w:rsidR="00B318C0" w:rsidRDefault="00DA5A17">
            <w:pPr>
              <w:numPr>
                <w:ilvl w:val="1"/>
                <w:numId w:val="7"/>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relevant Government codes of practice and guidance applicable from time to time;</w:t>
            </w:r>
          </w:p>
        </w:tc>
      </w:tr>
      <w:tr w:rsidR="00B318C0" w14:paraId="2691D97D" w14:textId="77777777">
        <w:tc>
          <w:tcPr>
            <w:tcW w:w="2549" w:type="dxa"/>
            <w:shd w:val="clear" w:color="auto" w:fill="auto"/>
          </w:tcPr>
          <w:p w14:paraId="7CD41C3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“Start Date”</w:t>
            </w:r>
          </w:p>
        </w:tc>
        <w:tc>
          <w:tcPr>
            <w:tcW w:w="7229" w:type="dxa"/>
            <w:shd w:val="clear" w:color="auto" w:fill="auto"/>
          </w:tcPr>
          <w:p w14:paraId="704BCA0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in the case of the Framework Contract, the date specified on the Framework Award Form, and in the case of a Call-Off Contract, the date specified in the Order Form;</w:t>
            </w:r>
          </w:p>
        </w:tc>
      </w:tr>
      <w:tr w:rsidR="00B318C0" w14:paraId="7D71F34F" w14:textId="77777777">
        <w:tc>
          <w:tcPr>
            <w:tcW w:w="2549" w:type="dxa"/>
            <w:shd w:val="clear" w:color="auto" w:fill="auto"/>
          </w:tcPr>
          <w:p w14:paraId="445168C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“Statement of Requirements”</w:t>
            </w:r>
          </w:p>
        </w:tc>
        <w:tc>
          <w:tcPr>
            <w:tcW w:w="7229" w:type="dxa"/>
            <w:shd w:val="clear" w:color="auto" w:fill="auto"/>
          </w:tcPr>
          <w:p w14:paraId="022C6D83"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a statement issued by the Buyer detailing its requirements in respect of Deliverables issued in accordance with the Call-Off Procedure;</w:t>
            </w:r>
          </w:p>
        </w:tc>
      </w:tr>
      <w:tr w:rsidR="00B318C0" w14:paraId="39BA704B" w14:textId="77777777">
        <w:tc>
          <w:tcPr>
            <w:tcW w:w="2549" w:type="dxa"/>
            <w:shd w:val="clear" w:color="auto" w:fill="auto"/>
          </w:tcPr>
          <w:p w14:paraId="17900AC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“Storage Media”</w:t>
            </w:r>
          </w:p>
        </w:tc>
        <w:tc>
          <w:tcPr>
            <w:tcW w:w="7229" w:type="dxa"/>
            <w:shd w:val="clear" w:color="auto" w:fill="auto"/>
          </w:tcPr>
          <w:p w14:paraId="0BFB10A6" w14:textId="77777777" w:rsidR="00B318C0" w:rsidRDefault="00DA5A17">
            <w:pPr>
              <w:pBdr>
                <w:top w:val="nil"/>
                <w:left w:val="nil"/>
                <w:bottom w:val="nil"/>
                <w:right w:val="nil"/>
                <w:between w:val="nil"/>
              </w:pBdr>
              <w:spacing w:before="60" w:after="60"/>
              <w:ind w:left="423" w:right="144" w:hanging="283"/>
              <w:jc w:val="both"/>
              <w:rPr>
                <w:rFonts w:ascii="Arial" w:eastAsia="Arial" w:hAnsi="Arial" w:cs="Arial"/>
                <w:color w:val="000000"/>
                <w:sz w:val="22"/>
                <w:szCs w:val="22"/>
              </w:rPr>
            </w:pPr>
            <w:r>
              <w:rPr>
                <w:rFonts w:ascii="Arial" w:eastAsia="Arial" w:hAnsi="Arial" w:cs="Arial"/>
                <w:color w:val="000000"/>
                <w:sz w:val="22"/>
                <w:szCs w:val="22"/>
              </w:rPr>
              <w:t>the part of any device that is capable of storing and retrieving data;</w:t>
            </w:r>
          </w:p>
        </w:tc>
      </w:tr>
      <w:tr w:rsidR="00B318C0" w14:paraId="418AA092" w14:textId="77777777">
        <w:tc>
          <w:tcPr>
            <w:tcW w:w="2549" w:type="dxa"/>
            <w:shd w:val="clear" w:color="auto" w:fill="auto"/>
          </w:tcPr>
          <w:p w14:paraId="4072CBB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“Sub-Contract”</w:t>
            </w:r>
          </w:p>
        </w:tc>
        <w:tc>
          <w:tcPr>
            <w:tcW w:w="7229" w:type="dxa"/>
            <w:shd w:val="clear" w:color="auto" w:fill="auto"/>
          </w:tcPr>
          <w:p w14:paraId="0EFEA0A6"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contract or agreement (or proposed contract or agreement), other than a Call-Off Contract or the Framework Contract, pursuant to which a third party:</w:t>
            </w:r>
          </w:p>
          <w:p w14:paraId="5965C05E" w14:textId="77777777" w:rsidR="00B318C0" w:rsidRDefault="00DA5A17">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Pr>
                <w:rFonts w:ascii="Arial" w:eastAsia="Arial" w:hAnsi="Arial" w:cs="Arial"/>
                <w:color w:val="000000"/>
                <w:sz w:val="22"/>
                <w:szCs w:val="22"/>
              </w:rPr>
              <w:t>provides the Deliverables (or any part of them);</w:t>
            </w:r>
          </w:p>
          <w:p w14:paraId="2F91BB9A" w14:textId="77777777" w:rsidR="00B318C0" w:rsidRDefault="00DA5A17">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Pr>
                <w:rFonts w:ascii="Arial" w:eastAsia="Arial" w:hAnsi="Arial" w:cs="Arial"/>
                <w:color w:val="000000"/>
                <w:sz w:val="22"/>
                <w:szCs w:val="22"/>
              </w:rPr>
              <w:lastRenderedPageBreak/>
              <w:t>provides facilities or services necessary for the provision of the Deliverables (or any part of them); and/or</w:t>
            </w:r>
          </w:p>
          <w:p w14:paraId="04D6DA8A" w14:textId="77777777" w:rsidR="00B318C0" w:rsidRDefault="00DA5A17">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Pr>
                <w:rFonts w:ascii="Arial" w:eastAsia="Arial" w:hAnsi="Arial" w:cs="Arial"/>
                <w:color w:val="000000"/>
                <w:sz w:val="22"/>
                <w:szCs w:val="22"/>
              </w:rPr>
              <w:t>is responsible for the management, direction or control of the provision of the Deliverables (or any part of them);</w:t>
            </w:r>
          </w:p>
        </w:tc>
      </w:tr>
      <w:tr w:rsidR="00B318C0" w14:paraId="155A30E1" w14:textId="77777777">
        <w:tc>
          <w:tcPr>
            <w:tcW w:w="2549" w:type="dxa"/>
            <w:shd w:val="clear" w:color="auto" w:fill="auto"/>
          </w:tcPr>
          <w:p w14:paraId="7E3EE2F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“Subcontractor”</w:t>
            </w:r>
          </w:p>
        </w:tc>
        <w:tc>
          <w:tcPr>
            <w:tcW w:w="7229" w:type="dxa"/>
            <w:shd w:val="clear" w:color="auto" w:fill="auto"/>
          </w:tcPr>
          <w:p w14:paraId="4D962D71"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person other than the Supplier, who is a party to a Sub-Contract and the servants or agents of that person;</w:t>
            </w:r>
          </w:p>
        </w:tc>
      </w:tr>
      <w:tr w:rsidR="00B318C0" w14:paraId="5DF4AD9B" w14:textId="77777777">
        <w:tc>
          <w:tcPr>
            <w:tcW w:w="2549" w:type="dxa"/>
            <w:shd w:val="clear" w:color="auto" w:fill="auto"/>
          </w:tcPr>
          <w:p w14:paraId="4011DFA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“Subprocessor”</w:t>
            </w:r>
          </w:p>
        </w:tc>
        <w:tc>
          <w:tcPr>
            <w:tcW w:w="7229" w:type="dxa"/>
            <w:shd w:val="clear" w:color="auto" w:fill="auto"/>
          </w:tcPr>
          <w:p w14:paraId="08BD3707"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any third Party appointed to process Personal Data on behalf of that Processor related to a Contract;</w:t>
            </w:r>
          </w:p>
        </w:tc>
      </w:tr>
      <w:tr w:rsidR="00B318C0" w14:paraId="70D3B666" w14:textId="77777777">
        <w:tc>
          <w:tcPr>
            <w:tcW w:w="2549" w:type="dxa"/>
            <w:shd w:val="clear" w:color="auto" w:fill="auto"/>
          </w:tcPr>
          <w:p w14:paraId="0EB4F7A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sz w:val="22"/>
                <w:szCs w:val="22"/>
              </w:rPr>
              <w:t>“Super User”</w:t>
            </w:r>
          </w:p>
        </w:tc>
        <w:tc>
          <w:tcPr>
            <w:tcW w:w="7229" w:type="dxa"/>
            <w:shd w:val="clear" w:color="auto" w:fill="auto"/>
          </w:tcPr>
          <w:p w14:paraId="4F8D0A5F" w14:textId="77777777" w:rsidR="00B318C0" w:rsidRDefault="00DA5A17">
            <w:pP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 user confirmed by the Buyer in writing with special privileges needed to administer and maintain the system in accordance with the Contract;</w:t>
            </w:r>
          </w:p>
        </w:tc>
      </w:tr>
      <w:tr w:rsidR="00B318C0" w14:paraId="46C40016" w14:textId="77777777">
        <w:tc>
          <w:tcPr>
            <w:tcW w:w="2549" w:type="dxa"/>
            <w:shd w:val="clear" w:color="auto" w:fill="auto"/>
          </w:tcPr>
          <w:p w14:paraId="050969B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w:t>
            </w:r>
          </w:p>
        </w:tc>
        <w:tc>
          <w:tcPr>
            <w:tcW w:w="7229" w:type="dxa"/>
            <w:shd w:val="clear" w:color="auto" w:fill="auto"/>
          </w:tcPr>
          <w:p w14:paraId="5529FC61"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the person, firm or company identified in the Framework Award Form;</w:t>
            </w:r>
          </w:p>
        </w:tc>
      </w:tr>
      <w:tr w:rsidR="00B318C0" w14:paraId="34EFA505" w14:textId="77777777">
        <w:tc>
          <w:tcPr>
            <w:tcW w:w="2549" w:type="dxa"/>
            <w:shd w:val="clear" w:color="auto" w:fill="auto"/>
          </w:tcPr>
          <w:p w14:paraId="684426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System”</w:t>
            </w:r>
          </w:p>
        </w:tc>
        <w:tc>
          <w:tcPr>
            <w:tcW w:w="7229" w:type="dxa"/>
            <w:shd w:val="clear" w:color="auto" w:fill="auto"/>
          </w:tcPr>
          <w:p w14:paraId="1988ECC3"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B318C0" w14:paraId="10000444" w14:textId="77777777">
        <w:tc>
          <w:tcPr>
            <w:tcW w:w="2549" w:type="dxa"/>
            <w:shd w:val="clear" w:color="auto" w:fill="auto"/>
          </w:tcPr>
          <w:p w14:paraId="689A82C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Assets”</w:t>
            </w:r>
          </w:p>
        </w:tc>
        <w:tc>
          <w:tcPr>
            <w:tcW w:w="7229" w:type="dxa"/>
            <w:shd w:val="clear" w:color="auto" w:fill="auto"/>
          </w:tcPr>
          <w:p w14:paraId="0A984E49"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all assets and rights used by the Supplier to provide the Deliverables in accordance with the Call-Off Contract but excluding the Buyer Assets;</w:t>
            </w:r>
          </w:p>
        </w:tc>
      </w:tr>
      <w:tr w:rsidR="00B318C0" w14:paraId="66804182" w14:textId="77777777">
        <w:tc>
          <w:tcPr>
            <w:tcW w:w="2549" w:type="dxa"/>
            <w:shd w:val="clear" w:color="auto" w:fill="auto"/>
          </w:tcPr>
          <w:p w14:paraId="6BB04B9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Authorised Representative”</w:t>
            </w:r>
          </w:p>
        </w:tc>
        <w:tc>
          <w:tcPr>
            <w:tcW w:w="7229" w:type="dxa"/>
            <w:shd w:val="clear" w:color="auto" w:fill="auto"/>
          </w:tcPr>
          <w:p w14:paraId="6550C41C"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the representative appointed by the Supplier named in the Framework Award Form, or later defined in a Call-Off Contract;</w:t>
            </w:r>
          </w:p>
        </w:tc>
      </w:tr>
      <w:tr w:rsidR="00B318C0" w14:paraId="5E20A5E9" w14:textId="77777777">
        <w:tc>
          <w:tcPr>
            <w:tcW w:w="2549" w:type="dxa"/>
            <w:shd w:val="clear" w:color="auto" w:fill="auto"/>
          </w:tcPr>
          <w:p w14:paraId="615E022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“Supplier's Confidential Information“</w:t>
            </w:r>
          </w:p>
        </w:tc>
        <w:tc>
          <w:tcPr>
            <w:tcW w:w="7229" w:type="dxa"/>
            <w:shd w:val="clear" w:color="auto" w:fill="auto"/>
          </w:tcPr>
          <w:p w14:paraId="6E864C0A" w14:textId="77777777" w:rsidR="00B318C0" w:rsidRDefault="00DA5A17">
            <w:pPr>
              <w:numPr>
                <w:ilvl w:val="1"/>
                <w:numId w:val="15"/>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 xml:space="preserve">any information, however it is conveyed, that relates to the business, affairs, developments, IPR of the Supplier (including the Supplier Existing IPR) trade secrets, Know-How, and/or personnel of the Supplier; </w:t>
            </w:r>
          </w:p>
          <w:p w14:paraId="312017B7" w14:textId="77777777" w:rsidR="00B318C0" w:rsidRDefault="00DA5A17">
            <w:pPr>
              <w:numPr>
                <w:ilvl w:val="1"/>
                <w:numId w:val="15"/>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73A9987" w14:textId="77777777" w:rsidR="00B318C0" w:rsidRDefault="00DA5A17">
            <w:pPr>
              <w:numPr>
                <w:ilvl w:val="1"/>
                <w:numId w:val="15"/>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information derived from any of (a) and (b) above;</w:t>
            </w:r>
          </w:p>
        </w:tc>
      </w:tr>
      <w:tr w:rsidR="00B318C0" w14:paraId="20028245" w14:textId="77777777">
        <w:tc>
          <w:tcPr>
            <w:tcW w:w="2549" w:type="dxa"/>
            <w:shd w:val="clear" w:color="auto" w:fill="auto"/>
          </w:tcPr>
          <w:p w14:paraId="2589BBA1"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“Supplier's Contract Manager“</w:t>
            </w:r>
          </w:p>
        </w:tc>
        <w:tc>
          <w:tcPr>
            <w:tcW w:w="7229" w:type="dxa"/>
            <w:shd w:val="clear" w:color="auto" w:fill="auto"/>
          </w:tcPr>
          <w:p w14:paraId="2FEFDD1E"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B318C0" w14:paraId="46297721" w14:textId="77777777">
        <w:tc>
          <w:tcPr>
            <w:tcW w:w="2549" w:type="dxa"/>
            <w:shd w:val="clear" w:color="auto" w:fill="auto"/>
          </w:tcPr>
          <w:p w14:paraId="1B4C57A7"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Equipment”</w:t>
            </w:r>
          </w:p>
        </w:tc>
        <w:tc>
          <w:tcPr>
            <w:tcW w:w="7229" w:type="dxa"/>
            <w:shd w:val="clear" w:color="auto" w:fill="auto"/>
          </w:tcPr>
          <w:p w14:paraId="5ACB5930" w14:textId="77777777" w:rsidR="00B318C0" w:rsidRDefault="00DA5A17">
            <w:pPr>
              <w:pBdr>
                <w:top w:val="nil"/>
                <w:left w:val="nil"/>
                <w:bottom w:val="nil"/>
                <w:right w:val="nil"/>
                <w:between w:val="nil"/>
              </w:pBdr>
              <w:tabs>
                <w:tab w:val="left" w:pos="-179"/>
                <w:tab w:val="left" w:pos="-9"/>
              </w:tabs>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B318C0" w14:paraId="24A422D5" w14:textId="77777777">
        <w:tc>
          <w:tcPr>
            <w:tcW w:w="2549" w:type="dxa"/>
            <w:shd w:val="clear" w:color="auto" w:fill="auto"/>
          </w:tcPr>
          <w:p w14:paraId="3FCC0E0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Marketing Contact”</w:t>
            </w:r>
          </w:p>
        </w:tc>
        <w:tc>
          <w:tcPr>
            <w:tcW w:w="7229" w:type="dxa"/>
            <w:shd w:val="clear" w:color="auto" w:fill="auto"/>
          </w:tcPr>
          <w:p w14:paraId="1242B846"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shall be the person identified in the Framework Award Form;</w:t>
            </w:r>
          </w:p>
        </w:tc>
      </w:tr>
      <w:tr w:rsidR="00B318C0" w14:paraId="3E34F020" w14:textId="77777777">
        <w:tc>
          <w:tcPr>
            <w:tcW w:w="2549" w:type="dxa"/>
            <w:shd w:val="clear" w:color="auto" w:fill="auto"/>
          </w:tcPr>
          <w:p w14:paraId="47D9113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Non-Performance”</w:t>
            </w:r>
          </w:p>
        </w:tc>
        <w:tc>
          <w:tcPr>
            <w:tcW w:w="7229" w:type="dxa"/>
            <w:shd w:val="clear" w:color="auto" w:fill="auto"/>
          </w:tcPr>
          <w:p w14:paraId="6D75F132" w14:textId="77777777" w:rsidR="00B318C0" w:rsidRDefault="00DA5A17">
            <w:pPr>
              <w:pBdr>
                <w:top w:val="nil"/>
                <w:left w:val="nil"/>
                <w:bottom w:val="nil"/>
                <w:right w:val="nil"/>
                <w:between w:val="nil"/>
              </w:pBdr>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where the Supplier has failed to:</w:t>
            </w:r>
          </w:p>
          <w:p w14:paraId="60B30E49" w14:textId="77777777" w:rsidR="00B318C0" w:rsidRDefault="00DA5A17">
            <w:pPr>
              <w:numPr>
                <w:ilvl w:val="1"/>
                <w:numId w:val="38"/>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Achieve a Milestone by its Milestone Date;</w:t>
            </w:r>
          </w:p>
          <w:p w14:paraId="503801ED" w14:textId="77777777" w:rsidR="00B318C0" w:rsidRDefault="00DA5A17">
            <w:pPr>
              <w:numPr>
                <w:ilvl w:val="1"/>
                <w:numId w:val="38"/>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provide the Goods and/or Services in accordance with the Service Levels; and/or</w:t>
            </w:r>
          </w:p>
          <w:p w14:paraId="0FAEC129" w14:textId="77777777" w:rsidR="00B318C0" w:rsidRDefault="00DA5A17">
            <w:pPr>
              <w:numPr>
                <w:ilvl w:val="1"/>
                <w:numId w:val="38"/>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Pr>
                <w:rFonts w:ascii="Arial" w:eastAsia="Arial" w:hAnsi="Arial" w:cs="Arial"/>
                <w:color w:val="000000"/>
                <w:sz w:val="22"/>
                <w:szCs w:val="22"/>
              </w:rPr>
              <w:t>comply with an obligation under a Contract;</w:t>
            </w:r>
          </w:p>
        </w:tc>
      </w:tr>
      <w:tr w:rsidR="00B318C0" w14:paraId="37575043" w14:textId="77777777">
        <w:tc>
          <w:tcPr>
            <w:tcW w:w="2549" w:type="dxa"/>
            <w:shd w:val="clear" w:color="auto" w:fill="auto"/>
          </w:tcPr>
          <w:p w14:paraId="0FECD83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“Supplier Profit”</w:t>
            </w:r>
          </w:p>
        </w:tc>
        <w:tc>
          <w:tcPr>
            <w:tcW w:w="7229" w:type="dxa"/>
            <w:shd w:val="clear" w:color="auto" w:fill="auto"/>
          </w:tcPr>
          <w:p w14:paraId="0C30631F"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B318C0" w14:paraId="4D0AA3B6" w14:textId="77777777">
        <w:tc>
          <w:tcPr>
            <w:tcW w:w="2549" w:type="dxa"/>
            <w:shd w:val="clear" w:color="auto" w:fill="auto"/>
          </w:tcPr>
          <w:p w14:paraId="2BAEF66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Profit Margin”</w:t>
            </w:r>
          </w:p>
        </w:tc>
        <w:tc>
          <w:tcPr>
            <w:tcW w:w="7229" w:type="dxa"/>
            <w:shd w:val="clear" w:color="auto" w:fill="auto"/>
          </w:tcPr>
          <w:p w14:paraId="72309680"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B318C0" w14:paraId="592C0CAC" w14:textId="77777777">
        <w:tc>
          <w:tcPr>
            <w:tcW w:w="2549" w:type="dxa"/>
            <w:shd w:val="clear" w:color="auto" w:fill="auto"/>
          </w:tcPr>
          <w:p w14:paraId="2C3756A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“Supplier Staff”</w:t>
            </w:r>
          </w:p>
        </w:tc>
        <w:tc>
          <w:tcPr>
            <w:tcW w:w="7229" w:type="dxa"/>
            <w:shd w:val="clear" w:color="auto" w:fill="auto"/>
          </w:tcPr>
          <w:p w14:paraId="62044731"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all directors, officers, employees, agents, consultants and contractors of the Supplier and/or of any Subcontractor engaged in the performance of the Supplier’s obligations under a Contract;</w:t>
            </w:r>
          </w:p>
        </w:tc>
      </w:tr>
      <w:tr w:rsidR="00B318C0" w14:paraId="1E605633" w14:textId="77777777">
        <w:tc>
          <w:tcPr>
            <w:tcW w:w="2549" w:type="dxa"/>
          </w:tcPr>
          <w:p w14:paraId="09EF159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“Supporting Documentation”</w:t>
            </w:r>
          </w:p>
        </w:tc>
        <w:tc>
          <w:tcPr>
            <w:tcW w:w="7229" w:type="dxa"/>
          </w:tcPr>
          <w:p w14:paraId="341B823E" w14:textId="77777777" w:rsidR="00B318C0" w:rsidRDefault="00DA5A17">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Pr>
                <w:rFonts w:ascii="Arial" w:eastAsia="Arial" w:hAnsi="Arial" w:cs="Arial"/>
                <w:color w:val="000000"/>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B318C0" w14:paraId="0F56D133" w14:textId="77777777">
        <w:tc>
          <w:tcPr>
            <w:tcW w:w="2549" w:type="dxa"/>
            <w:shd w:val="clear" w:color="auto" w:fill="auto"/>
          </w:tcPr>
          <w:p w14:paraId="70D7958D"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“Tax”</w:t>
            </w:r>
          </w:p>
        </w:tc>
        <w:tc>
          <w:tcPr>
            <w:tcW w:w="7229" w:type="dxa"/>
            <w:shd w:val="clear" w:color="auto" w:fill="auto"/>
          </w:tcPr>
          <w:p w14:paraId="199136D0" w14:textId="77777777" w:rsidR="00B318C0" w:rsidRDefault="00DA5A17">
            <w:pPr>
              <w:numPr>
                <w:ilvl w:val="0"/>
                <w:numId w:val="3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all forms of taxation whether direct or indirect;</w:t>
            </w:r>
          </w:p>
          <w:p w14:paraId="72F09550" w14:textId="77777777" w:rsidR="00B318C0" w:rsidRDefault="00DA5A17">
            <w:pPr>
              <w:numPr>
                <w:ilvl w:val="0"/>
                <w:numId w:val="3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National Insurance contributions in the United Kingdom and similar contributions or obligations in any other jurisdiction;</w:t>
            </w:r>
          </w:p>
          <w:p w14:paraId="129D1068" w14:textId="77777777" w:rsidR="00B318C0" w:rsidRDefault="00DA5A17">
            <w:pPr>
              <w:numPr>
                <w:ilvl w:val="0"/>
                <w:numId w:val="3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all statutory, governmental, state, federal, provincial, local government or municipal charges, duties, imports, contributions. levies or liabilities (other than in return for goods or services supplied or performed or to be performed) and withholdings; and</w:t>
            </w:r>
          </w:p>
          <w:p w14:paraId="2E8B2074" w14:textId="77777777" w:rsidR="00B318C0" w:rsidRDefault="00DA5A17">
            <w:pPr>
              <w:numPr>
                <w:ilvl w:val="0"/>
                <w:numId w:val="3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any penalty, fine, surcharge, interest, charges or costs relating to any of the above,</w:t>
            </w:r>
          </w:p>
          <w:p w14:paraId="2A68BE3C" w14:textId="77777777" w:rsidR="00B318C0" w:rsidRDefault="00DA5A17">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in each case wherever chargeable and whether of the United Kingdom and any other jurisdiction;</w:t>
            </w:r>
          </w:p>
        </w:tc>
      </w:tr>
      <w:tr w:rsidR="00B318C0" w14:paraId="2DE3E620" w14:textId="77777777">
        <w:tc>
          <w:tcPr>
            <w:tcW w:w="2549" w:type="dxa"/>
            <w:shd w:val="clear" w:color="auto" w:fill="auto"/>
          </w:tcPr>
          <w:p w14:paraId="10A45D5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“Termination Notice”</w:t>
            </w:r>
          </w:p>
        </w:tc>
        <w:tc>
          <w:tcPr>
            <w:tcW w:w="7229" w:type="dxa"/>
            <w:shd w:val="clear" w:color="auto" w:fill="auto"/>
          </w:tcPr>
          <w:p w14:paraId="0C9E3F02"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 written notice of termination given by one Party to the other, notifying the Party receiving the notice of the intention of the Party giving the notice to terminate a Contract on a specified date and setting out the grounds for termination;</w:t>
            </w:r>
          </w:p>
        </w:tc>
      </w:tr>
      <w:tr w:rsidR="00B318C0" w14:paraId="799D8385" w14:textId="77777777">
        <w:tc>
          <w:tcPr>
            <w:tcW w:w="2549" w:type="dxa"/>
            <w:shd w:val="clear" w:color="auto" w:fill="auto"/>
          </w:tcPr>
          <w:p w14:paraId="1B002E8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“Test Issue”</w:t>
            </w:r>
          </w:p>
        </w:tc>
        <w:tc>
          <w:tcPr>
            <w:tcW w:w="7229" w:type="dxa"/>
            <w:shd w:val="clear" w:color="auto" w:fill="auto"/>
          </w:tcPr>
          <w:p w14:paraId="7105766F"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any variance or non-conformity of the Deliverables from their requirements as set out in a Call-Off Contract;</w:t>
            </w:r>
          </w:p>
        </w:tc>
      </w:tr>
      <w:tr w:rsidR="00B318C0" w14:paraId="1B38B1E4" w14:textId="77777777">
        <w:tc>
          <w:tcPr>
            <w:tcW w:w="2549" w:type="dxa"/>
            <w:shd w:val="clear" w:color="auto" w:fill="auto"/>
          </w:tcPr>
          <w:p w14:paraId="2ACB879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“Test Plan”</w:t>
            </w:r>
          </w:p>
        </w:tc>
        <w:tc>
          <w:tcPr>
            <w:tcW w:w="7229" w:type="dxa"/>
            <w:shd w:val="clear" w:color="auto" w:fill="auto"/>
          </w:tcPr>
          <w:p w14:paraId="5D1E8D71"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 plan:</w:t>
            </w:r>
          </w:p>
          <w:p w14:paraId="7825081B" w14:textId="77777777" w:rsidR="00B318C0" w:rsidRDefault="00DA5A17">
            <w:pPr>
              <w:numPr>
                <w:ilvl w:val="0"/>
                <w:numId w:val="13"/>
              </w:numPr>
              <w:pBdr>
                <w:top w:val="nil"/>
                <w:left w:val="nil"/>
                <w:bottom w:val="nil"/>
                <w:right w:val="nil"/>
                <w:between w:val="nil"/>
              </w:pBdr>
              <w:spacing w:before="60" w:after="60" w:line="276" w:lineRule="auto"/>
              <w:ind w:left="707" w:right="142" w:hanging="567"/>
              <w:jc w:val="both"/>
              <w:rPr>
                <w:rFonts w:ascii="Arial" w:eastAsia="Arial" w:hAnsi="Arial" w:cs="Arial"/>
                <w:color w:val="000000"/>
                <w:sz w:val="22"/>
                <w:szCs w:val="22"/>
              </w:rPr>
            </w:pPr>
            <w:r>
              <w:rPr>
                <w:rFonts w:ascii="Arial" w:eastAsia="Arial" w:hAnsi="Arial" w:cs="Arial"/>
                <w:color w:val="000000"/>
                <w:sz w:val="22"/>
                <w:szCs w:val="22"/>
              </w:rPr>
              <w:t>for the Testing of the Deliverables; and</w:t>
            </w:r>
          </w:p>
          <w:p w14:paraId="3FB4EEC4" w14:textId="77777777" w:rsidR="00B318C0" w:rsidRDefault="00DA5A17">
            <w:pPr>
              <w:numPr>
                <w:ilvl w:val="0"/>
                <w:numId w:val="13"/>
              </w:numPr>
              <w:pBdr>
                <w:top w:val="nil"/>
                <w:left w:val="nil"/>
                <w:bottom w:val="nil"/>
                <w:right w:val="nil"/>
                <w:between w:val="nil"/>
              </w:pBdr>
              <w:spacing w:before="60" w:after="60" w:line="276" w:lineRule="auto"/>
              <w:ind w:left="707" w:right="142" w:hanging="567"/>
              <w:jc w:val="both"/>
              <w:rPr>
                <w:rFonts w:ascii="Arial" w:eastAsia="Arial" w:hAnsi="Arial" w:cs="Arial"/>
                <w:color w:val="000000"/>
                <w:sz w:val="22"/>
                <w:szCs w:val="22"/>
              </w:rPr>
            </w:pPr>
            <w:r>
              <w:rPr>
                <w:rFonts w:ascii="Arial" w:eastAsia="Arial" w:hAnsi="Arial" w:cs="Arial"/>
                <w:color w:val="000000"/>
                <w:sz w:val="22"/>
                <w:szCs w:val="22"/>
              </w:rPr>
              <w:t>setting out other agreed criteria related to the Achievement of Milestones;</w:t>
            </w:r>
          </w:p>
        </w:tc>
      </w:tr>
      <w:tr w:rsidR="00B318C0" w14:paraId="6E6E2685" w14:textId="77777777">
        <w:tc>
          <w:tcPr>
            <w:tcW w:w="2549" w:type="dxa"/>
            <w:shd w:val="clear" w:color="auto" w:fill="auto"/>
          </w:tcPr>
          <w:p w14:paraId="690D45C0"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“Tests”</w:t>
            </w:r>
          </w:p>
        </w:tc>
        <w:tc>
          <w:tcPr>
            <w:tcW w:w="7229" w:type="dxa"/>
            <w:shd w:val="clear" w:color="auto" w:fill="auto"/>
          </w:tcPr>
          <w:p w14:paraId="3D39D35B"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any tests required to be carried out pursuant to a Call-Off Contract as set out in the Test Plan or elsewhere in a Call-Off Contract and “</w:t>
            </w:r>
            <w:r>
              <w:rPr>
                <w:rFonts w:ascii="Arial" w:eastAsia="Arial" w:hAnsi="Arial" w:cs="Arial"/>
                <w:b/>
                <w:color w:val="000000"/>
                <w:sz w:val="22"/>
                <w:szCs w:val="22"/>
              </w:rPr>
              <w:t>Tested</w:t>
            </w:r>
            <w:r>
              <w:rPr>
                <w:rFonts w:ascii="Arial" w:eastAsia="Arial" w:hAnsi="Arial" w:cs="Arial"/>
                <w:color w:val="000000"/>
                <w:sz w:val="22"/>
                <w:szCs w:val="22"/>
              </w:rPr>
              <w:t>” and “</w:t>
            </w:r>
            <w:r>
              <w:rPr>
                <w:rFonts w:ascii="Arial" w:eastAsia="Arial" w:hAnsi="Arial" w:cs="Arial"/>
                <w:b/>
                <w:color w:val="000000"/>
                <w:sz w:val="22"/>
                <w:szCs w:val="22"/>
              </w:rPr>
              <w:t>Testing</w:t>
            </w:r>
            <w:r>
              <w:rPr>
                <w:rFonts w:ascii="Arial" w:eastAsia="Arial" w:hAnsi="Arial" w:cs="Arial"/>
                <w:color w:val="000000"/>
                <w:sz w:val="22"/>
                <w:szCs w:val="22"/>
              </w:rPr>
              <w:t>” shall be construed accordingly;</w:t>
            </w:r>
          </w:p>
        </w:tc>
      </w:tr>
      <w:tr w:rsidR="00B318C0" w14:paraId="5C63760F" w14:textId="77777777">
        <w:tc>
          <w:tcPr>
            <w:tcW w:w="2549" w:type="dxa"/>
            <w:shd w:val="clear" w:color="auto" w:fill="auto"/>
          </w:tcPr>
          <w:p w14:paraId="12C89BB4"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sz w:val="22"/>
                <w:szCs w:val="22"/>
              </w:rPr>
              <w:t>“</w:t>
            </w:r>
          </w:p>
        </w:tc>
        <w:tc>
          <w:tcPr>
            <w:tcW w:w="7229" w:type="dxa"/>
            <w:shd w:val="clear" w:color="auto" w:fill="auto"/>
          </w:tcPr>
          <w:p w14:paraId="350A04B5" w14:textId="77777777" w:rsidR="00B318C0" w:rsidRDefault="00B318C0">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p>
        </w:tc>
      </w:tr>
      <w:tr w:rsidR="00B318C0" w14:paraId="3AB486A2" w14:textId="77777777">
        <w:tc>
          <w:tcPr>
            <w:tcW w:w="2549" w:type="dxa"/>
            <w:shd w:val="clear" w:color="auto" w:fill="auto"/>
          </w:tcPr>
          <w:p w14:paraId="6EB50346"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“Third Party IPR”</w:t>
            </w:r>
          </w:p>
        </w:tc>
        <w:tc>
          <w:tcPr>
            <w:tcW w:w="7229" w:type="dxa"/>
            <w:shd w:val="clear" w:color="auto" w:fill="auto"/>
          </w:tcPr>
          <w:p w14:paraId="314B8EDD"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Intellectual Property Rights owned by a third party which is or will be used by the Supplier for the purpose of providing the Deliverables;</w:t>
            </w:r>
          </w:p>
        </w:tc>
      </w:tr>
      <w:tr w:rsidR="00B318C0" w14:paraId="654DADF2" w14:textId="77777777">
        <w:tc>
          <w:tcPr>
            <w:tcW w:w="2549" w:type="dxa"/>
            <w:shd w:val="clear" w:color="auto" w:fill="auto"/>
          </w:tcPr>
          <w:p w14:paraId="3A9DC03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“Transferring Supplier Employees”</w:t>
            </w:r>
          </w:p>
        </w:tc>
        <w:tc>
          <w:tcPr>
            <w:tcW w:w="7229" w:type="dxa"/>
            <w:shd w:val="clear" w:color="auto" w:fill="auto"/>
          </w:tcPr>
          <w:p w14:paraId="50E466EF"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those employees of the Supplier and/or the Supplier’s Subcontractors to whom the Employment Regulations will apply on the Service Transfer Date;</w:t>
            </w:r>
          </w:p>
        </w:tc>
      </w:tr>
      <w:tr w:rsidR="00B318C0" w14:paraId="52E6368C" w14:textId="77777777">
        <w:tc>
          <w:tcPr>
            <w:tcW w:w="2549" w:type="dxa"/>
            <w:shd w:val="clear" w:color="auto" w:fill="auto"/>
          </w:tcPr>
          <w:p w14:paraId="701715EC"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“Transparency Information”</w:t>
            </w:r>
          </w:p>
        </w:tc>
        <w:tc>
          <w:tcPr>
            <w:tcW w:w="7229" w:type="dxa"/>
            <w:shd w:val="clear" w:color="auto" w:fill="auto"/>
          </w:tcPr>
          <w:p w14:paraId="40B0E5FC"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the Transparency Reports and the content of a Contract, including any changes to this Contract agreed from time to time, except for:</w:t>
            </w:r>
          </w:p>
          <w:p w14:paraId="5D73DA13" w14:textId="77777777" w:rsidR="00B318C0" w:rsidRDefault="00DA5A17">
            <w:pPr>
              <w:numPr>
                <w:ilvl w:val="0"/>
                <w:numId w:val="16"/>
              </w:numPr>
              <w:pBdr>
                <w:top w:val="nil"/>
                <w:left w:val="nil"/>
                <w:bottom w:val="nil"/>
                <w:right w:val="nil"/>
                <w:between w:val="nil"/>
              </w:pBdr>
              <w:spacing w:before="60" w:after="60" w:line="276" w:lineRule="auto"/>
              <w:ind w:right="142" w:hanging="608"/>
              <w:jc w:val="both"/>
              <w:rPr>
                <w:rFonts w:ascii="Arial" w:eastAsia="Arial" w:hAnsi="Arial" w:cs="Arial"/>
                <w:color w:val="000000"/>
                <w:sz w:val="22"/>
                <w:szCs w:val="22"/>
              </w:rPr>
            </w:pPr>
            <w:r>
              <w:rPr>
                <w:rFonts w:ascii="Arial" w:eastAsia="Arial" w:hAnsi="Arial" w:cs="Arial"/>
                <w:color w:val="000000"/>
                <w:sz w:val="22"/>
                <w:szCs w:val="22"/>
              </w:rPr>
              <w:t>any information which is exempt from disclosure in accordance with the provisions of the FOIA, which shall be determined by the Relevant Authority; and</w:t>
            </w:r>
          </w:p>
          <w:p w14:paraId="4081E976" w14:textId="77777777" w:rsidR="00B318C0" w:rsidRDefault="00DA5A17">
            <w:pPr>
              <w:numPr>
                <w:ilvl w:val="0"/>
                <w:numId w:val="16"/>
              </w:numPr>
              <w:pBdr>
                <w:top w:val="nil"/>
                <w:left w:val="nil"/>
                <w:bottom w:val="nil"/>
                <w:right w:val="nil"/>
                <w:between w:val="nil"/>
              </w:pBdr>
              <w:spacing w:before="60" w:after="60" w:line="276" w:lineRule="auto"/>
              <w:ind w:right="142" w:hanging="608"/>
              <w:jc w:val="both"/>
              <w:rPr>
                <w:rFonts w:ascii="Arial" w:eastAsia="Arial" w:hAnsi="Arial" w:cs="Arial"/>
                <w:color w:val="000000"/>
                <w:sz w:val="22"/>
                <w:szCs w:val="22"/>
              </w:rPr>
            </w:pPr>
            <w:r>
              <w:rPr>
                <w:rFonts w:ascii="Arial" w:eastAsia="Arial" w:hAnsi="Arial" w:cs="Arial"/>
                <w:color w:val="000000"/>
                <w:sz w:val="22"/>
                <w:szCs w:val="22"/>
              </w:rPr>
              <w:t>Commercially Sensitive Information;</w:t>
            </w:r>
          </w:p>
        </w:tc>
      </w:tr>
      <w:tr w:rsidR="00B318C0" w14:paraId="75BD800F" w14:textId="77777777">
        <w:tc>
          <w:tcPr>
            <w:tcW w:w="2549" w:type="dxa"/>
            <w:shd w:val="clear" w:color="auto" w:fill="auto"/>
          </w:tcPr>
          <w:p w14:paraId="64C77B2A"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“Transparency Reports”</w:t>
            </w:r>
          </w:p>
        </w:tc>
        <w:tc>
          <w:tcPr>
            <w:tcW w:w="7229" w:type="dxa"/>
            <w:shd w:val="clear" w:color="auto" w:fill="auto"/>
          </w:tcPr>
          <w:p w14:paraId="53CCE016"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B318C0" w14:paraId="57DB93EB" w14:textId="77777777">
        <w:tc>
          <w:tcPr>
            <w:tcW w:w="2549" w:type="dxa"/>
            <w:shd w:val="clear" w:color="auto" w:fill="auto"/>
          </w:tcPr>
          <w:p w14:paraId="01E6B80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“Traveller”</w:t>
            </w:r>
          </w:p>
        </w:tc>
        <w:tc>
          <w:tcPr>
            <w:tcW w:w="7229" w:type="dxa"/>
            <w:shd w:val="clear" w:color="auto" w:fill="auto"/>
          </w:tcPr>
          <w:p w14:paraId="0B2E089C" w14:textId="77777777" w:rsidR="00B318C0" w:rsidRDefault="00DA5A17">
            <w:pPr>
              <w:numPr>
                <w:ilvl w:val="0"/>
                <w:numId w:val="30"/>
              </w:numPr>
              <w:pBdr>
                <w:top w:val="nil"/>
                <w:left w:val="nil"/>
                <w:bottom w:val="nil"/>
                <w:right w:val="nil"/>
                <w:between w:val="nil"/>
              </w:pBdr>
              <w:tabs>
                <w:tab w:val="left" w:pos="851"/>
              </w:tabs>
              <w:spacing w:before="60" w:after="60"/>
              <w:ind w:hanging="685"/>
              <w:rPr>
                <w:rFonts w:ascii="Arial" w:eastAsia="Arial" w:hAnsi="Arial" w:cs="Arial"/>
                <w:color w:val="000000"/>
                <w:sz w:val="22"/>
                <w:szCs w:val="22"/>
              </w:rPr>
            </w:pPr>
            <w:r>
              <w:rPr>
                <w:rFonts w:ascii="Arial" w:eastAsia="Arial" w:hAnsi="Arial" w:cs="Arial"/>
                <w:color w:val="000000"/>
                <w:sz w:val="22"/>
                <w:szCs w:val="22"/>
              </w:rPr>
              <w:t xml:space="preserve"> an employee, agent or representative of the Buyer; and/or</w:t>
            </w:r>
          </w:p>
          <w:p w14:paraId="000D0106" w14:textId="77777777" w:rsidR="00B318C0" w:rsidRDefault="00DA5A17">
            <w:pPr>
              <w:numPr>
                <w:ilvl w:val="0"/>
                <w:numId w:val="30"/>
              </w:numPr>
              <w:pBdr>
                <w:top w:val="nil"/>
                <w:left w:val="nil"/>
                <w:bottom w:val="nil"/>
                <w:right w:val="nil"/>
                <w:between w:val="nil"/>
              </w:pBdr>
              <w:spacing w:before="60" w:after="60"/>
              <w:ind w:hanging="685"/>
              <w:rPr>
                <w:rFonts w:ascii="Arial" w:eastAsia="Arial" w:hAnsi="Arial" w:cs="Arial"/>
                <w:color w:val="000000"/>
                <w:sz w:val="22"/>
                <w:szCs w:val="22"/>
              </w:rPr>
            </w:pPr>
            <w:r>
              <w:rPr>
                <w:rFonts w:ascii="Arial" w:eastAsia="Arial" w:hAnsi="Arial" w:cs="Arial"/>
                <w:color w:val="000000"/>
                <w:sz w:val="22"/>
                <w:szCs w:val="22"/>
              </w:rPr>
              <w:t>a pre-authorised guest (including members of the public and dependants),</w:t>
            </w:r>
          </w:p>
          <w:p w14:paraId="0DECFE11"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rPr>
            </w:pPr>
            <w:r>
              <w:rPr>
                <w:rFonts w:ascii="Arial" w:eastAsia="Arial" w:hAnsi="Arial" w:cs="Arial"/>
                <w:color w:val="000000"/>
                <w:sz w:val="22"/>
                <w:szCs w:val="22"/>
              </w:rPr>
              <w:t xml:space="preserve">who is or will be, named on the booking as the person travelling and/or using the Services; </w:t>
            </w:r>
          </w:p>
        </w:tc>
      </w:tr>
      <w:tr w:rsidR="00B318C0" w14:paraId="623E89CC" w14:textId="77777777">
        <w:tc>
          <w:tcPr>
            <w:tcW w:w="2549" w:type="dxa"/>
            <w:shd w:val="clear" w:color="auto" w:fill="auto"/>
          </w:tcPr>
          <w:p w14:paraId="1DC6725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t>“UK GDPR”</w:t>
            </w:r>
          </w:p>
        </w:tc>
        <w:tc>
          <w:tcPr>
            <w:tcW w:w="7229" w:type="dxa"/>
            <w:shd w:val="clear" w:color="auto" w:fill="auto"/>
          </w:tcPr>
          <w:p w14:paraId="611E4B60" w14:textId="77777777" w:rsidR="00B318C0" w:rsidRDefault="00DA5A17">
            <w:pPr>
              <w:pBdr>
                <w:top w:val="nil"/>
                <w:left w:val="nil"/>
                <w:bottom w:val="nil"/>
                <w:right w:val="nil"/>
                <w:between w:val="nil"/>
              </w:pBdr>
              <w:tabs>
                <w:tab w:val="left" w:pos="170"/>
              </w:tabs>
              <w:spacing w:before="60" w:after="60"/>
              <w:ind w:left="170" w:right="142"/>
              <w:jc w:val="both"/>
              <w:rPr>
                <w:color w:val="000000"/>
                <w:sz w:val="22"/>
                <w:szCs w:val="22"/>
              </w:rPr>
            </w:pPr>
            <w:r>
              <w:rPr>
                <w:rFonts w:ascii="Arial" w:eastAsia="Arial" w:hAnsi="Arial" w:cs="Arial"/>
                <w:color w:val="000000"/>
                <w:sz w:val="22"/>
                <w:szCs w:val="22"/>
              </w:rPr>
              <w:t>the retained EU law version of the General Data Protection Regulation (Regulation (EU) 2016/679);</w:t>
            </w:r>
          </w:p>
        </w:tc>
      </w:tr>
      <w:tr w:rsidR="00B318C0" w14:paraId="09EC844C" w14:textId="77777777">
        <w:tc>
          <w:tcPr>
            <w:tcW w:w="2549" w:type="dxa"/>
            <w:shd w:val="clear" w:color="auto" w:fill="auto"/>
          </w:tcPr>
          <w:p w14:paraId="143954D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“Variation”</w:t>
            </w:r>
          </w:p>
        </w:tc>
        <w:tc>
          <w:tcPr>
            <w:tcW w:w="7229" w:type="dxa"/>
            <w:shd w:val="clear" w:color="auto" w:fill="auto"/>
          </w:tcPr>
          <w:p w14:paraId="76788E00"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any change to a Contract;</w:t>
            </w:r>
          </w:p>
        </w:tc>
      </w:tr>
      <w:tr w:rsidR="00B318C0" w14:paraId="05C1EA29" w14:textId="77777777">
        <w:tc>
          <w:tcPr>
            <w:tcW w:w="2549" w:type="dxa"/>
            <w:shd w:val="clear" w:color="auto" w:fill="auto"/>
          </w:tcPr>
          <w:p w14:paraId="519C197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“Variation Form”</w:t>
            </w:r>
          </w:p>
        </w:tc>
        <w:tc>
          <w:tcPr>
            <w:tcW w:w="7229" w:type="dxa"/>
            <w:shd w:val="clear" w:color="auto" w:fill="auto"/>
          </w:tcPr>
          <w:p w14:paraId="6C8A03D5"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the form set out in Joint Schedule 2 (Variation Form);</w:t>
            </w:r>
          </w:p>
        </w:tc>
      </w:tr>
      <w:tr w:rsidR="00B318C0" w14:paraId="5CE2F84C" w14:textId="77777777">
        <w:tc>
          <w:tcPr>
            <w:tcW w:w="2549" w:type="dxa"/>
            <w:shd w:val="clear" w:color="auto" w:fill="auto"/>
          </w:tcPr>
          <w:p w14:paraId="7B40CA08"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“Variation Procedure”</w:t>
            </w:r>
          </w:p>
        </w:tc>
        <w:tc>
          <w:tcPr>
            <w:tcW w:w="7229" w:type="dxa"/>
            <w:shd w:val="clear" w:color="auto" w:fill="auto"/>
          </w:tcPr>
          <w:p w14:paraId="7F939C5F"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the procedure set out in Clause 24 (Changing the contract);</w:t>
            </w:r>
          </w:p>
        </w:tc>
      </w:tr>
      <w:tr w:rsidR="00B318C0" w14:paraId="6B87533D" w14:textId="77777777">
        <w:tc>
          <w:tcPr>
            <w:tcW w:w="2549" w:type="dxa"/>
            <w:shd w:val="clear" w:color="auto" w:fill="auto"/>
          </w:tcPr>
          <w:p w14:paraId="0A5C6B55"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“VAT”</w:t>
            </w:r>
          </w:p>
        </w:tc>
        <w:tc>
          <w:tcPr>
            <w:tcW w:w="7229" w:type="dxa"/>
            <w:shd w:val="clear" w:color="auto" w:fill="auto"/>
          </w:tcPr>
          <w:p w14:paraId="168E48B0"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value added tax in accordance with the provisions of the Value Added Tax Act 1994;</w:t>
            </w:r>
          </w:p>
        </w:tc>
      </w:tr>
      <w:tr w:rsidR="00B318C0" w14:paraId="1F65D527" w14:textId="77777777">
        <w:tc>
          <w:tcPr>
            <w:tcW w:w="2549" w:type="dxa"/>
            <w:shd w:val="clear" w:color="auto" w:fill="auto"/>
          </w:tcPr>
          <w:p w14:paraId="41913A0E"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“VCSE”</w:t>
            </w:r>
          </w:p>
        </w:tc>
        <w:tc>
          <w:tcPr>
            <w:tcW w:w="7229" w:type="dxa"/>
            <w:shd w:val="clear" w:color="auto" w:fill="auto"/>
          </w:tcPr>
          <w:p w14:paraId="7B6CFE54"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 non-governmental organisation that is value-driven and which principally reinvests its surpluses to further social, environmental or cultural objectives;</w:t>
            </w:r>
          </w:p>
        </w:tc>
      </w:tr>
      <w:tr w:rsidR="00B318C0" w14:paraId="520405FE" w14:textId="77777777">
        <w:tc>
          <w:tcPr>
            <w:tcW w:w="2549" w:type="dxa"/>
            <w:shd w:val="clear" w:color="auto" w:fill="auto"/>
          </w:tcPr>
          <w:p w14:paraId="20AEFDBB"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sz w:val="22"/>
                <w:szCs w:val="22"/>
              </w:rPr>
              <w:t>“Venue”</w:t>
            </w:r>
          </w:p>
        </w:tc>
        <w:tc>
          <w:tcPr>
            <w:tcW w:w="7229" w:type="dxa"/>
            <w:shd w:val="clear" w:color="auto" w:fill="auto"/>
          </w:tcPr>
          <w:p w14:paraId="7448AA20"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sz w:val="22"/>
                <w:szCs w:val="22"/>
              </w:rPr>
            </w:pPr>
            <w:r>
              <w:rPr>
                <w:rFonts w:ascii="Arial" w:eastAsia="Arial" w:hAnsi="Arial" w:cs="Arial"/>
                <w:sz w:val="22"/>
                <w:szCs w:val="22"/>
              </w:rPr>
              <w:t>a physical space which may be contracted for meetings, events, and/or accommodation. This may include but is not limited to:</w:t>
            </w:r>
          </w:p>
          <w:p w14:paraId="22B37A7F" w14:textId="77777777" w:rsidR="00B318C0" w:rsidRDefault="00DA5A17">
            <w:pPr>
              <w:numPr>
                <w:ilvl w:val="0"/>
                <w:numId w:val="4"/>
              </w:numPr>
              <w:pBdr>
                <w:top w:val="nil"/>
                <w:left w:val="nil"/>
                <w:bottom w:val="nil"/>
                <w:right w:val="nil"/>
                <w:between w:val="nil"/>
              </w:pBdr>
              <w:tabs>
                <w:tab w:val="left" w:pos="170"/>
              </w:tabs>
              <w:spacing w:before="60"/>
              <w:ind w:right="142"/>
              <w:jc w:val="both"/>
              <w:rPr>
                <w:rFonts w:ascii="Arial" w:eastAsia="Arial" w:hAnsi="Arial" w:cs="Arial"/>
                <w:sz w:val="22"/>
                <w:szCs w:val="22"/>
              </w:rPr>
            </w:pPr>
            <w:r>
              <w:rPr>
                <w:rFonts w:ascii="Arial" w:eastAsia="Arial" w:hAnsi="Arial" w:cs="Arial"/>
                <w:sz w:val="22"/>
                <w:szCs w:val="22"/>
              </w:rPr>
              <w:t xml:space="preserve">a vessel for accommodation purposes (Berthed or Anchored) (Chartered or Purchased) </w:t>
            </w:r>
          </w:p>
          <w:p w14:paraId="5A6F3121" w14:textId="77777777" w:rsidR="00B318C0" w:rsidRDefault="00DA5A17">
            <w:pPr>
              <w:numPr>
                <w:ilvl w:val="0"/>
                <w:numId w:val="4"/>
              </w:numPr>
              <w:pBdr>
                <w:top w:val="nil"/>
                <w:left w:val="nil"/>
                <w:bottom w:val="nil"/>
                <w:right w:val="nil"/>
                <w:between w:val="nil"/>
              </w:pBdr>
              <w:tabs>
                <w:tab w:val="left" w:pos="170"/>
              </w:tabs>
              <w:ind w:right="142"/>
              <w:jc w:val="both"/>
              <w:rPr>
                <w:rFonts w:ascii="Arial" w:eastAsia="Arial" w:hAnsi="Arial" w:cs="Arial"/>
                <w:sz w:val="22"/>
                <w:szCs w:val="22"/>
              </w:rPr>
            </w:pPr>
            <w:r>
              <w:rPr>
                <w:rFonts w:ascii="Arial" w:eastAsia="Arial" w:hAnsi="Arial" w:cs="Arial"/>
                <w:sz w:val="22"/>
                <w:szCs w:val="22"/>
              </w:rPr>
              <w:t>a hotel (including for exclusive use)</w:t>
            </w:r>
          </w:p>
          <w:p w14:paraId="76BC9467" w14:textId="77777777" w:rsidR="00B318C0" w:rsidRDefault="00DA5A17">
            <w:pPr>
              <w:numPr>
                <w:ilvl w:val="0"/>
                <w:numId w:val="4"/>
              </w:numPr>
              <w:pBdr>
                <w:top w:val="nil"/>
                <w:left w:val="nil"/>
                <w:bottom w:val="nil"/>
                <w:right w:val="nil"/>
                <w:between w:val="nil"/>
              </w:pBdr>
              <w:tabs>
                <w:tab w:val="left" w:pos="170"/>
              </w:tabs>
              <w:ind w:right="142"/>
              <w:jc w:val="both"/>
              <w:rPr>
                <w:rFonts w:ascii="Arial" w:eastAsia="Arial" w:hAnsi="Arial" w:cs="Arial"/>
                <w:sz w:val="22"/>
                <w:szCs w:val="22"/>
              </w:rPr>
            </w:pPr>
            <w:r>
              <w:rPr>
                <w:rFonts w:ascii="Arial" w:eastAsia="Arial" w:hAnsi="Arial" w:cs="Arial"/>
                <w:sz w:val="22"/>
                <w:szCs w:val="22"/>
              </w:rPr>
              <w:t>a holiday/caravan/camping park, resort or site</w:t>
            </w:r>
          </w:p>
          <w:p w14:paraId="3B963651" w14:textId="77777777" w:rsidR="00B318C0" w:rsidRDefault="00DA5A17">
            <w:pPr>
              <w:numPr>
                <w:ilvl w:val="0"/>
                <w:numId w:val="4"/>
              </w:numPr>
              <w:pBdr>
                <w:top w:val="nil"/>
                <w:left w:val="nil"/>
                <w:bottom w:val="nil"/>
                <w:right w:val="nil"/>
                <w:between w:val="nil"/>
              </w:pBdr>
              <w:tabs>
                <w:tab w:val="left" w:pos="170"/>
              </w:tabs>
              <w:ind w:right="142"/>
              <w:jc w:val="both"/>
              <w:rPr>
                <w:rFonts w:ascii="Arial" w:eastAsia="Arial" w:hAnsi="Arial" w:cs="Arial"/>
                <w:sz w:val="22"/>
                <w:szCs w:val="22"/>
              </w:rPr>
            </w:pPr>
            <w:r>
              <w:rPr>
                <w:rFonts w:ascii="Arial" w:eastAsia="Arial" w:hAnsi="Arial" w:cs="Arial"/>
                <w:sz w:val="22"/>
                <w:szCs w:val="22"/>
              </w:rPr>
              <w:t>commercial housing and apartments</w:t>
            </w:r>
          </w:p>
          <w:p w14:paraId="0CAEA7DB" w14:textId="77777777" w:rsidR="00B318C0" w:rsidRDefault="00DA5A17">
            <w:pPr>
              <w:numPr>
                <w:ilvl w:val="0"/>
                <w:numId w:val="4"/>
              </w:numPr>
              <w:pBdr>
                <w:top w:val="nil"/>
                <w:left w:val="nil"/>
                <w:bottom w:val="nil"/>
                <w:right w:val="nil"/>
                <w:between w:val="nil"/>
              </w:pBdr>
              <w:tabs>
                <w:tab w:val="left" w:pos="170"/>
              </w:tabs>
              <w:ind w:right="142"/>
              <w:jc w:val="both"/>
              <w:rPr>
                <w:rFonts w:ascii="Arial" w:eastAsia="Arial" w:hAnsi="Arial" w:cs="Arial"/>
                <w:sz w:val="22"/>
                <w:szCs w:val="22"/>
              </w:rPr>
            </w:pPr>
            <w:r>
              <w:rPr>
                <w:rFonts w:ascii="Arial" w:eastAsia="Arial" w:hAnsi="Arial" w:cs="Arial"/>
                <w:sz w:val="22"/>
                <w:szCs w:val="22"/>
              </w:rPr>
              <w:t>serviced apartments</w:t>
            </w:r>
          </w:p>
          <w:p w14:paraId="236A3BA6" w14:textId="77777777" w:rsidR="00B318C0" w:rsidRDefault="00DA5A17">
            <w:pPr>
              <w:numPr>
                <w:ilvl w:val="0"/>
                <w:numId w:val="4"/>
              </w:numPr>
              <w:pBdr>
                <w:top w:val="nil"/>
                <w:left w:val="nil"/>
                <w:bottom w:val="nil"/>
                <w:right w:val="nil"/>
                <w:between w:val="nil"/>
              </w:pBdr>
              <w:tabs>
                <w:tab w:val="left" w:pos="170"/>
              </w:tabs>
              <w:ind w:right="142"/>
              <w:jc w:val="both"/>
              <w:rPr>
                <w:rFonts w:ascii="Arial" w:eastAsia="Arial" w:hAnsi="Arial" w:cs="Arial"/>
                <w:sz w:val="22"/>
                <w:szCs w:val="22"/>
              </w:rPr>
            </w:pPr>
            <w:r>
              <w:rPr>
                <w:rFonts w:ascii="Arial" w:eastAsia="Arial" w:hAnsi="Arial" w:cs="Arial"/>
                <w:sz w:val="22"/>
                <w:szCs w:val="22"/>
              </w:rPr>
              <w:t>student accommodation</w:t>
            </w:r>
          </w:p>
          <w:p w14:paraId="3D7F26E5" w14:textId="77777777" w:rsidR="00B318C0" w:rsidRDefault="00DA5A17">
            <w:pPr>
              <w:numPr>
                <w:ilvl w:val="0"/>
                <w:numId w:val="4"/>
              </w:numPr>
              <w:pBdr>
                <w:top w:val="nil"/>
                <w:left w:val="nil"/>
                <w:bottom w:val="nil"/>
                <w:right w:val="nil"/>
                <w:between w:val="nil"/>
              </w:pBdr>
              <w:tabs>
                <w:tab w:val="left" w:pos="170"/>
              </w:tabs>
              <w:spacing w:after="60"/>
              <w:ind w:right="142"/>
              <w:jc w:val="both"/>
              <w:rPr>
                <w:rFonts w:ascii="Arial" w:eastAsia="Arial" w:hAnsi="Arial" w:cs="Arial"/>
                <w:sz w:val="22"/>
                <w:szCs w:val="22"/>
              </w:rPr>
            </w:pPr>
            <w:r>
              <w:rPr>
                <w:rFonts w:ascii="Arial" w:eastAsia="Arial" w:hAnsi="Arial" w:cs="Arial"/>
                <w:sz w:val="22"/>
                <w:szCs w:val="22"/>
              </w:rPr>
              <w:t>Any other Venue for Group Accommodation, including hostels and shelters</w:t>
            </w:r>
          </w:p>
        </w:tc>
      </w:tr>
      <w:tr w:rsidR="00E840DB" w14:paraId="6165CF95" w14:textId="77777777">
        <w:tc>
          <w:tcPr>
            <w:tcW w:w="2549" w:type="dxa"/>
            <w:shd w:val="clear" w:color="auto" w:fill="auto"/>
          </w:tcPr>
          <w:p w14:paraId="255E16EE" w14:textId="09AE0BC0" w:rsidR="00E840DB" w:rsidRDefault="00E840DB">
            <w:pPr>
              <w:pBdr>
                <w:top w:val="nil"/>
                <w:left w:val="nil"/>
                <w:bottom w:val="nil"/>
                <w:right w:val="nil"/>
                <w:between w:val="nil"/>
              </w:pBdr>
              <w:spacing w:before="60" w:after="60"/>
              <w:ind w:left="142" w:right="278"/>
              <w:rPr>
                <w:rFonts w:ascii="Arial" w:eastAsia="Arial" w:hAnsi="Arial" w:cs="Arial"/>
                <w:b/>
              </w:rPr>
            </w:pPr>
            <w:r>
              <w:rPr>
                <w:rFonts w:ascii="Arial" w:eastAsia="Arial" w:hAnsi="Arial" w:cs="Arial"/>
                <w:b/>
              </w:rPr>
              <w:t>“Wet-lease”</w:t>
            </w:r>
          </w:p>
        </w:tc>
        <w:tc>
          <w:tcPr>
            <w:tcW w:w="7229" w:type="dxa"/>
            <w:shd w:val="clear" w:color="auto" w:fill="auto"/>
          </w:tcPr>
          <w:p w14:paraId="25A260BC" w14:textId="3C5DB219" w:rsidR="00E840DB" w:rsidRDefault="00E840DB">
            <w:pPr>
              <w:pBdr>
                <w:top w:val="nil"/>
                <w:left w:val="nil"/>
                <w:bottom w:val="nil"/>
                <w:right w:val="nil"/>
                <w:between w:val="nil"/>
              </w:pBdr>
              <w:tabs>
                <w:tab w:val="left" w:pos="170"/>
              </w:tabs>
              <w:spacing w:before="60" w:after="60"/>
              <w:ind w:left="170" w:right="142"/>
              <w:jc w:val="both"/>
              <w:rPr>
                <w:rFonts w:ascii="Arial" w:eastAsia="Arial" w:hAnsi="Arial" w:cs="Arial"/>
              </w:rPr>
            </w:pPr>
            <w:r>
              <w:rPr>
                <w:rFonts w:ascii="Arial" w:hAnsi="Arial" w:cs="Arial"/>
                <w:color w:val="000000"/>
                <w:sz w:val="22"/>
                <w:szCs w:val="22"/>
              </w:rPr>
              <w:t>a charter agreement whereby Aircraft, Crew, Maintenance and Insurance are provided. For the purposes of this framework, ‘Wet-lease’ shall have the same meaning as ACMI.</w:t>
            </w:r>
          </w:p>
        </w:tc>
      </w:tr>
      <w:tr w:rsidR="00B318C0" w14:paraId="66F98BFC" w14:textId="77777777">
        <w:tc>
          <w:tcPr>
            <w:tcW w:w="2549" w:type="dxa"/>
            <w:shd w:val="clear" w:color="auto" w:fill="auto"/>
          </w:tcPr>
          <w:p w14:paraId="7F66C333"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“Worker”</w:t>
            </w:r>
          </w:p>
        </w:tc>
        <w:tc>
          <w:tcPr>
            <w:tcW w:w="7229" w:type="dxa"/>
            <w:shd w:val="clear" w:color="auto" w:fill="auto"/>
          </w:tcPr>
          <w:p w14:paraId="245B8B3E"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B318C0" w14:paraId="5D535527" w14:textId="77777777">
        <w:tc>
          <w:tcPr>
            <w:tcW w:w="2549" w:type="dxa"/>
            <w:shd w:val="clear" w:color="auto" w:fill="auto"/>
          </w:tcPr>
          <w:p w14:paraId="0E7C20C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“Working Day”</w:t>
            </w:r>
          </w:p>
        </w:tc>
        <w:tc>
          <w:tcPr>
            <w:tcW w:w="7229" w:type="dxa"/>
            <w:shd w:val="clear" w:color="auto" w:fill="auto"/>
          </w:tcPr>
          <w:p w14:paraId="4B036C02"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any day other than a Saturday or Sunday or public holiday in England and Wales unless specified otherwise by the Parties in the Order Form;</w:t>
            </w:r>
          </w:p>
        </w:tc>
      </w:tr>
      <w:tr w:rsidR="00B318C0" w14:paraId="08F65C24" w14:textId="77777777">
        <w:tc>
          <w:tcPr>
            <w:tcW w:w="2549" w:type="dxa"/>
            <w:shd w:val="clear" w:color="auto" w:fill="auto"/>
          </w:tcPr>
          <w:p w14:paraId="60F69D7F"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“Work Day”</w:t>
            </w:r>
          </w:p>
        </w:tc>
        <w:tc>
          <w:tcPr>
            <w:tcW w:w="7229" w:type="dxa"/>
            <w:shd w:val="clear" w:color="auto" w:fill="auto"/>
          </w:tcPr>
          <w:p w14:paraId="7004F34A"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7.5 Work Hours, whether or not such hours are worked consecutively and whether or not they are worked on the same day; and</w:t>
            </w:r>
          </w:p>
        </w:tc>
      </w:tr>
      <w:tr w:rsidR="00B318C0" w14:paraId="292686A6" w14:textId="77777777">
        <w:tc>
          <w:tcPr>
            <w:tcW w:w="2549" w:type="dxa"/>
            <w:shd w:val="clear" w:color="auto" w:fill="auto"/>
          </w:tcPr>
          <w:p w14:paraId="6E398719" w14:textId="77777777" w:rsidR="00B318C0" w:rsidRDefault="00DA5A17">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“Work Hours”</w:t>
            </w:r>
          </w:p>
        </w:tc>
        <w:tc>
          <w:tcPr>
            <w:tcW w:w="7229" w:type="dxa"/>
            <w:shd w:val="clear" w:color="auto" w:fill="auto"/>
          </w:tcPr>
          <w:p w14:paraId="3000C8DD" w14:textId="77777777" w:rsidR="00B318C0" w:rsidRDefault="00DA5A17">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Pr>
                <w:rFonts w:ascii="Arial" w:eastAsia="Arial" w:hAnsi="Arial" w:cs="Arial"/>
                <w:color w:val="000000"/>
                <w:sz w:val="22"/>
                <w:szCs w:val="22"/>
              </w:rPr>
              <w:t>the hours spent by the Supplier Staff properly working on the provision of the Deliverables including time spent travelling (other than to and from the Supplier's offices, or to and from the Sites) but excluding lunch breaks.</w:t>
            </w:r>
          </w:p>
        </w:tc>
      </w:tr>
    </w:tbl>
    <w:p w14:paraId="46086945" w14:textId="77777777" w:rsidR="00B318C0" w:rsidRDefault="00B318C0">
      <w:pPr>
        <w:spacing w:after="0" w:line="240" w:lineRule="auto"/>
        <w:rPr>
          <w:rFonts w:ascii="Arial" w:eastAsia="Arial" w:hAnsi="Arial" w:cs="Arial"/>
          <w:sz w:val="24"/>
          <w:szCs w:val="24"/>
        </w:rPr>
      </w:pPr>
      <w:bookmarkStart w:id="5" w:name="_heading=h.gjdgxs" w:colFirst="0" w:colLast="0"/>
      <w:bookmarkEnd w:id="5"/>
    </w:p>
    <w:sectPr w:rsidR="00B318C0">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89759" w14:textId="77777777" w:rsidR="006F4EF2" w:rsidRDefault="006F4EF2">
      <w:pPr>
        <w:spacing w:after="0" w:line="240" w:lineRule="auto"/>
      </w:pPr>
      <w:r>
        <w:separator/>
      </w:r>
    </w:p>
  </w:endnote>
  <w:endnote w:type="continuationSeparator" w:id="0">
    <w:p w14:paraId="05AD3C3F" w14:textId="77777777" w:rsidR="006F4EF2" w:rsidRDefault="006F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0C91" w14:textId="77777777" w:rsidR="00B318C0" w:rsidRDefault="00DA5A1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RM6342</w:t>
    </w:r>
  </w:p>
  <w:p w14:paraId="316EE115" w14:textId="2BCAFE2F" w:rsidR="00B318C0" w:rsidRDefault="00DA5A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74C4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5BDA445" w14:textId="77777777" w:rsidR="00B318C0" w:rsidRDefault="00DA5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52552" w14:textId="77777777" w:rsidR="00B318C0" w:rsidRDefault="00DA5A17">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23A57E14" w14:textId="77777777" w:rsidR="00B318C0" w:rsidRDefault="00DA5A1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1EE27D17" w14:textId="77777777" w:rsidR="00B318C0" w:rsidRDefault="00DA5A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C5B29" w14:textId="77777777" w:rsidR="006F4EF2" w:rsidRDefault="006F4EF2">
      <w:pPr>
        <w:spacing w:after="0" w:line="240" w:lineRule="auto"/>
      </w:pPr>
      <w:r>
        <w:separator/>
      </w:r>
    </w:p>
  </w:footnote>
  <w:footnote w:type="continuationSeparator" w:id="0">
    <w:p w14:paraId="53773CA8" w14:textId="77777777" w:rsidR="006F4EF2" w:rsidRDefault="006F4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21E0" w14:textId="77777777" w:rsidR="00B318C0" w:rsidRDefault="00DA5A1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25EB581B" w14:textId="77777777" w:rsidR="00B318C0" w:rsidRDefault="00DA5A17">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28469" w14:textId="77777777" w:rsidR="00B318C0" w:rsidRDefault="00DA5A17">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7BBE7872" w14:textId="77777777" w:rsidR="00B318C0" w:rsidRDefault="00DA5A1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FB4"/>
    <w:multiLevelType w:val="multilevel"/>
    <w:tmpl w:val="835267CC"/>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 w15:restartNumberingAfterBreak="0">
    <w:nsid w:val="04E573BB"/>
    <w:multiLevelType w:val="multilevel"/>
    <w:tmpl w:val="18D4CE98"/>
    <w:lvl w:ilvl="0">
      <w:start w:val="1"/>
      <w:numFmt w:val="lowerLetter"/>
      <w:pStyle w:val="GPSL2GuidanceNumbered"/>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E97C04"/>
    <w:multiLevelType w:val="multilevel"/>
    <w:tmpl w:val="10B44D4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2C7763"/>
    <w:multiLevelType w:val="multilevel"/>
    <w:tmpl w:val="A9A48F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0216E"/>
    <w:multiLevelType w:val="multilevel"/>
    <w:tmpl w:val="712AE9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00"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572A23"/>
    <w:multiLevelType w:val="multilevel"/>
    <w:tmpl w:val="75F6F6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C084C"/>
    <w:multiLevelType w:val="multilevel"/>
    <w:tmpl w:val="0B8660A0"/>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2EE6549"/>
    <w:multiLevelType w:val="multilevel"/>
    <w:tmpl w:val="FC9456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A04BFB"/>
    <w:multiLevelType w:val="multilevel"/>
    <w:tmpl w:val="1F0C59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B42B2E"/>
    <w:multiLevelType w:val="multilevel"/>
    <w:tmpl w:val="952098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41D1F"/>
    <w:multiLevelType w:val="multilevel"/>
    <w:tmpl w:val="AB38FD6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66B7B"/>
    <w:multiLevelType w:val="multilevel"/>
    <w:tmpl w:val="2C9489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9B7F3F"/>
    <w:multiLevelType w:val="multilevel"/>
    <w:tmpl w:val="AC16665E"/>
    <w:lvl w:ilvl="0">
      <w:start w:val="1"/>
      <w:numFmt w:val="decimal"/>
      <w:pStyle w:val="abcdDefini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3787180"/>
    <w:multiLevelType w:val="multilevel"/>
    <w:tmpl w:val="2A9636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C27F58"/>
    <w:multiLevelType w:val="multilevel"/>
    <w:tmpl w:val="2F8C81A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37A3160D"/>
    <w:multiLevelType w:val="multilevel"/>
    <w:tmpl w:val="4EBCD0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177C82"/>
    <w:multiLevelType w:val="multilevel"/>
    <w:tmpl w:val="A37A073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4B5553"/>
    <w:multiLevelType w:val="multilevel"/>
    <w:tmpl w:val="56CAE474"/>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793A54"/>
    <w:multiLevelType w:val="multilevel"/>
    <w:tmpl w:val="C7BAE6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346A81"/>
    <w:multiLevelType w:val="multilevel"/>
    <w:tmpl w:val="34480F22"/>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0" w15:restartNumberingAfterBreak="0">
    <w:nsid w:val="3BDD574B"/>
    <w:multiLevelType w:val="multilevel"/>
    <w:tmpl w:val="2AD0C1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8B3CC2"/>
    <w:multiLevelType w:val="multilevel"/>
    <w:tmpl w:val="2EF037D0"/>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2F3A23"/>
    <w:multiLevelType w:val="multilevel"/>
    <w:tmpl w:val="248ED0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494FD6"/>
    <w:multiLevelType w:val="multilevel"/>
    <w:tmpl w:val="14EAD6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113813"/>
    <w:multiLevelType w:val="multilevel"/>
    <w:tmpl w:val="F2AC37A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AB0E6B"/>
    <w:multiLevelType w:val="multilevel"/>
    <w:tmpl w:val="8DFC95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A53D1A"/>
    <w:multiLevelType w:val="multilevel"/>
    <w:tmpl w:val="C3F06A5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F92267"/>
    <w:multiLevelType w:val="multilevel"/>
    <w:tmpl w:val="E31682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0328F5"/>
    <w:multiLevelType w:val="multilevel"/>
    <w:tmpl w:val="0258246A"/>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00"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881FE5"/>
    <w:multiLevelType w:val="multilevel"/>
    <w:tmpl w:val="73BC67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857552"/>
    <w:multiLevelType w:val="multilevel"/>
    <w:tmpl w:val="1A3E0FE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15359C"/>
    <w:multiLevelType w:val="multilevel"/>
    <w:tmpl w:val="A328A4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4D6F07"/>
    <w:multiLevelType w:val="multilevel"/>
    <w:tmpl w:val="42EAA1D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9B51BF0"/>
    <w:multiLevelType w:val="multilevel"/>
    <w:tmpl w:val="D8968052"/>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4" w15:restartNumberingAfterBreak="0">
    <w:nsid w:val="6A2607D4"/>
    <w:multiLevelType w:val="multilevel"/>
    <w:tmpl w:val="229631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0F0139"/>
    <w:multiLevelType w:val="multilevel"/>
    <w:tmpl w:val="3656FD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B218DF"/>
    <w:multiLevelType w:val="multilevel"/>
    <w:tmpl w:val="D59E8E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3D2F27"/>
    <w:multiLevelType w:val="multilevel"/>
    <w:tmpl w:val="5ADAB4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BE3626"/>
    <w:multiLevelType w:val="multilevel"/>
    <w:tmpl w:val="F6D29A5E"/>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33"/>
  </w:num>
  <w:num w:numId="3">
    <w:abstractNumId w:val="9"/>
  </w:num>
  <w:num w:numId="4">
    <w:abstractNumId w:val="1"/>
  </w:num>
  <w:num w:numId="5">
    <w:abstractNumId w:val="4"/>
  </w:num>
  <w:num w:numId="6">
    <w:abstractNumId w:val="28"/>
  </w:num>
  <w:num w:numId="7">
    <w:abstractNumId w:val="21"/>
  </w:num>
  <w:num w:numId="8">
    <w:abstractNumId w:val="25"/>
  </w:num>
  <w:num w:numId="9">
    <w:abstractNumId w:val="29"/>
  </w:num>
  <w:num w:numId="10">
    <w:abstractNumId w:val="11"/>
  </w:num>
  <w:num w:numId="11">
    <w:abstractNumId w:val="18"/>
  </w:num>
  <w:num w:numId="12">
    <w:abstractNumId w:val="30"/>
  </w:num>
  <w:num w:numId="13">
    <w:abstractNumId w:val="0"/>
  </w:num>
  <w:num w:numId="14">
    <w:abstractNumId w:val="26"/>
  </w:num>
  <w:num w:numId="15">
    <w:abstractNumId w:val="2"/>
  </w:num>
  <w:num w:numId="16">
    <w:abstractNumId w:val="19"/>
  </w:num>
  <w:num w:numId="17">
    <w:abstractNumId w:val="32"/>
  </w:num>
  <w:num w:numId="18">
    <w:abstractNumId w:val="15"/>
  </w:num>
  <w:num w:numId="19">
    <w:abstractNumId w:val="24"/>
  </w:num>
  <w:num w:numId="20">
    <w:abstractNumId w:val="14"/>
  </w:num>
  <w:num w:numId="21">
    <w:abstractNumId w:val="22"/>
  </w:num>
  <w:num w:numId="22">
    <w:abstractNumId w:val="27"/>
  </w:num>
  <w:num w:numId="23">
    <w:abstractNumId w:val="7"/>
  </w:num>
  <w:num w:numId="24">
    <w:abstractNumId w:val="3"/>
  </w:num>
  <w:num w:numId="25">
    <w:abstractNumId w:val="35"/>
  </w:num>
  <w:num w:numId="26">
    <w:abstractNumId w:val="34"/>
  </w:num>
  <w:num w:numId="27">
    <w:abstractNumId w:val="5"/>
  </w:num>
  <w:num w:numId="28">
    <w:abstractNumId w:val="13"/>
  </w:num>
  <w:num w:numId="29">
    <w:abstractNumId w:val="37"/>
  </w:num>
  <w:num w:numId="30">
    <w:abstractNumId w:val="36"/>
  </w:num>
  <w:num w:numId="31">
    <w:abstractNumId w:val="31"/>
  </w:num>
  <w:num w:numId="32">
    <w:abstractNumId w:val="10"/>
  </w:num>
  <w:num w:numId="33">
    <w:abstractNumId w:val="6"/>
  </w:num>
  <w:num w:numId="34">
    <w:abstractNumId w:val="20"/>
  </w:num>
  <w:num w:numId="35">
    <w:abstractNumId w:val="23"/>
  </w:num>
  <w:num w:numId="36">
    <w:abstractNumId w:val="38"/>
  </w:num>
  <w:num w:numId="37">
    <w:abstractNumId w:val="16"/>
  </w:num>
  <w:num w:numId="38">
    <w:abstractNumId w:val="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C0"/>
    <w:rsid w:val="004D7BEC"/>
    <w:rsid w:val="006F4EF2"/>
    <w:rsid w:val="00874C47"/>
    <w:rsid w:val="00B16751"/>
    <w:rsid w:val="00B318C0"/>
    <w:rsid w:val="00DA5A17"/>
    <w:rsid w:val="00E84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FF17"/>
  <w15:docId w15:val="{6EC83EA1-450E-489E-A6E4-8C0B4BA2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paragraph" w:customStyle="1" w:styleId="abcdDefinition">
    <w:name w:val="(a) (b) (c) (d) Definition"/>
    <w:basedOn w:val="Normal"/>
    <w:rsid w:val="00775672"/>
    <w:pPr>
      <w:numPr>
        <w:numId w:val="39"/>
      </w:numPr>
      <w:tabs>
        <w:tab w:val="left" w:pos="851"/>
      </w:tabs>
      <w:spacing w:after="240" w:line="240" w:lineRule="auto"/>
    </w:pPr>
    <w:rPr>
      <w:rFonts w:ascii="Arial" w:eastAsia="Arial" w:hAnsi="Arial" w:cs="Arial"/>
      <w:sz w:val="24"/>
      <w:szCs w:val="24"/>
      <w:lang w:val="en-US" w:eastAsia="zh-CN"/>
    </w:r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ZrIoYx8sfLNvHqsqNh1g0Z761w==">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Tina Cameron</cp:lastModifiedBy>
  <cp:revision>2</cp:revision>
  <dcterms:created xsi:type="dcterms:W3CDTF">2025-12-18T09:40:00Z</dcterms:created>
  <dcterms:modified xsi:type="dcterms:W3CDTF">2025-12-18T09:40:00Z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