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b w:val="1"/>
          <w:sz w:val="36"/>
          <w:szCs w:val="36"/>
        </w:rPr>
      </w:pPr>
      <w:r w:rsidDel="00000000" w:rsidR="00000000" w:rsidRPr="00000000">
        <w:rPr>
          <w:b w:val="1"/>
          <w:color w:val="000000"/>
          <w:sz w:val="36"/>
          <w:szCs w:val="36"/>
          <w:rtl w:val="0"/>
        </w:rPr>
        <w:t xml:space="preserve">Call-Off </w:t>
      </w:r>
      <w:r w:rsidDel="00000000" w:rsidR="00000000" w:rsidRPr="00000000">
        <w:rPr>
          <w:b w:val="1"/>
          <w:sz w:val="36"/>
          <w:szCs w:val="36"/>
          <w:rtl w:val="0"/>
        </w:rPr>
        <w:t xml:space="preserve">Schedule </w:t>
      </w:r>
      <w:r w:rsidDel="00000000" w:rsidR="00000000" w:rsidRPr="00000000">
        <w:rPr>
          <w:b w:val="1"/>
          <w:color w:val="000000"/>
          <w:sz w:val="36"/>
          <w:szCs w:val="36"/>
          <w:rtl w:val="0"/>
        </w:rPr>
        <w:t xml:space="preserve">12 (Clustering</w:t>
      </w:r>
      <w:r w:rsidDel="00000000" w:rsidR="00000000" w:rsidRPr="00000000">
        <w:rPr>
          <w:b w:val="1"/>
          <w:sz w:val="36"/>
          <w:szCs w:val="36"/>
          <w:rtl w:val="0"/>
        </w:rPr>
        <w:t xml:space="preserve">)</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mwbla8z0m5yc" w:id="0"/>
      <w:bookmarkEnd w:id="0"/>
      <w:r w:rsidDel="00000000" w:rsidR="00000000" w:rsidRPr="00000000">
        <w:rPr>
          <w:rtl w:val="0"/>
        </w:rPr>
      </w:r>
    </w:p>
    <w:p w:rsidR="00000000" w:rsidDel="00000000" w:rsidP="00000000" w:rsidRDefault="00000000" w:rsidRPr="00000000" w14:paraId="0000000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you should use this Schedule</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is required where various Other Contracting Authorities want to join with the Buyer to efficiently contract collectively under a single Call-Off Contract rather than as separate individual Buyers under separate Call-Off Contracts. </w:t>
      </w:r>
    </w:p>
    <w:p w:rsidR="00000000" w:rsidDel="00000000" w:rsidP="00000000" w:rsidRDefault="00000000" w:rsidRPr="00000000" w14:paraId="0000000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“Cluster Members"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means a person named as such in the Annex A to this Schedule which shall be incorporated into the Order Form. </w:t>
      </w:r>
    </w:p>
    <w:p w:rsidR="00000000" w:rsidDel="00000000" w:rsidP="00000000" w:rsidRDefault="00000000" w:rsidRPr="00000000" w14:paraId="0000000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Cluster Members benefits under the Contract</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has entered into the Call-Off Contract both for its own benefit and for the benefit the Cluster Members.  </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Cluster Members who are to benefit under the Call-Off Contract are identified in Annex A to this Schedule which shall be included into Order Form.</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e7ecruppe37"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Cluster Members shall have all of the rights granted to the Buyer under a Call-Off Contract as if they had been parties to the Call-Off Contract themselves.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of the Cluster Members will be a third party beneficiary for the purposes of the CRTPA and may enforce the relevant provisions of a Call-Off Contract pursuant to CRTPA.  </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to a Call-Off Contract may in accordance with its provisions vary, terminate or rescind that Call-Off Contract or any part of it, without the consent of any Cluster Member.</w:t>
      </w:r>
    </w:p>
    <w:p w:rsidR="00000000" w:rsidDel="00000000" w:rsidP="00000000" w:rsidRDefault="00000000" w:rsidRPr="00000000" w14:paraId="0000000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enforcement rights granted to Cluster Members under Paragraph 3.4 are subject to the following provisions: </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enforce any provision of a Call-Off Contract on behalf of a Cluster Member; </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from a Cluster Member under the CRTPA to enforce a Call-Off Contract shall be brought by the Buyer if reasonably practicable for the Buyer and Cluster Member to do so; </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will ensure that Cluster Members comply with the Dispute Resolution Procedure in respect of any Disputes that involve a Cluster Member; and</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any claim(s) to enforce a Call-Off Contract made by the Buyer on behalf of a Cluster Member and to any claim(s) to enforce a Call-Off Contract made by a Cluster Member acting on its own behalf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"Cluster Member claims"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835"/>
          <w:tab w:val="left" w:leader="none" w:pos="3402"/>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exclusions of the Supplier's liability in the Call-Off Contract shall apply, where applicable, to any Cluster Member claims; and</w:t>
      </w:r>
    </w:p>
    <w:p w:rsidR="00000000" w:rsidDel="00000000" w:rsidP="00000000" w:rsidRDefault="00000000" w:rsidRPr="00000000" w14:paraId="0000001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835"/>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financial limits on the Supplier's liability in the Call-Off Contract shall apply on a per-Cluster Member basis in respect of the Supplier's liability for any Cluster Member claims, and not on an aggregate basis across all Cluster Members.</w:t>
      </w:r>
    </w:p>
    <w:p w:rsidR="00000000" w:rsidDel="00000000" w:rsidP="00000000" w:rsidRDefault="00000000" w:rsidRPr="00000000" w14:paraId="0000001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eldxl4ghugu9"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terms and conditions applicable to the provision of the Deliverables to any Cluster Member are as follows:</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Cluster Member needs to comply with an obligation or responsibility of the Buyer to allow the Supplier to provide the Deliverables, the Buyer will remain responsible for this compliance, but compliance by the Cluster Member will be deemed to be compliance by the Buyer; and</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extent that a Cluster Member receives the benefit of the Services, the term "Government Data" will be deemed to extend to any data of the Cluster Member.</w:t>
      </w:r>
    </w:p>
    <w:p w:rsidR="00000000" w:rsidDel="00000000" w:rsidP="00000000" w:rsidRDefault="00000000" w:rsidRPr="00000000" w14:paraId="00000017">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that Cluster Members shall each receive the same Services from the Supplier the following adjustments will apply in relation to how the Call-Off Contract will operate in relation to the Buyer and Cluster Members:</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Services will be provided by the Supplier to each Cluster Member and Buyer separately; </w:t>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obligation in regards to reporting will be owed to each Cluster Member and Buyer separately;</w:t>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Cluster Members shall be entitled to separate invoices in respect of the provision of Deliverables; </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separate invoices will correlate to the Deliverables provided to the respective Buyer and Cluster Members;</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Charges to be paid for the Deliverables shall be calculated on a per Cluster Member and Buyer basis and each Cluster Member and the Buyer shall be responsible for paying their respective Charges;</w:t>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Key Performance Indicators and corresponding Service Credits will be calculated in respect of each Cluster Member and Buyer, and they will be reported and deducted against Charges due by each respective Cluster Member and Buyer; and</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further adjustments as the Buyer and each Cluster Member may notify to the Supplier from time to time.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907"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pageBreakBefore w:val="1"/>
        <w:pBdr>
          <w:top w:space="0" w:sz="0" w:val="nil"/>
          <w:left w:space="0" w:sz="0" w:val="nil"/>
          <w:bottom w:space="0" w:sz="0" w:val="nil"/>
          <w:right w:space="0" w:sz="0" w:val="nil"/>
          <w:between w:space="0" w:sz="0" w:val="nil"/>
        </w:pBdr>
        <w:spacing w:after="120" w:before="120" w:line="240" w:lineRule="auto"/>
        <w:rPr>
          <w:b w:val="1"/>
          <w:color w:val="000000"/>
          <w:sz w:val="36"/>
          <w:szCs w:val="36"/>
        </w:rPr>
      </w:pPr>
      <w:r w:rsidDel="00000000" w:rsidR="00000000" w:rsidRPr="00000000">
        <w:rPr>
          <w:b w:val="1"/>
          <w:color w:val="000000"/>
          <w:sz w:val="36"/>
          <w:szCs w:val="36"/>
          <w:rtl w:val="0"/>
        </w:rPr>
        <w:t xml:space="preserve">Annex </w:t>
      </w:r>
      <w:bookmarkStart w:colFirst="0" w:colLast="0" w:name="bookmark=id.qys9rlbk8u5z" w:id="6"/>
      <w:bookmarkEnd w:id="6"/>
      <w:r w:rsidDel="00000000" w:rsidR="00000000" w:rsidRPr="00000000">
        <w:rPr>
          <w:b w:val="1"/>
          <w:color w:val="000000"/>
          <w:sz w:val="36"/>
          <w:szCs w:val="36"/>
          <w:rtl w:val="0"/>
        </w:rPr>
        <w:t xml:space="preserve">A – Cluster Members</w:t>
      </w:r>
    </w:p>
    <w:p w:rsidR="00000000" w:rsidDel="00000000" w:rsidP="00000000" w:rsidRDefault="00000000" w:rsidRPr="00000000" w14:paraId="00000021">
      <w:pPr>
        <w:keepNext w:val="1"/>
        <w:spacing w:after="120" w:before="120" w:line="240" w:lineRule="auto"/>
        <w:rPr/>
      </w:pPr>
      <w:r w:rsidDel="00000000" w:rsidR="00000000" w:rsidRPr="00000000">
        <w:rPr>
          <w:rtl w:val="0"/>
        </w:rPr>
        <w:t xml:space="preserve">The Deliverables shall also be provided for the benefit of the following Cluster Members:</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2254"/>
        <w:gridCol w:w="2254"/>
        <w:gridCol w:w="2254"/>
        <w:tblGridChange w:id="0">
          <w:tblGrid>
            <w:gridCol w:w="2254"/>
            <w:gridCol w:w="2254"/>
            <w:gridCol w:w="2254"/>
            <w:gridCol w:w="2254"/>
          </w:tblGrid>
        </w:tblGridChange>
      </w:tblGrid>
      <w:tr>
        <w:trPr>
          <w:cantSplit w:val="0"/>
          <w:tblHeader w:val="0"/>
        </w:trPr>
        <w:tc>
          <w:tcPr/>
          <w:p w:rsidR="00000000" w:rsidDel="00000000" w:rsidP="00000000" w:rsidRDefault="00000000" w:rsidRPr="00000000" w14:paraId="00000022">
            <w:pPr>
              <w:keepNext w:val="1"/>
              <w:keepLines w:val="1"/>
              <w:spacing w:after="120" w:before="120" w:line="240" w:lineRule="auto"/>
              <w:rPr/>
            </w:pPr>
            <w:r w:rsidDel="00000000" w:rsidR="00000000" w:rsidRPr="00000000">
              <w:rPr>
                <w:rtl w:val="0"/>
              </w:rPr>
              <w:t xml:space="preserve">Name of Cluster Member</w:t>
            </w:r>
          </w:p>
        </w:tc>
        <w:tc>
          <w:tcPr/>
          <w:p w:rsidR="00000000" w:rsidDel="00000000" w:rsidP="00000000" w:rsidRDefault="00000000" w:rsidRPr="00000000" w14:paraId="00000023">
            <w:pPr>
              <w:keepNext w:val="1"/>
              <w:keepLines w:val="1"/>
              <w:spacing w:after="120" w:before="120" w:line="240" w:lineRule="auto"/>
              <w:rPr/>
            </w:pPr>
            <w:r w:rsidDel="00000000" w:rsidR="00000000" w:rsidRPr="00000000">
              <w:rPr>
                <w:rtl w:val="0"/>
              </w:rPr>
              <w:t xml:space="preserve">Services to be provided</w:t>
            </w:r>
          </w:p>
        </w:tc>
        <w:tc>
          <w:tcPr/>
          <w:p w:rsidR="00000000" w:rsidDel="00000000" w:rsidP="00000000" w:rsidRDefault="00000000" w:rsidRPr="00000000" w14:paraId="00000024">
            <w:pPr>
              <w:keepNext w:val="1"/>
              <w:keepLines w:val="1"/>
              <w:spacing w:after="120" w:before="120" w:line="240" w:lineRule="auto"/>
              <w:rPr/>
            </w:pPr>
            <w:r w:rsidDel="00000000" w:rsidR="00000000" w:rsidRPr="00000000">
              <w:rPr>
                <w:rtl w:val="0"/>
              </w:rPr>
              <w:t xml:space="preserve">Duration</w:t>
            </w:r>
          </w:p>
        </w:tc>
        <w:tc>
          <w:tcPr/>
          <w:p w:rsidR="00000000" w:rsidDel="00000000" w:rsidP="00000000" w:rsidRDefault="00000000" w:rsidRPr="00000000" w14:paraId="00000025">
            <w:pPr>
              <w:keepNext w:val="1"/>
              <w:keepLines w:val="1"/>
              <w:spacing w:after="120" w:before="120" w:line="240" w:lineRule="auto"/>
              <w:rPr/>
            </w:pPr>
            <w:r w:rsidDel="00000000" w:rsidR="00000000" w:rsidRPr="00000000">
              <w:rPr>
                <w:rtl w:val="0"/>
              </w:rPr>
              <w:t xml:space="preserve">Special Terms</w:t>
            </w:r>
          </w:p>
        </w:tc>
      </w:tr>
      <w:tr>
        <w:trPr>
          <w:cantSplit w:val="0"/>
          <w:tblHeader w:val="0"/>
        </w:trPr>
        <w:tc>
          <w:tcPr/>
          <w:p w:rsidR="00000000" w:rsidDel="00000000" w:rsidP="00000000" w:rsidRDefault="00000000" w:rsidRPr="00000000" w14:paraId="00000026">
            <w:pPr>
              <w:keepNext w:val="1"/>
              <w:keepLines w:val="1"/>
              <w:spacing w:after="120" w:before="120" w:line="240" w:lineRule="auto"/>
              <w:jc w:val="center"/>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27">
            <w:pPr>
              <w:keepNext w:val="1"/>
              <w:keepLines w:val="1"/>
              <w:spacing w:after="120" w:before="120" w:line="240" w:lineRule="auto"/>
              <w:jc w:val="center"/>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28">
            <w:pPr>
              <w:keepNext w:val="1"/>
              <w:keepLines w:val="1"/>
              <w:spacing w:after="120" w:before="120" w:line="240" w:lineRule="auto"/>
              <w:jc w:val="center"/>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29">
            <w:pPr>
              <w:keepNext w:val="1"/>
              <w:keepLines w:val="1"/>
              <w:spacing w:after="120" w:before="120" w:line="240" w:lineRule="auto"/>
              <w:jc w:val="center"/>
              <w:rPr>
                <w:highlight w:val="yellow"/>
              </w:rPr>
            </w:pPr>
            <w:r w:rsidDel="00000000" w:rsidR="00000000" w:rsidRPr="00000000">
              <w:rPr>
                <w:highlight w:val="yellow"/>
                <w:rtl w:val="0"/>
              </w:rPr>
              <w:t xml:space="preserve">[  ]</w:t>
            </w:r>
          </w:p>
        </w:tc>
      </w:tr>
      <w:tr>
        <w:trPr>
          <w:cantSplit w:val="0"/>
          <w:tblHeader w:val="0"/>
        </w:trPr>
        <w:tc>
          <w:tcPr/>
          <w:p w:rsidR="00000000" w:rsidDel="00000000" w:rsidP="00000000" w:rsidRDefault="00000000" w:rsidRPr="00000000" w14:paraId="0000002A">
            <w:pPr>
              <w:keepNext w:val="1"/>
              <w:keepLines w:val="1"/>
              <w:spacing w:after="120" w:before="120" w:line="240" w:lineRule="auto"/>
              <w:jc w:val="center"/>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2B">
            <w:pPr>
              <w:keepNext w:val="1"/>
              <w:keepLines w:val="1"/>
              <w:spacing w:after="120" w:before="120" w:line="240" w:lineRule="auto"/>
              <w:jc w:val="center"/>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2C">
            <w:pPr>
              <w:keepNext w:val="1"/>
              <w:keepLines w:val="1"/>
              <w:spacing w:after="120" w:before="120" w:line="240" w:lineRule="auto"/>
              <w:jc w:val="center"/>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2D">
            <w:pPr>
              <w:keepNext w:val="1"/>
              <w:keepLines w:val="1"/>
              <w:spacing w:after="120" w:before="120" w:line="240" w:lineRule="auto"/>
              <w:jc w:val="center"/>
              <w:rPr>
                <w:highlight w:val="yellow"/>
              </w:rPr>
            </w:pPr>
            <w:r w:rsidDel="00000000" w:rsidR="00000000" w:rsidRPr="00000000">
              <w:rPr>
                <w:highlight w:val="yellow"/>
                <w:rtl w:val="0"/>
              </w:rPr>
              <w:t xml:space="preserve">[  ]</w:t>
            </w:r>
          </w:p>
        </w:tc>
      </w:tr>
      <w:tr>
        <w:trPr>
          <w:cantSplit w:val="0"/>
          <w:tblHeader w:val="0"/>
        </w:trPr>
        <w:tc>
          <w:tcPr/>
          <w:p w:rsidR="00000000" w:rsidDel="00000000" w:rsidP="00000000" w:rsidRDefault="00000000" w:rsidRPr="00000000" w14:paraId="0000002E">
            <w:pPr>
              <w:keepNext w:val="1"/>
              <w:keepLines w:val="1"/>
              <w:spacing w:after="120" w:before="120" w:line="240" w:lineRule="auto"/>
              <w:jc w:val="center"/>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2F">
            <w:pPr>
              <w:keepNext w:val="1"/>
              <w:keepLines w:val="1"/>
              <w:spacing w:after="120" w:before="120" w:line="240" w:lineRule="auto"/>
              <w:jc w:val="center"/>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30">
            <w:pPr>
              <w:keepNext w:val="1"/>
              <w:keepLines w:val="1"/>
              <w:spacing w:after="120" w:before="120" w:line="240" w:lineRule="auto"/>
              <w:jc w:val="center"/>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31">
            <w:pPr>
              <w:keepNext w:val="1"/>
              <w:keepLines w:val="1"/>
              <w:spacing w:after="120" w:before="120" w:line="240" w:lineRule="auto"/>
              <w:jc w:val="center"/>
              <w:rPr>
                <w:highlight w:val="yellow"/>
              </w:rPr>
            </w:pPr>
            <w:r w:rsidDel="00000000" w:rsidR="00000000" w:rsidRPr="00000000">
              <w:rPr>
                <w:highlight w:val="yellow"/>
                <w:rtl w:val="0"/>
              </w:rPr>
              <w:t xml:space="preserve">[  ]</w:t>
            </w:r>
          </w:p>
        </w:tc>
      </w:tr>
      <w:tr>
        <w:trPr>
          <w:cantSplit w:val="0"/>
          <w:tblHeader w:val="0"/>
        </w:trPr>
        <w:tc>
          <w:tcPr/>
          <w:p w:rsidR="00000000" w:rsidDel="00000000" w:rsidP="00000000" w:rsidRDefault="00000000" w:rsidRPr="00000000" w14:paraId="00000032">
            <w:pPr>
              <w:keepNext w:val="1"/>
              <w:keepLines w:val="1"/>
              <w:spacing w:after="120" w:before="120" w:line="240" w:lineRule="auto"/>
              <w:jc w:val="center"/>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33">
            <w:pPr>
              <w:keepNext w:val="1"/>
              <w:keepLines w:val="1"/>
              <w:spacing w:after="120" w:before="120" w:line="240" w:lineRule="auto"/>
              <w:jc w:val="center"/>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34">
            <w:pPr>
              <w:keepNext w:val="1"/>
              <w:keepLines w:val="1"/>
              <w:spacing w:after="120" w:before="120" w:line="240" w:lineRule="auto"/>
              <w:jc w:val="center"/>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35">
            <w:pPr>
              <w:keepNext w:val="1"/>
              <w:keepLines w:val="1"/>
              <w:spacing w:after="120" w:before="120" w:line="240" w:lineRule="auto"/>
              <w:jc w:val="center"/>
              <w:rPr>
                <w:highlight w:val="yellow"/>
              </w:rPr>
            </w:pPr>
            <w:r w:rsidDel="00000000" w:rsidR="00000000" w:rsidRPr="00000000">
              <w:rPr>
                <w:highlight w:val="yellow"/>
                <w:rtl w:val="0"/>
              </w:rPr>
              <w:t xml:space="preserve">[  ]</w:t>
            </w:r>
          </w:p>
        </w:tc>
      </w:tr>
    </w:tbl>
    <w:p w:rsidR="00000000" w:rsidDel="00000000" w:rsidP="00000000" w:rsidRDefault="00000000" w:rsidRPr="00000000" w14:paraId="00000036">
      <w:pPr>
        <w:spacing w:after="120" w:before="120" w:line="240" w:lineRule="auto"/>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tabs>
        <w:tab w:val="center" w:leader="none" w:pos="4513"/>
        <w:tab w:val="right" w:leader="none" w:pos="9026"/>
      </w:tabs>
      <w:spacing w:after="0" w:line="240" w:lineRule="auto"/>
      <w:rPr>
        <w:sz w:val="20"/>
        <w:szCs w:val="20"/>
      </w:rPr>
    </w:pPr>
    <w:r w:rsidDel="00000000" w:rsidR="00000000" w:rsidRPr="00000000">
      <w:rPr>
        <w:rtl w:val="0"/>
      </w:rPr>
    </w:r>
  </w:p>
  <w:p w:rsidR="00000000" w:rsidDel="00000000" w:rsidP="00000000" w:rsidRDefault="00000000" w:rsidRPr="00000000" w14:paraId="0000003F">
    <w:pP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040">
    <w:pPr>
      <w:tabs>
        <w:tab w:val="center" w:leader="none" w:pos="4513"/>
        <w:tab w:val="right" w:leader="none" w:pos="9026"/>
      </w:tabs>
      <w:spacing w:after="0" w:line="24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spacing w:after="0" w:line="240" w:lineRule="auto"/>
      <w:jc w:val="both"/>
      <w:rPr>
        <w:color w:val="000000"/>
        <w:sz w:val="14"/>
        <w:szCs w:val="14"/>
      </w:rPr>
    </w:pPr>
    <w:r w:rsidDel="00000000" w:rsidR="00000000" w:rsidRPr="00000000">
      <w:rPr>
        <w:sz w:val="20"/>
        <w:szCs w:val="20"/>
        <w:rtl w:val="0"/>
      </w:rPr>
      <w:t xml:space="preserve">Model Version: v1.0 PA</w:t>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b w:val="1"/>
        <w:color w:val="000000"/>
        <w:sz w:val="22"/>
        <w:szCs w:val="22"/>
      </w:rPr>
    </w:pPr>
    <w:bookmarkStart w:colFirst="0" w:colLast="0" w:name="_heading=h.m18ej9d73eby" w:id="7"/>
    <w:bookmarkEnd w:id="7"/>
    <w:r w:rsidDel="00000000" w:rsidR="00000000" w:rsidRPr="00000000">
      <w:rPr>
        <w:b w:val="1"/>
        <w:color w:val="000000"/>
        <w:sz w:val="22"/>
        <w:szCs w:val="22"/>
        <w:rtl w:val="0"/>
      </w:rPr>
      <w:t xml:space="preserve">Call-Off Schedule 12 (Clustering)</w:t>
    </w:r>
  </w:p>
  <w:p w:rsidR="00000000" w:rsidDel="00000000" w:rsidP="00000000" w:rsidRDefault="00000000" w:rsidRPr="00000000" w14:paraId="00000039">
    <w:pPr>
      <w:spacing w:after="0" w:lineRule="auto"/>
      <w:rPr>
        <w:sz w:val="22"/>
        <w:szCs w:val="22"/>
      </w:rPr>
    </w:pPr>
    <w:r w:rsidDel="00000000" w:rsidR="00000000" w:rsidRPr="00000000">
      <w:rPr>
        <w:sz w:val="22"/>
        <w:szCs w:val="22"/>
        <w:rtl w:val="0"/>
      </w:rPr>
      <w:t xml:space="preserve">Call-Off Ref:</w:t>
    </w:r>
  </w:p>
  <w:p w:rsidR="00000000" w:rsidDel="00000000" w:rsidP="00000000" w:rsidRDefault="00000000" w:rsidRPr="00000000" w14:paraId="0000003A">
    <w:pPr>
      <w:spacing w:after="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cs="Arial" w:eastAsia="Arial" w:hAnsi="Arial"/>
        <w:i w:val="0"/>
        <w:smallCaps w:val="0"/>
        <w:strike w:val="0"/>
        <w:color w:val="000000"/>
        <w:u w:val="none"/>
        <w:vertAlign w:val="baseline"/>
      </w:rPr>
    </w:lvl>
    <w:lvl w:ilvl="2">
      <w:start w:val="1"/>
      <w:numFmt w:val="decimal"/>
      <w:lvlText w:val="%1.%2.%3"/>
      <w:lvlJc w:val="left"/>
      <w:pPr>
        <w:ind w:left="1757" w:hanging="850.0000000000001"/>
      </w:pPr>
      <w:rPr>
        <w:i w:val="0"/>
        <w:smallCaps w:val="0"/>
        <w:strike w:val="0"/>
        <w:color w:val="000000"/>
        <w:u w:val="none"/>
        <w:vertAlign w:val="baseline"/>
      </w:rPr>
    </w:lvl>
    <w:lvl w:ilvl="3">
      <w:start w:val="1"/>
      <w:numFmt w:val="lowerLetter"/>
      <w:lvlText w:val="(%4)"/>
      <w:lvlJc w:val="left"/>
      <w:pPr>
        <w:ind w:left="2606" w:hanging="848.9999999999998"/>
      </w:pPr>
      <w:rPr>
        <w:rFonts w:ascii="Arial" w:cs="Arial" w:eastAsia="Arial" w:hAnsi="Arial"/>
        <w:i w:val="0"/>
        <w:smallCaps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GPSL4numberedclause" w:customStyle="1">
    <w:name w:val="GPS L4 numbered clause"/>
    <w:basedOn w:val="GPSL3numberedclause"/>
    <w:qFormat w:val="1"/>
    <w:rsid w:val="00AC4AE1"/>
    <w:pPr>
      <w:numPr>
        <w:ilvl w:val="3"/>
      </w:numPr>
      <w:tabs>
        <w:tab w:val="left" w:pos="2552"/>
      </w:tabs>
    </w:pPr>
  </w:style>
  <w:style w:type="paragraph" w:styleId="GPSL3numberedclause" w:customStyle="1">
    <w:name w:val="GPS L3 numbered clause"/>
    <w:basedOn w:val="Normal"/>
    <w:link w:val="GPSL3numberedclauseChar"/>
    <w:qFormat w:val="1"/>
    <w:rsid w:val="00AC4AE1"/>
    <w:pPr>
      <w:numPr>
        <w:ilvl w:val="2"/>
        <w:numId w:val="1"/>
      </w:numPr>
      <w:tabs>
        <w:tab w:val="left" w:pos="1985"/>
      </w:tabs>
      <w:adjustRightInd w:val="0"/>
      <w:spacing w:after="120" w:before="120" w:line="240" w:lineRule="auto"/>
    </w:pPr>
    <w:rPr>
      <w:rFonts w:eastAsia="Times New Roman"/>
      <w:lang w:eastAsia="zh-CN"/>
    </w:rPr>
  </w:style>
  <w:style w:type="paragraph" w:styleId="GPSL1CLAUSEHEADING" w:customStyle="1">
    <w:name w:val="GPS L1 CLAUSE HEADING"/>
    <w:basedOn w:val="Normal"/>
    <w:next w:val="Normal"/>
    <w:qFormat w:val="1"/>
    <w:rsid w:val="00AC4AE1"/>
    <w:pPr>
      <w:keepNext w:val="1"/>
      <w:numPr>
        <w:numId w:val="1"/>
      </w:numPr>
      <w:tabs>
        <w:tab w:val="left" w:pos="142"/>
      </w:tabs>
      <w:adjustRightInd w:val="0"/>
      <w:spacing w:after="240" w:before="120" w:line="240" w:lineRule="auto"/>
      <w:outlineLvl w:val="1"/>
    </w:pPr>
    <w:rPr>
      <w:rFonts w:ascii="Arial Bold" w:eastAsia="STZhongsong" w:hAnsi="Arial Bold"/>
      <w:b w:val="1"/>
      <w:lang w:eastAsia="zh-CN"/>
    </w:rPr>
  </w:style>
  <w:style w:type="paragraph" w:styleId="GPSL5numberedclause" w:customStyle="1">
    <w:name w:val="GPS L5 numbered clause"/>
    <w:basedOn w:val="GPSL4numberedclause"/>
    <w:qFormat w:val="1"/>
    <w:rsid w:val="00AC4AE1"/>
    <w:pPr>
      <w:numPr>
        <w:ilvl w:val="4"/>
      </w:numPr>
      <w:tabs>
        <w:tab w:val="left" w:pos="3119"/>
      </w:tabs>
    </w:pPr>
  </w:style>
  <w:style w:type="paragraph" w:styleId="GPSL6numbered" w:customStyle="1">
    <w:name w:val="GPS L6 numbered"/>
    <w:basedOn w:val="GPSL5numberedclause"/>
    <w:qFormat w:val="1"/>
    <w:rsid w:val="00AC4AE1"/>
    <w:pPr>
      <w:numPr>
        <w:ilvl w:val="5"/>
      </w:numPr>
      <w:tabs>
        <w:tab w:val="left" w:pos="3686"/>
      </w:tabs>
    </w:pPr>
  </w:style>
  <w:style w:type="character" w:styleId="GPSL3numberedclauseChar" w:customStyle="1">
    <w:name w:val="GPS L3 numbered clause Char"/>
    <w:link w:val="GPSL3numberedclause"/>
    <w:locked w:val="1"/>
    <w:rsid w:val="00AC4AE1"/>
    <w:rPr>
      <w:rFonts w:ascii="Arial" w:cs="Arial" w:eastAsia="Times New Roman" w:hAnsi="Arial"/>
      <w:sz w:val="24"/>
      <w:lang w:eastAsia="zh-CN"/>
    </w:rPr>
  </w:style>
  <w:style w:type="character" w:styleId="FooterChar" w:customStyle="1">
    <w:name w:val="Footer Char"/>
    <w:basedOn w:val="DefaultParagraphFont"/>
    <w:link w:val="Footer"/>
    <w:uiPriority w:val="99"/>
    <w:rsid w:val="00AC4AE1"/>
    <w:rPr>
      <w:rFonts w:ascii="Calibri" w:cs="Times New Roman" w:eastAsia="Calibri" w:hAnsi="Calibri"/>
      <w:lang w:eastAsia="ja-JP"/>
    </w:rPr>
  </w:style>
  <w:style w:type="paragraph" w:styleId="GPSL2numberedclause" w:customStyle="1">
    <w:name w:val="GPS L2 numbered clause"/>
    <w:basedOn w:val="Normal"/>
    <w:link w:val="GPSL2numberedclauseChar1"/>
    <w:qFormat w:val="1"/>
    <w:rsid w:val="00AC4AE1"/>
    <w:pPr>
      <w:numPr>
        <w:ilvl w:val="1"/>
        <w:numId w:val="1"/>
      </w:numPr>
      <w:tabs>
        <w:tab w:val="left" w:pos="1134"/>
      </w:tabs>
      <w:adjustRightInd w:val="0"/>
      <w:spacing w:after="120" w:before="120" w:line="240" w:lineRule="auto"/>
    </w:pPr>
    <w:rPr>
      <w:rFonts w:eastAsia="Times New Roman"/>
      <w:lang w:eastAsia="zh-CN"/>
    </w:rPr>
  </w:style>
  <w:style w:type="character" w:styleId="GPSL2numberedclauseChar1" w:customStyle="1">
    <w:name w:val="GPS L2 numbered clause Char1"/>
    <w:link w:val="GPSL2numberedclause"/>
    <w:rsid w:val="00AC4AE1"/>
    <w:rPr>
      <w:rFonts w:ascii="Arial" w:cs="Arial" w:eastAsia="Times New Roman" w:hAnsi="Arial"/>
      <w:sz w:val="24"/>
      <w:lang w:eastAsia="zh-CN"/>
    </w:rPr>
  </w:style>
  <w:style w:type="paragraph" w:styleId="BalloonText">
    <w:name w:val="Balloon Text"/>
    <w:basedOn w:val="Normal"/>
    <w:link w:val="BalloonTextChar"/>
    <w:uiPriority w:val="99"/>
    <w:semiHidden w:val="1"/>
    <w:unhideWhenUsed w:val="1"/>
    <w:rsid w:val="00AC4AE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C4AE1"/>
    <w:rPr>
      <w:rFonts w:ascii="Segoe UI" w:cs="Segoe UI" w:eastAsia="Calibri" w:hAnsi="Segoe UI"/>
      <w:sz w:val="18"/>
      <w:szCs w:val="18"/>
      <w:lang w:eastAsia="ja-JP"/>
    </w:rPr>
  </w:style>
  <w:style w:type="paragraph" w:styleId="Header">
    <w:name w:val="header"/>
    <w:basedOn w:val="Normal"/>
    <w:link w:val="HeaderChar"/>
    <w:uiPriority w:val="99"/>
    <w:unhideWhenUsed w:val="1"/>
    <w:rsid w:val="00AC4AE1"/>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AE1"/>
    <w:rPr>
      <w:rFonts w:ascii="Calibri" w:cs="Times New Roman" w:eastAsia="Calibri" w:hAnsi="Calibri"/>
      <w:lang w:eastAsia="ja-JP"/>
    </w:rPr>
  </w:style>
  <w:style w:type="paragraph" w:styleId="Footer">
    <w:name w:val="footer"/>
    <w:basedOn w:val="Normal"/>
    <w:link w:val="FooterChar"/>
    <w:uiPriority w:val="99"/>
    <w:unhideWhenUsed w:val="1"/>
    <w:rsid w:val="00AC4AE1"/>
    <w:pPr>
      <w:tabs>
        <w:tab w:val="center" w:pos="4513"/>
        <w:tab w:val="right" w:pos="9026"/>
      </w:tabs>
      <w:spacing w:after="0" w:line="240" w:lineRule="auto"/>
    </w:pPr>
  </w:style>
  <w:style w:type="paragraph" w:styleId="Revision">
    <w:name w:val="Revision"/>
    <w:hidden w:val="1"/>
    <w:uiPriority w:val="99"/>
    <w:semiHidden w:val="1"/>
    <w:rsid w:val="00533889"/>
    <w:pPr>
      <w:spacing w:after="0" w:line="240" w:lineRule="auto"/>
    </w:pPr>
    <w:rPr>
      <w:rFonts w:ascii="Calibri" w:cs="Times New Roman" w:eastAsia="Calibri" w:hAnsi="Calibri"/>
      <w:lang w:eastAsia="ja-JP"/>
    </w:rPr>
  </w:style>
  <w:style w:type="character" w:styleId="CommentReference">
    <w:name w:val="annotation reference"/>
    <w:basedOn w:val="DefaultParagraphFont"/>
    <w:uiPriority w:val="99"/>
    <w:semiHidden w:val="1"/>
    <w:unhideWhenUsed w:val="1"/>
    <w:rsid w:val="00CD00FB"/>
    <w:rPr>
      <w:sz w:val="16"/>
      <w:szCs w:val="16"/>
    </w:rPr>
  </w:style>
  <w:style w:type="paragraph" w:styleId="CommentText">
    <w:name w:val="annotation text"/>
    <w:basedOn w:val="Normal"/>
    <w:link w:val="CommentTextChar"/>
    <w:uiPriority w:val="99"/>
    <w:unhideWhenUsed w:val="1"/>
    <w:rsid w:val="00CD00FB"/>
    <w:pPr>
      <w:spacing w:line="240" w:lineRule="auto"/>
    </w:pPr>
    <w:rPr>
      <w:sz w:val="20"/>
      <w:szCs w:val="20"/>
    </w:rPr>
  </w:style>
  <w:style w:type="character" w:styleId="CommentTextChar" w:customStyle="1">
    <w:name w:val="Comment Text Char"/>
    <w:basedOn w:val="DefaultParagraphFont"/>
    <w:link w:val="CommentText"/>
    <w:uiPriority w:val="99"/>
    <w:rsid w:val="00CD00FB"/>
    <w:rPr>
      <w:rFonts w:ascii="Calibri" w:cs="Times New Roman" w:eastAsia="Calibri" w:hAnsi="Calibri"/>
      <w:sz w:val="20"/>
      <w:szCs w:val="20"/>
      <w:lang w:eastAsia="ja-JP"/>
    </w:rPr>
  </w:style>
  <w:style w:type="paragraph" w:styleId="CommentSubject">
    <w:name w:val="annotation subject"/>
    <w:basedOn w:val="CommentText"/>
    <w:next w:val="CommentText"/>
    <w:link w:val="CommentSubjectChar"/>
    <w:uiPriority w:val="99"/>
    <w:semiHidden w:val="1"/>
    <w:unhideWhenUsed w:val="1"/>
    <w:rsid w:val="00CD00FB"/>
    <w:rPr>
      <w:b w:val="1"/>
      <w:bCs w:val="1"/>
    </w:rPr>
  </w:style>
  <w:style w:type="character" w:styleId="CommentSubjectChar" w:customStyle="1">
    <w:name w:val="Comment Subject Char"/>
    <w:basedOn w:val="CommentTextChar"/>
    <w:link w:val="CommentSubject"/>
    <w:uiPriority w:val="99"/>
    <w:semiHidden w:val="1"/>
    <w:rsid w:val="00CD00FB"/>
    <w:rPr>
      <w:rFonts w:ascii="Calibri" w:cs="Times New Roman" w:eastAsia="Calibri" w:hAnsi="Calibri"/>
      <w:b w:val="1"/>
      <w:bCs w:val="1"/>
      <w:sz w:val="20"/>
      <w:szCs w:val="20"/>
      <w:lang w:eastAsia="ja-JP"/>
    </w:rPr>
  </w:style>
  <w:style w:type="paragraph" w:styleId="ListParagraph">
    <w:name w:val="List Paragraph"/>
    <w:basedOn w:val="Normal"/>
    <w:uiPriority w:val="34"/>
    <w:qFormat w:val="1"/>
    <w:rsid w:val="00C81E6E"/>
    <w:pPr>
      <w:ind w:left="720"/>
      <w:contextualSpacing w:val="1"/>
    </w:pPr>
    <w:rPr>
      <w:rFonts w:cs="Calibri"/>
      <w:lang w:eastAsia="en-GB"/>
    </w:rPr>
  </w:style>
  <w:style w:type="paragraph" w:styleId="GPSDefinitionTerm" w:customStyle="1">
    <w:name w:val="GPS Definition Term"/>
    <w:basedOn w:val="Normal"/>
    <w:qFormat w:val="1"/>
    <w:rsid w:val="00B85A50"/>
    <w:pPr>
      <w:overflowPunct w:val="0"/>
      <w:autoSpaceDE w:val="0"/>
      <w:autoSpaceDN w:val="0"/>
      <w:adjustRightInd w:val="0"/>
      <w:spacing w:after="120" w:line="240" w:lineRule="auto"/>
      <w:ind w:left="-108"/>
      <w:textAlignment w:val="baseline"/>
    </w:pPr>
    <w:rPr>
      <w:rFonts w:eastAsia="Times New Roman"/>
      <w:b w:val="1"/>
      <w:color w:val="000000"/>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hI3NHTbi8tA9DtWugPSAYTSFSg==">CgMxLjAyDmgubXdibGE4ejBtNXljMg1oLmU3ZWNydXBwZTM3MgloLjMwajB6bGwyCWguMWZvYjl0ZTIJaC4zem55c2g3Mg5oLmVsZHhsNGdodWd1OTIPaWQucXlzOXJsYms4dTV6Mg5oLm0xOGVqOWQ3M2VieTgAciExRXk5NmMxbi1KTlh4VDd3eTNHUWdPbXplUV9yUTBqTFg=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2024-07-24T12:53:00Z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90440898-1</vt:lpwstr>
  </property>
</Properties>
</file>