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20" w:before="120" w:lineRule="auto"/>
        <w:rPr>
          <w:b w:val="1"/>
          <w:sz w:val="36"/>
          <w:szCs w:val="36"/>
        </w:rPr>
      </w:pPr>
      <w:r w:rsidDel="00000000" w:rsidR="00000000" w:rsidRPr="00000000">
        <w:rPr>
          <w:b w:val="1"/>
          <w:sz w:val="36"/>
          <w:szCs w:val="36"/>
          <w:rtl w:val="0"/>
        </w:rPr>
        <w:t xml:space="preserve">Call-Off Schedule 17 (MOD Terms) </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Rule="auto"/>
        <w:rPr>
          <w:b w:val="1"/>
          <w:smallCaps w:val="1"/>
        </w:rPr>
      </w:pPr>
      <w:bookmarkStart w:colFirst="0" w:colLast="0" w:name="_heading=h.tcd6si5gxard" w:id="0"/>
      <w:bookmarkEnd w:id="0"/>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after="120" w:before="120" w:lineRule="auto"/>
        <w:ind w:left="426" w:hanging="426"/>
        <w:rPr>
          <w:b w:val="1"/>
          <w:smallCaps w:val="1"/>
        </w:rPr>
      </w:pPr>
      <w:r w:rsidDel="00000000" w:rsidR="00000000" w:rsidRPr="00000000">
        <w:rPr>
          <w:b w:val="1"/>
          <w:smallCaps w:val="1"/>
          <w:rtl w:val="0"/>
        </w:rPr>
        <w:t xml:space="preserve">D</w:t>
      </w:r>
      <w:r w:rsidDel="00000000" w:rsidR="00000000" w:rsidRPr="00000000">
        <w:rPr>
          <w:rFonts w:ascii="Arial" w:cs="Arial" w:eastAsia="Arial" w:hAnsi="Arial"/>
          <w:b w:val="1"/>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8018.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spacing w:after="120" w:before="120" w:lineRule="auto"/>
              <w:rPr>
                <w:b w:val="1"/>
              </w:rPr>
            </w:pPr>
            <w:r w:rsidDel="00000000" w:rsidR="00000000" w:rsidRPr="00000000">
              <w:rPr>
                <w:b w:val="1"/>
                <w:rtl w:val="0"/>
              </w:rPr>
              <w:t xml:space="preserve">"MOD Terms and Conditions"</w:t>
            </w:r>
          </w:p>
        </w:tc>
        <w:tc>
          <w:tcPr/>
          <w:p w:rsidR="00000000" w:rsidDel="00000000" w:rsidP="00000000" w:rsidRDefault="00000000" w:rsidRPr="00000000" w14:paraId="00000006">
            <w:pPr>
              <w:spacing w:after="120" w:before="120" w:lineRule="auto"/>
              <w:rPr/>
            </w:pPr>
            <w:r w:rsidDel="00000000" w:rsidR="00000000" w:rsidRPr="00000000">
              <w:rPr>
                <w:rtl w:val="0"/>
              </w:rPr>
              <w:t xml:space="preserve">the terms and conditions listed in this Schedule;</w:t>
            </w:r>
          </w:p>
        </w:tc>
      </w:tr>
      <w:tr>
        <w:trPr>
          <w:cantSplit w:val="0"/>
          <w:tblHeader w:val="0"/>
        </w:trPr>
        <w:tc>
          <w:tcPr/>
          <w:p w:rsidR="00000000" w:rsidDel="00000000" w:rsidP="00000000" w:rsidRDefault="00000000" w:rsidRPr="00000000" w14:paraId="00000007">
            <w:pPr>
              <w:spacing w:after="120" w:before="120" w:lineRule="auto"/>
              <w:rPr>
                <w:b w:val="1"/>
              </w:rPr>
            </w:pPr>
            <w:r w:rsidDel="00000000" w:rsidR="00000000" w:rsidRPr="00000000">
              <w:rPr>
                <w:b w:val="1"/>
                <w:rtl w:val="0"/>
              </w:rPr>
              <w:t xml:space="preserve">"MOD Site"</w:t>
            </w:r>
          </w:p>
        </w:tc>
        <w:tc>
          <w:tcPr/>
          <w:p w:rsidR="00000000" w:rsidDel="00000000" w:rsidP="00000000" w:rsidRDefault="00000000" w:rsidRPr="00000000" w14:paraId="00000008">
            <w:pPr>
              <w:spacing w:after="120" w:before="120" w:lineRule="auto"/>
              <w:rPr/>
            </w:pPr>
            <w:r w:rsidDel="00000000" w:rsidR="00000000" w:rsidRPr="00000000">
              <w:rPr>
                <w:rtl w:val="0"/>
              </w:rPr>
              <w:t xml:space="preserve">shall include any of His Majesty's Ships or Vessels and Service Stations; and</w:t>
            </w:r>
          </w:p>
        </w:tc>
      </w:tr>
      <w:tr>
        <w:trPr>
          <w:cantSplit w:val="0"/>
          <w:tblHeader w:val="0"/>
        </w:trPr>
        <w:tc>
          <w:tcPr/>
          <w:p w:rsidR="00000000" w:rsidDel="00000000" w:rsidP="00000000" w:rsidRDefault="00000000" w:rsidRPr="00000000" w14:paraId="00000009">
            <w:pPr>
              <w:spacing w:after="120" w:before="120" w:lineRule="auto"/>
              <w:rPr>
                <w:b w:val="1"/>
              </w:rPr>
            </w:pPr>
            <w:r w:rsidDel="00000000" w:rsidR="00000000" w:rsidRPr="00000000">
              <w:rPr>
                <w:b w:val="1"/>
                <w:rtl w:val="0"/>
              </w:rPr>
              <w:t xml:space="preserve">"Officer in charge"</w:t>
            </w:r>
          </w:p>
        </w:tc>
        <w:tc>
          <w:tcPr/>
          <w:p w:rsidR="00000000" w:rsidDel="00000000" w:rsidP="00000000" w:rsidRDefault="00000000" w:rsidRPr="00000000" w14:paraId="0000000A">
            <w:pPr>
              <w:spacing w:after="120" w:before="120" w:lineRule="auto"/>
              <w:rPr>
                <w:b w:val="1"/>
              </w:rPr>
            </w:pPr>
            <w:r w:rsidDel="00000000" w:rsidR="00000000" w:rsidRPr="00000000">
              <w:rPr>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B">
      <w:pPr>
        <w:keepNext w:val="1"/>
        <w:numPr>
          <w:ilvl w:val="0"/>
          <w:numId w:val="1"/>
        </w:numPr>
        <w:pBdr>
          <w:top w:space="0" w:sz="0" w:val="nil"/>
          <w:left w:space="0" w:sz="0" w:val="nil"/>
          <w:bottom w:space="0" w:sz="0" w:val="nil"/>
          <w:right w:space="0" w:sz="0" w:val="nil"/>
          <w:between w:space="0" w:sz="0" w:val="nil"/>
        </w:pBdr>
        <w:spacing w:after="120" w:before="120" w:lineRule="auto"/>
        <w:ind w:left="426" w:hanging="426"/>
        <w:rPr>
          <w:rFonts w:ascii="Arial" w:cs="Arial" w:eastAsia="Arial" w:hAnsi="Arial"/>
          <w:b w:val="1"/>
        </w:rPr>
      </w:pPr>
      <w:r w:rsidDel="00000000" w:rsidR="00000000" w:rsidRPr="00000000">
        <w:rPr>
          <w:rFonts w:ascii="Arial" w:cs="Arial" w:eastAsia="Arial" w:hAnsi="Arial"/>
          <w:b w:val="1"/>
          <w:rtl w:val="0"/>
        </w:rPr>
        <w:t xml:space="preserve">Access to MOD sites</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the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the Contract.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Where the Supplier's representatives are required by the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the Contract shall be provided wherever possible by the Ministry of Defence, or by the Officer in charge and, where so provided, shall be free of charge.</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pPr>
      <w:r w:rsidDel="00000000" w:rsidR="00000000" w:rsidRPr="00000000">
        <w:rPr>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4">
      <w:pPr>
        <w:pStyle w:val="Heading1"/>
        <w:numPr>
          <w:ilvl w:val="0"/>
          <w:numId w:val="1"/>
        </w:numPr>
        <w:spacing w:after="120" w:before="120" w:lineRule="auto"/>
        <w:ind w:left="432" w:hanging="432"/>
        <w:rPr>
          <w:rFonts w:ascii="Arial" w:cs="Arial" w:eastAsia="Arial" w:hAnsi="Arial"/>
        </w:rPr>
      </w:pPr>
      <w:r w:rsidDel="00000000" w:rsidR="00000000" w:rsidRPr="00000000">
        <w:rPr>
          <w:rFonts w:ascii="Arial" w:cs="Arial" w:eastAsia="Arial" w:hAnsi="Arial"/>
          <w:rtl w:val="0"/>
        </w:rPr>
        <w:t xml:space="preserve">DEFCONS and DEFFORMS</w:t>
      </w:r>
    </w:p>
    <w:p w:rsidR="00000000" w:rsidDel="00000000" w:rsidP="00000000" w:rsidRDefault="00000000" w:rsidRPr="00000000" w14:paraId="00000015">
      <w:pPr>
        <w:pStyle w:val="Heading2"/>
        <w:numPr>
          <w:ilvl w:val="1"/>
          <w:numId w:val="1"/>
        </w:numPr>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The DEFCONS and DEFORMS listed in Annex 1 to this Schedule are incorporated into the Contract.  </w:t>
      </w:r>
    </w:p>
    <w:p w:rsidR="00000000" w:rsidDel="00000000" w:rsidP="00000000" w:rsidRDefault="00000000" w:rsidRPr="00000000" w14:paraId="00000016">
      <w:pPr>
        <w:pStyle w:val="Heading2"/>
        <w:numPr>
          <w:ilvl w:val="1"/>
          <w:numId w:val="1"/>
        </w:numPr>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Where a DEFCON or DEFORM is updated or replaced the reference shall be taken as referring to the updated or replacement DEFCON or DEFORM from time to time.</w:t>
      </w:r>
    </w:p>
    <w:p w:rsidR="00000000" w:rsidDel="00000000" w:rsidP="00000000" w:rsidRDefault="00000000" w:rsidRPr="00000000" w14:paraId="00000017">
      <w:pPr>
        <w:pStyle w:val="Heading2"/>
        <w:numPr>
          <w:ilvl w:val="1"/>
          <w:numId w:val="1"/>
        </w:numPr>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In the event of a conflict between any DEFCONs and DEFFORMS listed in the Order Form and the other terms in a Call-Off Contract, the DEFCONs and DEFFORMS shall prevail. </w:t>
      </w:r>
    </w:p>
    <w:p w:rsidR="00000000" w:rsidDel="00000000" w:rsidP="00000000" w:rsidRDefault="00000000" w:rsidRPr="00000000" w14:paraId="00000018">
      <w:pPr>
        <w:pStyle w:val="Heading1"/>
        <w:numPr>
          <w:ilvl w:val="0"/>
          <w:numId w:val="1"/>
        </w:numPr>
        <w:spacing w:after="120" w:before="120" w:lineRule="auto"/>
        <w:ind w:left="432" w:hanging="432"/>
        <w:rPr>
          <w:rFonts w:ascii="Arial" w:cs="Arial" w:eastAsia="Arial" w:hAnsi="Arial"/>
        </w:rPr>
      </w:pPr>
      <w:r w:rsidDel="00000000" w:rsidR="00000000" w:rsidRPr="00000000">
        <w:rPr>
          <w:rFonts w:ascii="Arial" w:cs="Arial" w:eastAsia="Arial" w:hAnsi="Arial"/>
          <w:rtl w:val="0"/>
        </w:rPr>
        <w:t xml:space="preserve">Authorisation by the Crown for use of third party intellectual property rights</w:t>
      </w:r>
    </w:p>
    <w:p w:rsidR="00000000" w:rsidDel="00000000" w:rsidP="00000000" w:rsidRDefault="00000000" w:rsidRPr="00000000" w14:paraId="00000019">
      <w:pPr>
        <w:pStyle w:val="Heading2"/>
        <w:numPr>
          <w:ilvl w:val="1"/>
          <w:numId w:val="1"/>
        </w:numPr>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Notwithstanding any other provisions of the Call-Off Contract and for the avoidance of doubt, award of the Call-Off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A">
      <w:pPr>
        <w:spacing w:after="120" w:before="12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120" w:before="120" w:lineRule="auto"/>
        <w:rPr>
          <w:b w:val="1"/>
          <w:sz w:val="36"/>
          <w:szCs w:val="36"/>
        </w:rPr>
      </w:pPr>
      <w:r w:rsidDel="00000000" w:rsidR="00000000" w:rsidRPr="00000000">
        <w:rPr>
          <w:rtl w:val="0"/>
        </w:rPr>
      </w:r>
    </w:p>
    <w:p w:rsidR="00000000" w:rsidDel="00000000" w:rsidP="00000000" w:rsidRDefault="00000000" w:rsidRPr="00000000" w14:paraId="0000001C">
      <w:pPr>
        <w:spacing w:after="120" w:before="120" w:lineRule="auto"/>
        <w:rPr>
          <w:b w:val="1"/>
          <w:sz w:val="36"/>
          <w:szCs w:val="36"/>
        </w:rPr>
      </w:pPr>
      <w:r w:rsidDel="00000000" w:rsidR="00000000" w:rsidRPr="00000000">
        <w:rPr>
          <w:b w:val="1"/>
          <w:sz w:val="36"/>
          <w:szCs w:val="36"/>
          <w:rtl w:val="0"/>
        </w:rPr>
        <w:t xml:space="preserve">ANNEX 1 - DEFCONS &amp; DEFFORMS</w:t>
      </w:r>
    </w:p>
    <w:p w:rsidR="00000000" w:rsidDel="00000000" w:rsidP="00000000" w:rsidRDefault="00000000" w:rsidRPr="00000000" w14:paraId="0000001D">
      <w:pPr>
        <w:spacing w:after="120" w:before="120" w:lineRule="auto"/>
        <w:ind w:left="720" w:firstLine="0"/>
        <w:rPr/>
      </w:pPr>
      <w:r w:rsidDel="00000000" w:rsidR="00000000" w:rsidRPr="00000000">
        <w:rPr>
          <w:rtl w:val="0"/>
        </w:rPr>
      </w:r>
    </w:p>
    <w:p w:rsidR="00000000" w:rsidDel="00000000" w:rsidP="00000000" w:rsidRDefault="00000000" w:rsidRPr="00000000" w14:paraId="0000001E">
      <w:pPr>
        <w:spacing w:after="120" w:before="120" w:lineRule="auto"/>
        <w:rPr/>
      </w:pPr>
      <w:bookmarkStart w:colFirst="0" w:colLast="0" w:name="_heading=h.gjdgxs" w:id="1"/>
      <w:bookmarkEnd w:id="1"/>
      <w:r w:rsidDel="00000000" w:rsidR="00000000" w:rsidRPr="00000000">
        <w:rPr>
          <w:rtl w:val="0"/>
        </w:rPr>
        <w:t xml:space="preserve">The full text of Defence Conditions (DEFCONs) and Defence Forms (DEFFORMS) are available electronically via </w:t>
      </w:r>
      <w:hyperlink r:id="rId7">
        <w:r w:rsidDel="00000000" w:rsidR="00000000" w:rsidRPr="00000000">
          <w:rPr>
            <w:color w:val="0000ff"/>
            <w:u w:val="single"/>
            <w:rtl w:val="0"/>
          </w:rPr>
          <w:t xml:space="preserve">https://www.gov.uk/guidance/knowledge-in-defence-kid</w:t>
        </w:r>
      </w:hyperlink>
      <w:r w:rsidDel="00000000" w:rsidR="00000000" w:rsidRPr="00000000">
        <w:rPr>
          <w:rtl w:val="0"/>
        </w:rPr>
        <w:t xml:space="preserve">.</w:t>
      </w:r>
    </w:p>
    <w:p w:rsidR="00000000" w:rsidDel="00000000" w:rsidP="00000000" w:rsidRDefault="00000000" w:rsidRPr="00000000" w14:paraId="0000001F">
      <w:pPr>
        <w:spacing w:after="120" w:before="120" w:lineRule="auto"/>
        <w:ind w:left="576" w:hanging="576"/>
        <w:rPr/>
      </w:pPr>
      <w:r w:rsidDel="00000000" w:rsidR="00000000" w:rsidRPr="00000000">
        <w:rPr>
          <w:rtl w:val="0"/>
        </w:rPr>
        <w:t xml:space="preserve">The following MOD DEFCONs and DEFFORMs form part of the Contract:</w:t>
      </w:r>
    </w:p>
    <w:p w:rsidR="00000000" w:rsidDel="00000000" w:rsidP="00000000" w:rsidRDefault="00000000" w:rsidRPr="00000000" w14:paraId="00000020">
      <w:pPr>
        <w:spacing w:after="120" w:before="120" w:lineRule="auto"/>
        <w:ind w:left="851" w:firstLine="0"/>
        <w:rPr/>
      </w:pPr>
      <w:r w:rsidDel="00000000" w:rsidR="00000000" w:rsidRPr="00000000">
        <w:rPr>
          <w:rtl w:val="0"/>
        </w:rPr>
        <w:t xml:space="preserve">DEFCONs</w:t>
      </w:r>
    </w:p>
    <w:p w:rsidR="00000000" w:rsidDel="00000000" w:rsidP="00000000" w:rsidRDefault="00000000" w:rsidRPr="00000000" w14:paraId="00000021">
      <w:pPr>
        <w:spacing w:after="120" w:before="120" w:lineRule="auto"/>
        <w:ind w:left="720" w:firstLine="0"/>
        <w:rPr/>
      </w:pPr>
      <w:r w:rsidDel="00000000" w:rsidR="00000000" w:rsidRPr="00000000">
        <w:rPr>
          <w:rtl w:val="0"/>
        </w:rPr>
      </w:r>
    </w:p>
    <w:tbl>
      <w:tblPr>
        <w:tblStyle w:val="Table2"/>
        <w:tblW w:w="8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2">
            <w:pPr>
              <w:spacing w:after="120" w:before="120" w:lineRule="auto"/>
              <w:rPr>
                <w:b w:val="1"/>
              </w:rPr>
            </w:pPr>
            <w:r w:rsidDel="00000000" w:rsidR="00000000" w:rsidRPr="00000000">
              <w:rPr>
                <w:b w:val="1"/>
                <w:rtl w:val="0"/>
              </w:rPr>
              <w:t xml:space="preserve">DEFCON No</w:t>
            </w:r>
          </w:p>
        </w:tc>
        <w:tc>
          <w:tcPr/>
          <w:p w:rsidR="00000000" w:rsidDel="00000000" w:rsidP="00000000" w:rsidRDefault="00000000" w:rsidRPr="00000000" w14:paraId="00000023">
            <w:pPr>
              <w:spacing w:after="120" w:before="120" w:lineRule="auto"/>
              <w:rPr>
                <w:b w:val="1"/>
                <w:u w:val="single"/>
              </w:rPr>
            </w:pPr>
            <w:r w:rsidDel="00000000" w:rsidR="00000000" w:rsidRPr="00000000">
              <w:rPr>
                <w:b w:val="1"/>
                <w:rtl w:val="0"/>
              </w:rPr>
              <w:t xml:space="preserve">Version</w:t>
            </w:r>
            <w:r w:rsidDel="00000000" w:rsidR="00000000" w:rsidRPr="00000000">
              <w:rPr>
                <w:rtl w:val="0"/>
              </w:rPr>
            </w:r>
          </w:p>
        </w:tc>
        <w:tc>
          <w:tcPr/>
          <w:p w:rsidR="00000000" w:rsidDel="00000000" w:rsidP="00000000" w:rsidRDefault="00000000" w:rsidRPr="00000000" w14:paraId="00000024">
            <w:pPr>
              <w:spacing w:after="120" w:before="120" w:lineRule="auto"/>
              <w:rPr>
                <w:b w:val="1"/>
                <w:u w:val="single"/>
              </w:rPr>
            </w:pPr>
            <w:r w:rsidDel="00000000" w:rsidR="00000000" w:rsidRPr="00000000">
              <w:rPr>
                <w:b w:val="1"/>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5">
            <w:pPr>
              <w:spacing w:after="120" w:before="120" w:lineRule="auto"/>
              <w:rPr>
                <w:b w:val="1"/>
              </w:rPr>
            </w:pPr>
            <w:r w:rsidDel="00000000" w:rsidR="00000000" w:rsidRPr="00000000">
              <w:rPr>
                <w:rtl w:val="0"/>
              </w:rPr>
            </w:r>
          </w:p>
        </w:tc>
        <w:tc>
          <w:tcPr/>
          <w:p w:rsidR="00000000" w:rsidDel="00000000" w:rsidP="00000000" w:rsidRDefault="00000000" w:rsidRPr="00000000" w14:paraId="00000026">
            <w:pPr>
              <w:spacing w:after="120" w:before="120" w:lineRule="auto"/>
              <w:rPr>
                <w:b w:val="1"/>
              </w:rPr>
            </w:pPr>
            <w:r w:rsidDel="00000000" w:rsidR="00000000" w:rsidRPr="00000000">
              <w:rPr>
                <w:rtl w:val="0"/>
              </w:rPr>
            </w:r>
          </w:p>
        </w:tc>
        <w:tc>
          <w:tcPr/>
          <w:p w:rsidR="00000000" w:rsidDel="00000000" w:rsidP="00000000" w:rsidRDefault="00000000" w:rsidRPr="00000000" w14:paraId="00000027">
            <w:pPr>
              <w:spacing w:after="120" w:before="120" w:lineRule="auto"/>
              <w:rPr>
                <w:b w:val="1"/>
              </w:rPr>
            </w:pPr>
            <w:r w:rsidDel="00000000" w:rsidR="00000000" w:rsidRPr="00000000">
              <w:rPr>
                <w:rtl w:val="0"/>
              </w:rPr>
            </w:r>
          </w:p>
        </w:tc>
      </w:tr>
    </w:tbl>
    <w:p w:rsidR="00000000" w:rsidDel="00000000" w:rsidP="00000000" w:rsidRDefault="00000000" w:rsidRPr="00000000" w14:paraId="00000028">
      <w:pPr>
        <w:spacing w:after="120" w:before="120" w:lineRule="auto"/>
        <w:ind w:left="720" w:firstLine="0"/>
        <w:rPr/>
      </w:pPr>
      <w:r w:rsidDel="00000000" w:rsidR="00000000" w:rsidRPr="00000000">
        <w:rPr>
          <w:rtl w:val="0"/>
        </w:rPr>
      </w:r>
    </w:p>
    <w:p w:rsidR="00000000" w:rsidDel="00000000" w:rsidP="00000000" w:rsidRDefault="00000000" w:rsidRPr="00000000" w14:paraId="00000029">
      <w:pPr>
        <w:spacing w:after="120" w:before="120" w:lineRule="auto"/>
        <w:ind w:left="720" w:firstLine="0"/>
        <w:rPr/>
      </w:pPr>
      <w:r w:rsidDel="00000000" w:rsidR="00000000" w:rsidRPr="00000000">
        <w:rPr>
          <w:rtl w:val="0"/>
        </w:rPr>
      </w:r>
    </w:p>
    <w:p w:rsidR="00000000" w:rsidDel="00000000" w:rsidP="00000000" w:rsidRDefault="00000000" w:rsidRPr="00000000" w14:paraId="0000002A">
      <w:pPr>
        <w:spacing w:after="120" w:before="120" w:lineRule="auto"/>
        <w:ind w:left="720" w:firstLine="0"/>
        <w:rPr/>
      </w:pPr>
      <w:r w:rsidDel="00000000" w:rsidR="00000000" w:rsidRPr="00000000">
        <w:rPr>
          <w:rtl w:val="0"/>
        </w:rPr>
      </w:r>
    </w:p>
    <w:p w:rsidR="00000000" w:rsidDel="00000000" w:rsidP="00000000" w:rsidRDefault="00000000" w:rsidRPr="00000000" w14:paraId="0000002B">
      <w:pPr>
        <w:keepNext w:val="1"/>
        <w:spacing w:after="120" w:before="120" w:lineRule="auto"/>
        <w:ind w:left="720" w:firstLine="0"/>
        <w:rPr/>
      </w:pPr>
      <w:r w:rsidDel="00000000" w:rsidR="00000000" w:rsidRPr="00000000">
        <w:rPr>
          <w:rtl w:val="0"/>
        </w:rPr>
        <w:t xml:space="preserve">DEFFORMs (Ministry of Defence Forms)</w:t>
      </w:r>
    </w:p>
    <w:p w:rsidR="00000000" w:rsidDel="00000000" w:rsidP="00000000" w:rsidRDefault="00000000" w:rsidRPr="00000000" w14:paraId="0000002C">
      <w:pPr>
        <w:keepNext w:val="1"/>
        <w:spacing w:after="120" w:before="120" w:lineRule="auto"/>
        <w:rPr/>
      </w:pPr>
      <w:r w:rsidDel="00000000" w:rsidR="00000000" w:rsidRPr="00000000">
        <w:rPr>
          <w:rtl w:val="0"/>
        </w:rPr>
      </w:r>
    </w:p>
    <w:tbl>
      <w:tblPr>
        <w:tblStyle w:val="Table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2D">
            <w:pPr>
              <w:spacing w:after="120" w:before="120" w:lineRule="auto"/>
              <w:rPr>
                <w:b w:val="1"/>
              </w:rPr>
            </w:pPr>
            <w:r w:rsidDel="00000000" w:rsidR="00000000" w:rsidRPr="00000000">
              <w:rPr>
                <w:b w:val="1"/>
                <w:rtl w:val="0"/>
              </w:rPr>
              <w:t xml:space="preserve">DEFFORM No</w:t>
            </w:r>
          </w:p>
        </w:tc>
        <w:tc>
          <w:tcPr/>
          <w:p w:rsidR="00000000" w:rsidDel="00000000" w:rsidP="00000000" w:rsidRDefault="00000000" w:rsidRPr="00000000" w14:paraId="0000002E">
            <w:pPr>
              <w:spacing w:after="120" w:before="120" w:lineRule="auto"/>
              <w:rPr>
                <w:b w:val="1"/>
                <w:u w:val="single"/>
              </w:rPr>
            </w:pPr>
            <w:r w:rsidDel="00000000" w:rsidR="00000000" w:rsidRPr="00000000">
              <w:rPr>
                <w:b w:val="1"/>
                <w:rtl w:val="0"/>
              </w:rPr>
              <w:t xml:space="preserve">Version</w:t>
            </w:r>
            <w:r w:rsidDel="00000000" w:rsidR="00000000" w:rsidRPr="00000000">
              <w:rPr>
                <w:rtl w:val="0"/>
              </w:rPr>
            </w:r>
          </w:p>
        </w:tc>
        <w:tc>
          <w:tcPr/>
          <w:p w:rsidR="00000000" w:rsidDel="00000000" w:rsidP="00000000" w:rsidRDefault="00000000" w:rsidRPr="00000000" w14:paraId="0000002F">
            <w:pPr>
              <w:spacing w:after="120" w:before="120" w:lineRule="auto"/>
              <w:rPr>
                <w:b w:val="1"/>
                <w:u w:val="single"/>
              </w:rPr>
            </w:pPr>
            <w:r w:rsidDel="00000000" w:rsidR="00000000" w:rsidRPr="00000000">
              <w:rPr>
                <w:b w:val="1"/>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0">
            <w:pPr>
              <w:spacing w:after="120" w:before="120" w:lineRule="auto"/>
              <w:rPr>
                <w:b w:val="1"/>
              </w:rPr>
            </w:pPr>
            <w:r w:rsidDel="00000000" w:rsidR="00000000" w:rsidRPr="00000000">
              <w:rPr>
                <w:rtl w:val="0"/>
              </w:rPr>
            </w:r>
          </w:p>
        </w:tc>
        <w:tc>
          <w:tcPr/>
          <w:p w:rsidR="00000000" w:rsidDel="00000000" w:rsidP="00000000" w:rsidRDefault="00000000" w:rsidRPr="00000000" w14:paraId="00000031">
            <w:pPr>
              <w:spacing w:after="120" w:before="120" w:lineRule="auto"/>
              <w:rPr>
                <w:b w:val="1"/>
              </w:rPr>
            </w:pPr>
            <w:r w:rsidDel="00000000" w:rsidR="00000000" w:rsidRPr="00000000">
              <w:rPr>
                <w:rtl w:val="0"/>
              </w:rPr>
            </w:r>
          </w:p>
        </w:tc>
        <w:tc>
          <w:tcPr/>
          <w:p w:rsidR="00000000" w:rsidDel="00000000" w:rsidP="00000000" w:rsidRDefault="00000000" w:rsidRPr="00000000" w14:paraId="00000032">
            <w:pPr>
              <w:spacing w:after="120" w:before="120" w:lineRule="auto"/>
              <w:rPr>
                <w:b w:val="1"/>
              </w:rPr>
            </w:pPr>
            <w:r w:rsidDel="00000000" w:rsidR="00000000" w:rsidRPr="00000000">
              <w:rPr>
                <w:rtl w:val="0"/>
              </w:rPr>
            </w:r>
          </w:p>
        </w:tc>
      </w:tr>
    </w:tbl>
    <w:p w:rsidR="00000000" w:rsidDel="00000000" w:rsidP="00000000" w:rsidRDefault="00000000" w:rsidRPr="00000000" w14:paraId="00000033">
      <w:pPr>
        <w:spacing w:after="120" w:before="120" w:lineRule="auto"/>
        <w:rPr/>
        <w:sectPr>
          <w:headerReference r:id="rId8" w:type="defaul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4">
      <w:pPr>
        <w:spacing w:after="120" w:before="120" w:lineRule="auto"/>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A">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3B">
    <w:pP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spacing w:after="0" w:lineRule="auto"/>
      <w:jc w:val="both"/>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E">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3F">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17 (MOD Terms) </w:t>
    </w:r>
    <w:r w:rsidDel="00000000" w:rsidR="00000000" w:rsidRPr="00000000">
      <w:rPr>
        <w:rtl w:val="0"/>
      </w:rPr>
    </w:r>
  </w:p>
  <w:p w:rsidR="00000000" w:rsidDel="00000000" w:rsidP="00000000" w:rsidRDefault="00000000" w:rsidRPr="00000000" w14:paraId="00000036">
    <w:pPr>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37">
    <w:pPr>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38">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40" w:lineRule="auto"/>
      <w:ind w:left="720" w:hanging="720"/>
    </w:pPr>
    <w:rPr>
      <w:rFonts w:ascii="Calibri" w:cs="Calibri" w:eastAsia="Calibri" w:hAnsi="Calibri"/>
      <w:b w:val="1"/>
    </w:rPr>
  </w:style>
  <w:style w:type="paragraph" w:styleId="Heading2">
    <w:name w:val="heading 2"/>
    <w:basedOn w:val="Normal"/>
    <w:next w:val="Normal"/>
    <w:pPr>
      <w:keepNext w:val="1"/>
      <w:keepLines w:val="1"/>
      <w:spacing w:after="240" w:lineRule="auto"/>
      <w:ind w:left="1440" w:hanging="720"/>
      <w:jc w:val="both"/>
    </w:pPr>
    <w:rPr>
      <w:rFonts w:ascii="Calibri" w:cs="Calibri" w:eastAsia="Calibri" w:hAnsi="Calibri"/>
    </w:rPr>
  </w:style>
  <w:style w:type="paragraph" w:styleId="Heading3">
    <w:name w:val="heading 3"/>
    <w:basedOn w:val="Normal"/>
    <w:next w:val="Normal"/>
    <w:pPr>
      <w:keepNext w:val="1"/>
      <w:keepLines w:val="1"/>
      <w:spacing w:after="0" w:before="200" w:lineRule="auto"/>
      <w:ind w:left="216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pPr>
      <w:keepNext w:val="1"/>
      <w:keepLines w:val="1"/>
      <w:numPr>
        <w:ilvl w:val="6"/>
        <w:numId w:val="2"/>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CLAUSEHEADING" w:customStyle="1">
    <w:name w:val="GPS L1 CLAUSE HEADING"/>
    <w:basedOn w:val="Normal"/>
    <w:next w:val="Normal"/>
    <w:qFormat w:val="1"/>
    <w:pPr>
      <w:adjustRightInd w:val="0"/>
      <w:spacing w:after="240" w:before="120"/>
      <w:ind w:firstLine="360"/>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adjustRightInd w:val="0"/>
      <w:spacing w:after="120" w:before="120"/>
      <w:jc w:val="both"/>
    </w:pPr>
    <w:rPr>
      <w:rFonts w:eastAsia="Times New Roman"/>
      <w:lang w:eastAsia="zh-CN"/>
    </w:rPr>
  </w:style>
  <w:style w:type="paragraph" w:styleId="GPSL4numberedclause" w:customStyle="1">
    <w:name w:val="GPS L4 numbered clause"/>
    <w:basedOn w:val="GPSL3numberedclause"/>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tabs>
        <w:tab w:val="left" w:pos="1134"/>
      </w:tabs>
      <w:adjustRightInd w:val="0"/>
      <w:spacing w:after="120" w:before="120"/>
      <w:jc w:val="both"/>
    </w:pPr>
    <w:rPr>
      <w:rFonts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ORDERFORML1PraraNo" w:customStyle="1">
    <w:name w:val="ORDER FORM L1 Prara No"/>
    <w:basedOn w:val="Normal"/>
    <w:qFormat w:val="1"/>
    <w:pPr>
      <w:tabs>
        <w:tab w:val="num" w:pos="720"/>
      </w:tabs>
      <w:adjustRightInd w:val="0"/>
      <w:spacing w:after="0"/>
      <w:ind w:left="426" w:hanging="426"/>
      <w:jc w:val="both"/>
    </w:pPr>
    <w:rPr>
      <w:rFonts w:eastAsia="STZhongsong"/>
      <w:b w:val="1"/>
      <w:caps w:val="1"/>
      <w:lang w:eastAsia="zh-CN"/>
    </w:rPr>
  </w:style>
  <w:style w:type="paragraph" w:styleId="ORDERFORML2Title" w:customStyle="1">
    <w:name w:val="ORDER FORM L2 Title"/>
    <w:basedOn w:val="Normal"/>
    <w:qFormat w:val="1"/>
    <w:pPr>
      <w:tabs>
        <w:tab w:val="num" w:pos="1440"/>
      </w:tabs>
      <w:adjustRightInd w:val="0"/>
      <w:spacing w:after="120"/>
      <w:ind w:left="993" w:hanging="567"/>
      <w:jc w:val="both"/>
    </w:pPr>
    <w:rPr>
      <w:rFonts w:eastAsia="STZhongsong"/>
      <w:b w:val="1"/>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left" w:pos="0"/>
      </w:tabs>
      <w:spacing w:before="240"/>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Calibri" w:cs="Times New Roman" w:eastAsia="Calibri" w:hAnsi="Calibri"/>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Calibri" w:cs="Times New Roman" w:eastAsia="Calibri" w:hAnsi="Calibri"/>
    </w:rPr>
  </w:style>
  <w:style w:type="character" w:styleId="Emphasis">
    <w:name w:val="Emphasis"/>
    <w:basedOn w:val="DefaultParagraphFont"/>
    <w:rPr>
      <w:i w:val="1"/>
      <w:iCs w:val="1"/>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cstheme="majorBidi" w:eastAsiaTheme="majorEastAsia"/>
      <w:b w:val="1"/>
      <w:bCs w:val="1"/>
      <w:szCs w:val="28"/>
    </w:rPr>
  </w:style>
  <w:style w:type="character" w:styleId="Heading2Char" w:customStyle="1">
    <w:name w:val="Heading 2 Char"/>
    <w:basedOn w:val="DefaultParagraphFont"/>
    <w:link w:val="Heading2"/>
    <w:uiPriority w:val="9"/>
    <w:rPr>
      <w:rFonts w:cstheme="majorBidi" w:eastAsiaTheme="majorEastAsia"/>
      <w:bCs w:val="1"/>
      <w:szCs w:val="26"/>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paragraph" w:styleId="GPSSchTitleandNumber" w:customStyle="1">
    <w:name w:val="GPS Sch Title and Number"/>
    <w:basedOn w:val="Normal"/>
    <w:link w:val="GPSSchTitleandNumberChar"/>
    <w:qFormat w:val="1"/>
    <w:rsid w:val="003E62C4"/>
    <w:pPr>
      <w:keepNext w:val="1"/>
      <w:adjustRightInd w:val="0"/>
      <w:spacing w:after="240"/>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sid w:val="003E62C4"/>
    <w:rPr>
      <w:rFonts w:ascii="Arial Bold" w:cs="Times New Roman" w:eastAsia="STZhongsong" w:hAnsi="Arial Bold"/>
      <w:b w:val="1"/>
      <w:caps w:val="1"/>
      <w:lang w:eastAsia="zh-CN"/>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paragraph" w:styleId="ListParagraph">
    <w:name w:val="List Paragraph"/>
    <w:basedOn w:val="Normal"/>
    <w:uiPriority w:val="34"/>
    <w:qFormat w:val="1"/>
    <w:rsid w:val="007752E4"/>
    <w:pPr>
      <w:spacing w:line="276" w:lineRule="auto"/>
      <w:ind w:left="720"/>
      <w:contextualSpacing w:val="1"/>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knowledge-in-defence-ki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S2zM1XkQhl9wHb5L9Lh9eQl+w==">CgMxLjAyDmgudGNkNnNpNWd4YXJkMghoLmdqZGd4czgAciExQktLdEgxTmlFeUpjd29OVUFseGh3XzFoUzZDdFlndV8=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