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810E0" w:rsidRDefault="00F810E0">
      <w:pPr>
        <w:keepNext/>
        <w:pBdr>
          <w:top w:val="nil"/>
          <w:left w:val="nil"/>
          <w:bottom w:val="nil"/>
          <w:right w:val="nil"/>
          <w:between w:val="nil"/>
        </w:pBdr>
        <w:ind w:left="0"/>
        <w:jc w:val="left"/>
        <w:rPr>
          <w:b/>
          <w:color w:val="000000"/>
          <w:sz w:val="32"/>
          <w:szCs w:val="32"/>
        </w:rPr>
      </w:pPr>
    </w:p>
    <w:p w14:paraId="00000002" w14:textId="1E9C88C3" w:rsidR="00F810E0" w:rsidRDefault="00B15219">
      <w:pPr>
        <w:keepNext/>
        <w:pBdr>
          <w:top w:val="nil"/>
          <w:left w:val="nil"/>
          <w:bottom w:val="nil"/>
          <w:right w:val="nil"/>
          <w:between w:val="nil"/>
        </w:pBdr>
        <w:ind w:left="0"/>
        <w:jc w:val="left"/>
        <w:rPr>
          <w:b/>
          <w:color w:val="000000"/>
          <w:sz w:val="36"/>
          <w:szCs w:val="36"/>
        </w:rPr>
      </w:pPr>
      <w:r>
        <w:rPr>
          <w:b/>
          <w:color w:val="000000"/>
          <w:sz w:val="36"/>
          <w:szCs w:val="36"/>
        </w:rPr>
        <w:t xml:space="preserve">Call-Off Schedule </w:t>
      </w:r>
      <w:r w:rsidR="00623741">
        <w:rPr>
          <w:b/>
          <w:color w:val="000000"/>
          <w:sz w:val="36"/>
          <w:szCs w:val="36"/>
        </w:rPr>
        <w:t xml:space="preserve">24 </w:t>
      </w:r>
      <w:r>
        <w:rPr>
          <w:b/>
          <w:color w:val="000000"/>
          <w:sz w:val="36"/>
          <w:szCs w:val="36"/>
        </w:rPr>
        <w:t>(</w:t>
      </w:r>
      <w:r w:rsidR="00623741">
        <w:rPr>
          <w:b/>
          <w:color w:val="000000"/>
          <w:sz w:val="36"/>
          <w:szCs w:val="36"/>
        </w:rPr>
        <w:t>Corporate Resolution Planning</w:t>
      </w:r>
      <w:r>
        <w:rPr>
          <w:b/>
          <w:color w:val="000000"/>
          <w:sz w:val="36"/>
          <w:szCs w:val="36"/>
        </w:rPr>
        <w:t>)</w:t>
      </w:r>
    </w:p>
    <w:p w14:paraId="00000003" w14:textId="77777777" w:rsidR="00F810E0" w:rsidRDefault="00B15219" w:rsidP="00490B5D">
      <w:pPr>
        <w:keepNext/>
        <w:numPr>
          <w:ilvl w:val="0"/>
          <w:numId w:val="6"/>
        </w:numPr>
        <w:pBdr>
          <w:top w:val="nil"/>
          <w:left w:val="nil"/>
          <w:bottom w:val="nil"/>
          <w:right w:val="nil"/>
          <w:between w:val="nil"/>
        </w:pBdr>
        <w:tabs>
          <w:tab w:val="left" w:pos="0"/>
        </w:tabs>
        <w:spacing w:before="240"/>
        <w:jc w:val="left"/>
        <w:rPr>
          <w:b/>
          <w:smallCaps/>
          <w:color w:val="000000"/>
          <w:sz w:val="24"/>
          <w:szCs w:val="24"/>
        </w:rPr>
      </w:pPr>
      <w:bookmarkStart w:id="0" w:name="_heading=h.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00000004" w14:textId="77777777" w:rsidR="00F810E0" w:rsidRDefault="00B15219" w:rsidP="00490B5D">
      <w:pPr>
        <w:keepNext/>
        <w:numPr>
          <w:ilvl w:val="1"/>
          <w:numId w:val="6"/>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0"/>
        <w:tblW w:w="8172" w:type="dxa"/>
        <w:tblInd w:w="1008" w:type="dxa"/>
        <w:tblLayout w:type="fixed"/>
        <w:tblLook w:val="0400" w:firstRow="0" w:lastRow="0" w:firstColumn="0" w:lastColumn="0" w:noHBand="0" w:noVBand="1"/>
      </w:tblPr>
      <w:tblGrid>
        <w:gridCol w:w="3097"/>
        <w:gridCol w:w="5075"/>
      </w:tblGrid>
      <w:tr w:rsidR="00217BFC" w:rsidRPr="00F01EBF" w14:paraId="5CA215C6" w14:textId="77777777" w:rsidTr="0097484D">
        <w:tc>
          <w:tcPr>
            <w:tcW w:w="3097" w:type="dxa"/>
          </w:tcPr>
          <w:p w14:paraId="275198B3" w14:textId="64348124" w:rsidR="00217BFC" w:rsidRPr="00F01EBF" w:rsidRDefault="00217BFC" w:rsidP="00217BFC">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"Accounting Reference Date"</w:t>
            </w:r>
          </w:p>
        </w:tc>
        <w:tc>
          <w:tcPr>
            <w:tcW w:w="5075" w:type="dxa"/>
          </w:tcPr>
          <w:p w14:paraId="005BCBB2" w14:textId="4D4B1E77" w:rsidR="00217BFC" w:rsidRPr="00F01EBF" w:rsidRDefault="00217BFC" w:rsidP="00217BFC">
            <w:pPr>
              <w:pBdr>
                <w:top w:val="nil"/>
                <w:left w:val="nil"/>
                <w:bottom w:val="nil"/>
                <w:right w:val="nil"/>
                <w:between w:val="nil"/>
              </w:pBdr>
              <w:spacing w:before="100" w:after="200"/>
              <w:ind w:left="0"/>
              <w:jc w:val="left"/>
              <w:rPr>
                <w:rFonts w:ascii="Arial" w:hAnsi="Arial" w:cs="Arial"/>
                <w:sz w:val="24"/>
                <w:szCs w:val="24"/>
              </w:rPr>
            </w:pPr>
            <w:r w:rsidRPr="00F01EBF">
              <w:rPr>
                <w:rFonts w:ascii="Arial" w:hAnsi="Arial" w:cs="Arial"/>
                <w:sz w:val="24"/>
                <w:szCs w:val="24"/>
              </w:rPr>
              <w:t>means in each year the date to which the Supplier prepares its annual audited financial statements;</w:t>
            </w:r>
          </w:p>
        </w:tc>
      </w:tr>
      <w:tr w:rsidR="007261A6" w:rsidRPr="00F01EBF" w14:paraId="706065BB" w14:textId="77777777" w:rsidTr="0097484D">
        <w:tc>
          <w:tcPr>
            <w:tcW w:w="3097" w:type="dxa"/>
          </w:tcPr>
          <w:p w14:paraId="564E9C28" w14:textId="2E21E1BA" w:rsidR="007261A6" w:rsidRPr="00F01EBF" w:rsidRDefault="007261A6" w:rsidP="007261A6">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“Annual Revenue”</w:t>
            </w:r>
          </w:p>
        </w:tc>
        <w:tc>
          <w:tcPr>
            <w:tcW w:w="5075" w:type="dxa"/>
          </w:tcPr>
          <w:p w14:paraId="64DD7B6D" w14:textId="77777777" w:rsidR="007261A6" w:rsidRPr="00F01EBF" w:rsidRDefault="007261A6" w:rsidP="007261A6">
            <w:pPr>
              <w:pBdr>
                <w:top w:val="nil"/>
                <w:left w:val="nil"/>
                <w:bottom w:val="nil"/>
                <w:right w:val="nil"/>
                <w:between w:val="nil"/>
              </w:pBdr>
              <w:spacing w:before="100" w:after="200"/>
              <w:ind w:left="0"/>
              <w:jc w:val="left"/>
              <w:rPr>
                <w:rFonts w:ascii="Arial" w:hAnsi="Arial" w:cs="Arial"/>
                <w:sz w:val="24"/>
                <w:szCs w:val="24"/>
              </w:rPr>
            </w:pPr>
            <w:r w:rsidRPr="00F01EBF">
              <w:rPr>
                <w:rFonts w:ascii="Arial" w:hAnsi="Arial" w:cs="Arial"/>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1FD50327" w14:textId="77777777" w:rsidR="007261A6" w:rsidRPr="00F01EBF" w:rsidRDefault="007261A6" w:rsidP="0097484D">
            <w:pPr>
              <w:pBdr>
                <w:top w:val="nil"/>
                <w:left w:val="nil"/>
                <w:bottom w:val="nil"/>
                <w:right w:val="nil"/>
                <w:between w:val="nil"/>
              </w:pBdr>
              <w:spacing w:after="240"/>
              <w:ind w:left="0"/>
              <w:rPr>
                <w:rFonts w:ascii="Arial" w:hAnsi="Arial" w:cs="Arial"/>
                <w:sz w:val="24"/>
                <w:szCs w:val="24"/>
              </w:rPr>
            </w:pPr>
            <w:r w:rsidRPr="00F01EBF">
              <w:rPr>
                <w:rFonts w:ascii="Arial" w:hAnsi="Arial" w:cs="Arial"/>
                <w:sz w:val="24"/>
                <w:szCs w:val="24"/>
              </w:rPr>
              <w:t xml:space="preserve">figures for accounting periods of other than 12 months should be scaled pro rata to produce a </w:t>
            </w:r>
            <w:proofErr w:type="spellStart"/>
            <w:r w:rsidRPr="00F01EBF">
              <w:rPr>
                <w:rFonts w:ascii="Arial" w:hAnsi="Arial" w:cs="Arial"/>
                <w:sz w:val="24"/>
                <w:szCs w:val="24"/>
              </w:rPr>
              <w:t>proforma</w:t>
            </w:r>
            <w:proofErr w:type="spellEnd"/>
            <w:r w:rsidRPr="00F01EBF">
              <w:rPr>
                <w:rFonts w:ascii="Arial" w:hAnsi="Arial" w:cs="Arial"/>
                <w:sz w:val="24"/>
                <w:szCs w:val="24"/>
              </w:rPr>
              <w:t xml:space="preserve"> figure for a 12 month period; and</w:t>
            </w:r>
          </w:p>
          <w:p w14:paraId="20C994DB" w14:textId="49E6C0FD" w:rsidR="007261A6" w:rsidRPr="00F01EBF" w:rsidRDefault="007261A6" w:rsidP="0097484D">
            <w:pPr>
              <w:pBdr>
                <w:top w:val="nil"/>
                <w:left w:val="nil"/>
                <w:bottom w:val="nil"/>
                <w:right w:val="nil"/>
                <w:between w:val="nil"/>
              </w:pBdr>
              <w:tabs>
                <w:tab w:val="left" w:pos="-9"/>
              </w:tabs>
              <w:spacing w:after="120"/>
              <w:ind w:left="0"/>
              <w:jc w:val="left"/>
              <w:rPr>
                <w:rFonts w:ascii="Arial" w:hAnsi="Arial" w:cs="Arial"/>
                <w:sz w:val="24"/>
                <w:szCs w:val="24"/>
              </w:rPr>
            </w:pPr>
            <w:r w:rsidRPr="00F01EBF">
              <w:rPr>
                <w:rFonts w:ascii="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83014E" w:rsidRPr="00F01EBF" w14:paraId="5E8D8BAC" w14:textId="77777777" w:rsidTr="0097484D">
        <w:tc>
          <w:tcPr>
            <w:tcW w:w="3097" w:type="dxa"/>
          </w:tcPr>
          <w:p w14:paraId="56B6DB88" w14:textId="20687427"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“Appropriate Authority” or “Appropriate Authorities”</w:t>
            </w:r>
          </w:p>
        </w:tc>
        <w:tc>
          <w:tcPr>
            <w:tcW w:w="5075" w:type="dxa"/>
          </w:tcPr>
          <w:p w14:paraId="4010C620" w14:textId="5E7C7AF7" w:rsidR="0083014E" w:rsidRPr="00F01EBF" w:rsidRDefault="0083014E" w:rsidP="0083014E">
            <w:pPr>
              <w:pBdr>
                <w:top w:val="nil"/>
                <w:left w:val="nil"/>
                <w:bottom w:val="nil"/>
                <w:right w:val="nil"/>
                <w:between w:val="nil"/>
              </w:pBdr>
              <w:spacing w:before="100" w:after="200"/>
              <w:ind w:left="0"/>
              <w:jc w:val="left"/>
              <w:rPr>
                <w:rFonts w:ascii="Arial" w:hAnsi="Arial" w:cs="Arial"/>
                <w:sz w:val="24"/>
                <w:szCs w:val="24"/>
              </w:rPr>
            </w:pPr>
            <w:r w:rsidRPr="00F01EBF">
              <w:rPr>
                <w:rFonts w:ascii="Arial" w:hAnsi="Arial" w:cs="Arial"/>
                <w:sz w:val="24"/>
                <w:szCs w:val="24"/>
              </w:rPr>
              <w:t>means the Buyer and the Cabinet Office Markets and Suppliers Team or, where the Supplier is a Strategic Supplier, the Cabinet Office Markets and Suppliers Team;</w:t>
            </w:r>
          </w:p>
        </w:tc>
      </w:tr>
      <w:tr w:rsidR="0083014E" w:rsidRPr="00F01EBF" w14:paraId="507AD3E1" w14:textId="77777777" w:rsidTr="0097484D">
        <w:tc>
          <w:tcPr>
            <w:tcW w:w="3097" w:type="dxa"/>
          </w:tcPr>
          <w:p w14:paraId="78518930" w14:textId="763753B7"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6B08ED0C" w14:textId="0BC13E80" w:rsidR="0083014E" w:rsidRPr="00F01EBF" w:rsidRDefault="0083014E" w:rsidP="0083014E">
            <w:pPr>
              <w:pBdr>
                <w:top w:val="nil"/>
                <w:left w:val="nil"/>
                <w:bottom w:val="nil"/>
                <w:right w:val="nil"/>
                <w:between w:val="nil"/>
              </w:pBdr>
              <w:spacing w:before="100" w:after="200"/>
              <w:ind w:left="0"/>
              <w:jc w:val="left"/>
              <w:rPr>
                <w:rFonts w:ascii="Arial" w:hAnsi="Arial" w:cs="Arial"/>
                <w:sz w:val="24"/>
                <w:szCs w:val="24"/>
              </w:rPr>
            </w:pPr>
          </w:p>
        </w:tc>
      </w:tr>
      <w:tr w:rsidR="00304153" w:rsidRPr="00F01EBF" w14:paraId="080BCEF9" w14:textId="77777777" w:rsidTr="00490B5D">
        <w:tc>
          <w:tcPr>
            <w:tcW w:w="3097" w:type="dxa"/>
          </w:tcPr>
          <w:p w14:paraId="44FB6024" w14:textId="5AACEE70" w:rsidR="00304153" w:rsidRPr="00F01EBF" w:rsidDel="00304153" w:rsidRDefault="00304153" w:rsidP="00304153">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"Cabinet Office Markets and Suppliers Team"</w:t>
            </w:r>
          </w:p>
        </w:tc>
        <w:tc>
          <w:tcPr>
            <w:tcW w:w="5075" w:type="dxa"/>
          </w:tcPr>
          <w:p w14:paraId="7AA4317F" w14:textId="374436B9" w:rsidR="00304153" w:rsidRPr="00F01EBF" w:rsidDel="00304153" w:rsidRDefault="00304153" w:rsidP="00304153">
            <w:pPr>
              <w:pBdr>
                <w:top w:val="nil"/>
                <w:left w:val="nil"/>
                <w:bottom w:val="nil"/>
                <w:right w:val="nil"/>
                <w:between w:val="nil"/>
              </w:pBdr>
              <w:tabs>
                <w:tab w:val="left" w:pos="-9"/>
              </w:tabs>
              <w:spacing w:after="120"/>
              <w:ind w:left="0"/>
              <w:jc w:val="left"/>
              <w:rPr>
                <w:rFonts w:ascii="Arial" w:hAnsi="Arial" w:cs="Arial"/>
                <w:sz w:val="24"/>
                <w:szCs w:val="24"/>
              </w:rPr>
            </w:pPr>
            <w:r w:rsidRPr="00F01EBF">
              <w:rPr>
                <w:rFonts w:ascii="Arial" w:hAnsi="Arial" w:cs="Arial"/>
                <w:sz w:val="24"/>
                <w:szCs w:val="24"/>
              </w:rPr>
              <w:t>means the UK Government’s team responsible for managing the relationship between government and its Strategic Suppliers, or any replacement or successor body carrying out the same function;</w:t>
            </w:r>
          </w:p>
        </w:tc>
      </w:tr>
      <w:tr w:rsidR="0083014E" w:rsidRPr="00F01EBF" w14:paraId="265091C0" w14:textId="77777777" w:rsidTr="00490B5D">
        <w:tc>
          <w:tcPr>
            <w:tcW w:w="3097" w:type="dxa"/>
          </w:tcPr>
          <w:p w14:paraId="00000005" w14:textId="0F87674E"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06" w14:textId="5892D4A8" w:rsidR="0083014E" w:rsidRPr="00F01EBF"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rsidRPr="00F01EBF" w14:paraId="7BF44851" w14:textId="77777777" w:rsidTr="00490B5D">
        <w:tc>
          <w:tcPr>
            <w:tcW w:w="3097" w:type="dxa"/>
          </w:tcPr>
          <w:p w14:paraId="00000007" w14:textId="13F50926"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08" w14:textId="794E357A" w:rsidR="0083014E" w:rsidRPr="00F01EBF"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rsidRPr="00F01EBF" w14:paraId="0AFEBCB1" w14:textId="77777777" w:rsidTr="0097484D">
        <w:tc>
          <w:tcPr>
            <w:tcW w:w="3097" w:type="dxa"/>
          </w:tcPr>
          <w:p w14:paraId="4FDC3380" w14:textId="11AC7AF9"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“Class 1 Transaction”</w:t>
            </w:r>
          </w:p>
        </w:tc>
        <w:tc>
          <w:tcPr>
            <w:tcW w:w="5075" w:type="dxa"/>
          </w:tcPr>
          <w:p w14:paraId="4DB09987" w14:textId="20F65C01" w:rsidR="0083014E" w:rsidRPr="00F01EBF"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F01EBF">
              <w:rPr>
                <w:rFonts w:ascii="Arial" w:hAnsi="Arial" w:cs="Arial"/>
                <w:sz w:val="24"/>
                <w:szCs w:val="24"/>
              </w:rPr>
              <w:t>has the meaning set out in the listing rules issued by the UK Listing Authority;</w:t>
            </w:r>
          </w:p>
        </w:tc>
      </w:tr>
      <w:tr w:rsidR="0083014E" w:rsidRPr="00F01EBF" w14:paraId="5076513C" w14:textId="77777777" w:rsidTr="0097484D">
        <w:tc>
          <w:tcPr>
            <w:tcW w:w="3097" w:type="dxa"/>
          </w:tcPr>
          <w:p w14:paraId="59A6933F" w14:textId="26345906"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“Control”</w:t>
            </w:r>
          </w:p>
        </w:tc>
        <w:tc>
          <w:tcPr>
            <w:tcW w:w="5075" w:type="dxa"/>
          </w:tcPr>
          <w:p w14:paraId="666BCBCC" w14:textId="4147F9AC" w:rsidR="0083014E" w:rsidRPr="00F01EBF"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F01EBF">
              <w:rPr>
                <w:rFonts w:ascii="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83014E" w:rsidRPr="00F01EBF" w14:paraId="2524D25B" w14:textId="77777777" w:rsidTr="0097484D">
        <w:tc>
          <w:tcPr>
            <w:tcW w:w="3097" w:type="dxa"/>
          </w:tcPr>
          <w:p w14:paraId="1CDF91DB" w14:textId="014201B2"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“Corporate Change Event”</w:t>
            </w:r>
          </w:p>
        </w:tc>
        <w:tc>
          <w:tcPr>
            <w:tcW w:w="5075" w:type="dxa"/>
          </w:tcPr>
          <w:p w14:paraId="5C47C4B5" w14:textId="77777777" w:rsidR="0083014E" w:rsidRPr="00F01EBF" w:rsidRDefault="0083014E" w:rsidP="00A203BD">
            <w:pPr>
              <w:pStyle w:val="ListParagraph"/>
              <w:pBdr>
                <w:top w:val="nil"/>
                <w:left w:val="nil"/>
                <w:bottom w:val="nil"/>
                <w:right w:val="nil"/>
                <w:between w:val="nil"/>
              </w:pBdr>
              <w:spacing w:before="100" w:after="200"/>
              <w:ind w:left="0"/>
              <w:jc w:val="left"/>
              <w:rPr>
                <w:rFonts w:ascii="Arial" w:hAnsi="Arial" w:cs="Arial"/>
                <w:sz w:val="24"/>
                <w:szCs w:val="24"/>
              </w:rPr>
            </w:pPr>
            <w:r w:rsidRPr="00F01EBF">
              <w:rPr>
                <w:rFonts w:ascii="Arial" w:hAnsi="Arial" w:cs="Arial"/>
                <w:sz w:val="24"/>
                <w:szCs w:val="24"/>
              </w:rPr>
              <w:t>means:</w:t>
            </w:r>
          </w:p>
          <w:p w14:paraId="485232B0" w14:textId="6A848583" w:rsidR="0083014E" w:rsidRPr="00F01EBF"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01EBF">
              <w:rPr>
                <w:rFonts w:ascii="Arial" w:hAnsi="Arial" w:cs="Arial"/>
                <w:sz w:val="24"/>
                <w:szCs w:val="24"/>
              </w:rPr>
              <w:t>any change of Control of the Supplier or a Parent Undertaking of the Supplier;</w:t>
            </w:r>
          </w:p>
          <w:p w14:paraId="146F7490" w14:textId="0117B95B" w:rsidR="0083014E" w:rsidRPr="00F01EBF"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01EBF">
              <w:rPr>
                <w:rFonts w:ascii="Arial" w:hAnsi="Arial" w:cs="Arial"/>
                <w:sz w:val="24"/>
                <w:szCs w:val="24"/>
              </w:rPr>
              <w:t xml:space="preserve">any change of Control of any member of the Supplier Group which, in the reasonable opinion of the Buyer, could have a material adverse effect on the Deliverables; </w:t>
            </w:r>
          </w:p>
          <w:p w14:paraId="12D77E00" w14:textId="77777777" w:rsidR="0083014E" w:rsidRPr="00F01EBF"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01EBF">
              <w:rPr>
                <w:rFonts w:ascii="Arial" w:hAnsi="Arial" w:cs="Arial"/>
                <w:sz w:val="24"/>
                <w:szCs w:val="24"/>
              </w:rPr>
              <w:t>any change to the business of the Supplier or any member of the Supplier Group which, in the reasonable opinion of the Buyer, could have a material adverse effect on the Deliverables;</w:t>
            </w:r>
          </w:p>
          <w:p w14:paraId="700976A0" w14:textId="77777777" w:rsidR="0083014E" w:rsidRPr="00F01EBF"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01EBF">
              <w:rPr>
                <w:rFonts w:ascii="Arial" w:hAnsi="Arial" w:cs="Arial"/>
                <w:sz w:val="24"/>
                <w:szCs w:val="24"/>
              </w:rPr>
              <w:t>a Class 1 Transaction taking place in relation to the shares of the Supplier or any Parent Undertaking of the Supplier whose shares are listed on the main market of the London Stock Exchange plc;</w:t>
            </w:r>
          </w:p>
          <w:p w14:paraId="3618D3E8" w14:textId="77777777" w:rsidR="0083014E" w:rsidRPr="00F01EBF"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01EBF">
              <w:rPr>
                <w:rFonts w:ascii="Arial" w:hAnsi="Arial" w:cs="Arial"/>
                <w:sz w:val="24"/>
                <w:szCs w:val="24"/>
              </w:rPr>
              <w:t>an event that could reasonably be regarded as being equivalent to a Class 1 Transaction taking place in respect of the Supplier or any Parent Undertaking of the Supplier;</w:t>
            </w:r>
          </w:p>
          <w:p w14:paraId="718647D1" w14:textId="77777777" w:rsidR="0083014E" w:rsidRPr="00F01EBF"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01EBF">
              <w:rPr>
                <w:rFonts w:ascii="Arial" w:hAnsi="Arial" w:cs="Arial"/>
                <w:sz w:val="24"/>
                <w:szCs w:val="24"/>
              </w:rPr>
              <w:t>payment of dividends by the Supplier or the ultimate Parent Undertaking of the Supplier Group exceeding 25% of the Net Asset Value of the Supplier or the ultimate Parent Undertaking of the Supplier Group respectively in any 12 month period;</w:t>
            </w:r>
          </w:p>
          <w:p w14:paraId="477E0347" w14:textId="77777777" w:rsidR="0083014E" w:rsidRPr="00F01EBF"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01EBF">
              <w:rPr>
                <w:rFonts w:ascii="Arial" w:hAnsi="Arial" w:cs="Arial"/>
                <w:sz w:val="24"/>
                <w:szCs w:val="24"/>
              </w:rPr>
              <w:t xml:space="preserve">an order is made or an effective resolution is passed for the winding up of any member of the Supplier Group; </w:t>
            </w:r>
          </w:p>
          <w:p w14:paraId="4850996D" w14:textId="77777777" w:rsidR="0083014E" w:rsidRPr="00F01EBF"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01EBF">
              <w:rPr>
                <w:rFonts w:ascii="Arial" w:hAnsi="Arial" w:cs="Arial"/>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71AD43F" w14:textId="77777777" w:rsidR="0083014E" w:rsidRPr="00F01EBF"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01EBF">
              <w:rPr>
                <w:rFonts w:ascii="Arial" w:hAnsi="Arial" w:cs="Arial"/>
                <w:sz w:val="24"/>
                <w:szCs w:val="24"/>
              </w:rPr>
              <w:t>the appointment of a receiver, administrative receiver or administrator in respect of or over all or a material part of the undertaking or assets of any member of the Supplier Group; and/or</w:t>
            </w:r>
          </w:p>
          <w:p w14:paraId="47EB3388" w14:textId="3B4D5312" w:rsidR="0083014E" w:rsidRPr="00F01EBF"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01EBF">
              <w:rPr>
                <w:rFonts w:ascii="Arial" w:hAnsi="Arial" w:cs="Arial"/>
                <w:sz w:val="24"/>
                <w:szCs w:val="24"/>
              </w:rPr>
              <w:t>any process or events with an effect analogous to those in paragraphs (e) to (g) inclusive above occurring to a member of the Supplier Group in a jurisdiction outside England and Wales;</w:t>
            </w:r>
          </w:p>
        </w:tc>
      </w:tr>
      <w:tr w:rsidR="00182042" w:rsidRPr="00F01EBF" w14:paraId="61A2AB03" w14:textId="77777777" w:rsidTr="0097484D">
        <w:tc>
          <w:tcPr>
            <w:tcW w:w="3097" w:type="dxa"/>
          </w:tcPr>
          <w:p w14:paraId="01ECF430" w14:textId="5440E2FD" w:rsidR="00182042" w:rsidRPr="00F01EBF" w:rsidRDefault="00182042" w:rsidP="00182042">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"Corporate Change Event Grace Period"</w:t>
            </w:r>
          </w:p>
        </w:tc>
        <w:tc>
          <w:tcPr>
            <w:tcW w:w="5075" w:type="dxa"/>
          </w:tcPr>
          <w:p w14:paraId="7A60762E" w14:textId="5F5A7011" w:rsidR="00182042" w:rsidRPr="00F01EBF" w:rsidRDefault="00182042" w:rsidP="00D02588">
            <w:pPr>
              <w:pBdr>
                <w:top w:val="nil"/>
                <w:left w:val="nil"/>
                <w:bottom w:val="nil"/>
                <w:right w:val="nil"/>
                <w:between w:val="nil"/>
              </w:pBdr>
              <w:spacing w:before="100" w:after="200"/>
              <w:ind w:left="0"/>
              <w:jc w:val="left"/>
              <w:rPr>
                <w:rFonts w:ascii="Arial" w:hAnsi="Arial" w:cs="Arial"/>
                <w:sz w:val="24"/>
                <w:szCs w:val="24"/>
              </w:rPr>
            </w:pPr>
            <w:r w:rsidRPr="00F01EBF">
              <w:rPr>
                <w:rFonts w:ascii="Arial" w:hAnsi="Arial" w:cs="Arial"/>
                <w:sz w:val="24"/>
                <w:szCs w:val="24"/>
              </w:rPr>
              <w:t xml:space="preserve">means a grace period agreed to by the Appropriate Authority for providing CRP Information and/or updates to </w:t>
            </w:r>
            <w:r w:rsidR="0052345E" w:rsidRPr="00F01EBF">
              <w:rPr>
                <w:rFonts w:ascii="Arial" w:hAnsi="Arial" w:cs="Arial"/>
                <w:sz w:val="24"/>
                <w:szCs w:val="24"/>
              </w:rPr>
              <w:t xml:space="preserve">Business </w:t>
            </w:r>
            <w:r w:rsidRPr="00F01EBF">
              <w:rPr>
                <w:rFonts w:ascii="Arial" w:hAnsi="Arial" w:cs="Arial"/>
                <w:sz w:val="24"/>
                <w:szCs w:val="24"/>
              </w:rPr>
              <w:t xml:space="preserve"> Continuity Plan after a Corporate Change Event</w:t>
            </w:r>
            <w:r w:rsidR="0052345E" w:rsidRPr="00F01EBF">
              <w:rPr>
                <w:rFonts w:ascii="Arial" w:hAnsi="Arial" w:cs="Arial"/>
                <w:sz w:val="24"/>
                <w:szCs w:val="24"/>
              </w:rPr>
              <w:t>;</w:t>
            </w:r>
          </w:p>
        </w:tc>
      </w:tr>
      <w:tr w:rsidR="00182042" w:rsidRPr="00F01EBF" w14:paraId="7469A40A" w14:textId="77777777" w:rsidTr="0097484D">
        <w:tc>
          <w:tcPr>
            <w:tcW w:w="3097" w:type="dxa"/>
          </w:tcPr>
          <w:p w14:paraId="28A2CAED" w14:textId="32661444" w:rsidR="00182042" w:rsidRPr="00F01EBF" w:rsidRDefault="00182042" w:rsidP="00182042">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"Corporate Resolvability Assessment (Structural Review)"</w:t>
            </w:r>
          </w:p>
        </w:tc>
        <w:tc>
          <w:tcPr>
            <w:tcW w:w="5075" w:type="dxa"/>
          </w:tcPr>
          <w:p w14:paraId="084FB1EE" w14:textId="165750A8" w:rsidR="00182042" w:rsidRPr="00F01EBF" w:rsidRDefault="00182042" w:rsidP="00D02588">
            <w:pPr>
              <w:pBdr>
                <w:top w:val="nil"/>
                <w:left w:val="nil"/>
                <w:bottom w:val="nil"/>
                <w:right w:val="nil"/>
                <w:between w:val="nil"/>
              </w:pBdr>
              <w:spacing w:before="100" w:after="200"/>
              <w:ind w:left="0"/>
              <w:jc w:val="left"/>
              <w:rPr>
                <w:rFonts w:ascii="Arial" w:hAnsi="Arial" w:cs="Arial"/>
                <w:sz w:val="24"/>
                <w:szCs w:val="24"/>
              </w:rPr>
            </w:pPr>
            <w:r w:rsidRPr="00F01EBF">
              <w:rPr>
                <w:rFonts w:ascii="Arial" w:hAnsi="Arial" w:cs="Arial"/>
                <w:sz w:val="24"/>
                <w:szCs w:val="24"/>
              </w:rPr>
              <w:t xml:space="preserve">means part of the CRP Information relating to the Supplier Group to be provided by the Supplier in accordance with Paragraph </w:t>
            </w:r>
            <w:r w:rsidRPr="00F01EBF">
              <w:rPr>
                <w:sz w:val="24"/>
                <w:szCs w:val="24"/>
              </w:rPr>
              <w:fldChar w:fldCharType="begin"/>
            </w:r>
            <w:r w:rsidRPr="00F01EBF">
              <w:rPr>
                <w:rFonts w:ascii="Arial" w:hAnsi="Arial" w:cs="Arial"/>
                <w:sz w:val="24"/>
                <w:szCs w:val="24"/>
              </w:rPr>
              <w:instrText xml:space="preserve"> REF _Ref87019906 \r \h  \* MERGEFORMAT </w:instrText>
            </w:r>
            <w:r w:rsidRPr="00F01EBF">
              <w:rPr>
                <w:sz w:val="24"/>
                <w:szCs w:val="24"/>
              </w:rPr>
            </w:r>
            <w:r w:rsidRPr="00F01EBF">
              <w:rPr>
                <w:sz w:val="24"/>
                <w:szCs w:val="24"/>
              </w:rPr>
              <w:fldChar w:fldCharType="separate"/>
            </w:r>
            <w:r w:rsidRPr="00F01EBF">
              <w:rPr>
                <w:rFonts w:ascii="Arial" w:hAnsi="Arial" w:cs="Arial"/>
                <w:sz w:val="24"/>
                <w:szCs w:val="24"/>
              </w:rPr>
              <w:t>3</w:t>
            </w:r>
            <w:r w:rsidRPr="00F01EBF">
              <w:rPr>
                <w:sz w:val="24"/>
                <w:szCs w:val="24"/>
              </w:rPr>
              <w:fldChar w:fldCharType="end"/>
            </w:r>
            <w:r w:rsidRPr="00F01EBF">
              <w:rPr>
                <w:rFonts w:ascii="Arial" w:hAnsi="Arial" w:cs="Arial"/>
                <w:sz w:val="24"/>
                <w:szCs w:val="24"/>
              </w:rPr>
              <w:t xml:space="preserve"> and </w:t>
            </w:r>
            <w:r w:rsidRPr="00F01EBF">
              <w:rPr>
                <w:sz w:val="24"/>
                <w:szCs w:val="24"/>
              </w:rPr>
              <w:fldChar w:fldCharType="begin"/>
            </w:r>
            <w:r w:rsidRPr="00F01EBF">
              <w:rPr>
                <w:rFonts w:ascii="Arial" w:hAnsi="Arial" w:cs="Arial"/>
                <w:sz w:val="24"/>
                <w:szCs w:val="24"/>
              </w:rPr>
              <w:instrText xml:space="preserve"> REF _9kR3WTrAG9DLGJo4uttpABvVAEGpoKM88RQBdhB \w \h  \* MERGEFORMAT </w:instrText>
            </w:r>
            <w:r w:rsidRPr="00F01EBF">
              <w:rPr>
                <w:sz w:val="24"/>
                <w:szCs w:val="24"/>
              </w:rPr>
            </w:r>
            <w:r w:rsidRPr="00F01EBF">
              <w:rPr>
                <w:sz w:val="24"/>
                <w:szCs w:val="24"/>
              </w:rPr>
              <w:fldChar w:fldCharType="separate"/>
            </w:r>
            <w:r w:rsidRPr="00F01EBF">
              <w:rPr>
                <w:rFonts w:ascii="Arial" w:hAnsi="Arial" w:cs="Arial"/>
                <w:sz w:val="24"/>
                <w:szCs w:val="24"/>
              </w:rPr>
              <w:t xml:space="preserve">Annex </w:t>
            </w:r>
            <w:r w:rsidRPr="00F01EBF">
              <w:rPr>
                <w:sz w:val="24"/>
                <w:szCs w:val="24"/>
              </w:rPr>
              <w:fldChar w:fldCharType="end"/>
            </w:r>
            <w:r w:rsidRPr="00F01EBF">
              <w:rPr>
                <w:rFonts w:ascii="Arial" w:hAnsi="Arial" w:cs="Arial"/>
                <w:sz w:val="24"/>
                <w:szCs w:val="24"/>
              </w:rPr>
              <w:t>2 of this Schedule;</w:t>
            </w:r>
          </w:p>
        </w:tc>
      </w:tr>
      <w:tr w:rsidR="0083014E" w:rsidRPr="00F01EBF" w14:paraId="76ADB88B" w14:textId="77777777" w:rsidTr="0097484D">
        <w:tc>
          <w:tcPr>
            <w:tcW w:w="3097" w:type="dxa"/>
          </w:tcPr>
          <w:p w14:paraId="0235D059" w14:textId="75FA534E"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“Critical National Infrastructure”</w:t>
            </w:r>
            <w:r w:rsidR="00AC1050" w:rsidRPr="00F01EBF">
              <w:rPr>
                <w:rFonts w:ascii="Arial" w:hAnsi="Arial" w:cs="Arial"/>
                <w:b/>
                <w:sz w:val="24"/>
                <w:szCs w:val="24"/>
              </w:rPr>
              <w:t xml:space="preserve"> or “CNI”</w:t>
            </w:r>
          </w:p>
        </w:tc>
        <w:tc>
          <w:tcPr>
            <w:tcW w:w="5075" w:type="dxa"/>
          </w:tcPr>
          <w:p w14:paraId="5360AC92" w14:textId="77777777" w:rsidR="0083014E" w:rsidRPr="00F01EBF" w:rsidRDefault="0083014E" w:rsidP="0083014E">
            <w:pPr>
              <w:pBdr>
                <w:top w:val="nil"/>
                <w:left w:val="nil"/>
                <w:bottom w:val="nil"/>
                <w:right w:val="nil"/>
                <w:between w:val="nil"/>
              </w:pBdr>
              <w:spacing w:before="100" w:after="200"/>
              <w:ind w:left="0"/>
              <w:jc w:val="left"/>
              <w:rPr>
                <w:rFonts w:ascii="Arial" w:hAnsi="Arial" w:cs="Arial"/>
                <w:sz w:val="24"/>
                <w:szCs w:val="24"/>
              </w:rPr>
            </w:pPr>
            <w:r w:rsidRPr="00F01EBF">
              <w:rPr>
                <w:rFonts w:ascii="Arial" w:hAnsi="Arial" w:cs="Arial"/>
                <w:sz w:val="24"/>
                <w:szCs w:val="24"/>
              </w:rPr>
              <w:t>means those critical elements of UK national infrastructure (namely assets, facilities, systems, networks or processes and the essential workers that operate and facilitate them), the loss or compromise of which could result in:</w:t>
            </w:r>
          </w:p>
          <w:p w14:paraId="3EC940FE" w14:textId="77777777" w:rsidR="0083014E" w:rsidRPr="00F01EBF" w:rsidRDefault="0083014E" w:rsidP="0083014E">
            <w:pPr>
              <w:pBdr>
                <w:top w:val="nil"/>
                <w:left w:val="nil"/>
                <w:bottom w:val="nil"/>
                <w:right w:val="nil"/>
                <w:between w:val="nil"/>
              </w:pBdr>
              <w:spacing w:after="240"/>
              <w:ind w:left="0"/>
              <w:rPr>
                <w:rFonts w:ascii="Arial" w:hAnsi="Arial" w:cs="Arial"/>
                <w:sz w:val="24"/>
                <w:szCs w:val="24"/>
              </w:rPr>
            </w:pPr>
            <w:r w:rsidRPr="00F01EBF">
              <w:rPr>
                <w:rFonts w:ascii="Arial" w:hAnsi="Arial" w:cs="Arial"/>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65869276" w14:textId="49CF35F3" w:rsidR="0083014E" w:rsidRPr="00F01EBF"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F01EBF">
              <w:rPr>
                <w:rFonts w:ascii="Arial" w:hAnsi="Arial" w:cs="Arial"/>
                <w:sz w:val="24"/>
                <w:szCs w:val="24"/>
              </w:rPr>
              <w:t>significant impact on the national security, national defence, or the functioning of the UK;</w:t>
            </w:r>
          </w:p>
        </w:tc>
      </w:tr>
      <w:tr w:rsidR="0083014E" w:rsidRPr="00F01EBF" w14:paraId="695E73B5" w14:textId="77777777" w:rsidTr="0097484D">
        <w:tc>
          <w:tcPr>
            <w:tcW w:w="3097" w:type="dxa"/>
          </w:tcPr>
          <w:p w14:paraId="018DB120" w14:textId="2D5597C6"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“Critical Service Contract”</w:t>
            </w:r>
          </w:p>
        </w:tc>
        <w:tc>
          <w:tcPr>
            <w:tcW w:w="5075" w:type="dxa"/>
          </w:tcPr>
          <w:p w14:paraId="33D0B938" w14:textId="06C8A9AD" w:rsidR="0083014E" w:rsidRPr="00F01EBF" w:rsidRDefault="00B33CE7" w:rsidP="0083014E">
            <w:pPr>
              <w:pBdr>
                <w:top w:val="nil"/>
                <w:left w:val="nil"/>
                <w:bottom w:val="nil"/>
                <w:right w:val="nil"/>
                <w:between w:val="nil"/>
              </w:pBdr>
              <w:tabs>
                <w:tab w:val="left" w:pos="-9"/>
              </w:tabs>
              <w:spacing w:after="120"/>
              <w:ind w:left="0"/>
              <w:jc w:val="left"/>
              <w:rPr>
                <w:rFonts w:ascii="Arial" w:hAnsi="Arial" w:cs="Arial"/>
                <w:sz w:val="24"/>
                <w:szCs w:val="24"/>
              </w:rPr>
            </w:pPr>
            <w:r w:rsidRPr="00F01EBF">
              <w:rPr>
                <w:rFonts w:ascii="Arial" w:hAnsi="Arial" w:cs="Arial"/>
                <w:sz w:val="24"/>
                <w:szCs w:val="24"/>
              </w:rPr>
              <w:t>means the overall status of the Services provided under the Contract as determined by the Buyer and specified in Paragraph 2 of this Schedule;</w:t>
            </w:r>
          </w:p>
        </w:tc>
      </w:tr>
      <w:tr w:rsidR="0083014E" w:rsidRPr="00F01EBF" w14:paraId="090F5318" w14:textId="77777777" w:rsidTr="0097484D">
        <w:tc>
          <w:tcPr>
            <w:tcW w:w="3097" w:type="dxa"/>
          </w:tcPr>
          <w:p w14:paraId="6789CE57" w14:textId="3B203634"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“CRP Information”</w:t>
            </w:r>
          </w:p>
        </w:tc>
        <w:tc>
          <w:tcPr>
            <w:tcW w:w="5075" w:type="dxa"/>
          </w:tcPr>
          <w:p w14:paraId="447CEEC4" w14:textId="5B21F4D6" w:rsidR="0083014E" w:rsidRPr="00F01EBF" w:rsidRDefault="00B33CE7" w:rsidP="0083014E">
            <w:pPr>
              <w:pBdr>
                <w:top w:val="nil"/>
                <w:left w:val="nil"/>
                <w:bottom w:val="nil"/>
                <w:right w:val="nil"/>
                <w:between w:val="nil"/>
              </w:pBdr>
              <w:spacing w:before="100" w:after="200"/>
              <w:ind w:left="0"/>
              <w:jc w:val="left"/>
              <w:rPr>
                <w:rFonts w:ascii="Arial" w:hAnsi="Arial" w:cs="Arial"/>
                <w:sz w:val="24"/>
                <w:szCs w:val="24"/>
              </w:rPr>
            </w:pPr>
            <w:r w:rsidRPr="00F01EBF">
              <w:rPr>
                <w:rFonts w:ascii="Arial" w:hAnsi="Arial" w:cs="Arial"/>
                <w:sz w:val="24"/>
                <w:szCs w:val="24"/>
              </w:rPr>
              <w:t>m</w:t>
            </w:r>
            <w:r w:rsidR="0083014E" w:rsidRPr="00F01EBF">
              <w:rPr>
                <w:rFonts w:ascii="Arial" w:hAnsi="Arial" w:cs="Arial"/>
                <w:sz w:val="24"/>
                <w:szCs w:val="24"/>
              </w:rPr>
              <w:t>eans</w:t>
            </w:r>
            <w:r w:rsidRPr="00F01EBF">
              <w:rPr>
                <w:rFonts w:ascii="Arial" w:hAnsi="Arial" w:cs="Arial"/>
                <w:sz w:val="24"/>
                <w:szCs w:val="24"/>
              </w:rPr>
              <w:t xml:space="preserve"> the corporate resolution planning information</w:t>
            </w:r>
            <w:r w:rsidR="0083014E" w:rsidRPr="00F01EBF">
              <w:rPr>
                <w:rFonts w:ascii="Arial" w:hAnsi="Arial" w:cs="Arial"/>
                <w:sz w:val="24"/>
                <w:szCs w:val="24"/>
              </w:rPr>
              <w:t>, together, the:</w:t>
            </w:r>
          </w:p>
          <w:p w14:paraId="2AA69D2B" w14:textId="77777777" w:rsidR="00B33CE7" w:rsidRPr="00F01EBF" w:rsidRDefault="00B33CE7" w:rsidP="00B33CE7">
            <w:pPr>
              <w:pStyle w:val="StdBodyText"/>
              <w:rPr>
                <w:rFonts w:ascii="Arial" w:hAnsi="Arial" w:cs="Arial"/>
              </w:rPr>
            </w:pPr>
            <w:r w:rsidRPr="00F01EBF">
              <w:rPr>
                <w:rFonts w:ascii="Arial" w:hAnsi="Arial" w:cs="Arial"/>
              </w:rPr>
              <w:t>(a) Exposure Information (Contracts List);</w:t>
            </w:r>
          </w:p>
          <w:p w14:paraId="54E848D8" w14:textId="77777777" w:rsidR="00B33CE7" w:rsidRPr="00F01EBF" w:rsidRDefault="00B33CE7" w:rsidP="00B33CE7">
            <w:pPr>
              <w:pStyle w:val="StdBodyText"/>
              <w:rPr>
                <w:rFonts w:ascii="Arial" w:hAnsi="Arial" w:cs="Arial"/>
              </w:rPr>
            </w:pPr>
            <w:r w:rsidRPr="00F01EBF">
              <w:rPr>
                <w:rFonts w:ascii="Arial" w:hAnsi="Arial" w:cs="Arial"/>
              </w:rPr>
              <w:t>(b) Corporate Resolvability Assessment (Structural Review); and</w:t>
            </w:r>
          </w:p>
          <w:p w14:paraId="2CBDD133" w14:textId="20E5F748" w:rsidR="0083014E" w:rsidRPr="00F01EBF" w:rsidRDefault="00B33CE7" w:rsidP="0083014E">
            <w:pPr>
              <w:pBdr>
                <w:top w:val="nil"/>
                <w:left w:val="nil"/>
                <w:bottom w:val="nil"/>
                <w:right w:val="nil"/>
                <w:between w:val="nil"/>
              </w:pBdr>
              <w:tabs>
                <w:tab w:val="left" w:pos="-9"/>
              </w:tabs>
              <w:spacing w:after="120"/>
              <w:ind w:left="0"/>
              <w:jc w:val="left"/>
              <w:rPr>
                <w:rFonts w:ascii="Arial" w:hAnsi="Arial" w:cs="Arial"/>
                <w:sz w:val="24"/>
                <w:szCs w:val="24"/>
              </w:rPr>
            </w:pPr>
            <w:r w:rsidRPr="00F01EBF">
              <w:rPr>
                <w:rFonts w:ascii="Arial" w:hAnsi="Arial" w:cs="Arial"/>
                <w:sz w:val="24"/>
                <w:szCs w:val="24"/>
              </w:rPr>
              <w:t>(c) Financial Information and Commentary</w:t>
            </w:r>
          </w:p>
        </w:tc>
      </w:tr>
      <w:tr w:rsidR="0083014E" w:rsidRPr="00F01EBF" w14:paraId="4A59A1FF" w14:textId="77777777" w:rsidTr="0097484D">
        <w:tc>
          <w:tcPr>
            <w:tcW w:w="3097" w:type="dxa"/>
          </w:tcPr>
          <w:p w14:paraId="705B5A48" w14:textId="77B25A22"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7BA37F5A" w14:textId="1038BC52" w:rsidR="0083014E" w:rsidRPr="00F01EBF"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rsidRPr="00F01EBF" w14:paraId="1ABE50AB" w14:textId="77777777" w:rsidTr="0097484D">
        <w:tc>
          <w:tcPr>
            <w:tcW w:w="3097" w:type="dxa"/>
          </w:tcPr>
          <w:p w14:paraId="23A914B3" w14:textId="6330A510"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“Public Sector Dependent Supplier”</w:t>
            </w:r>
          </w:p>
        </w:tc>
        <w:tc>
          <w:tcPr>
            <w:tcW w:w="5075" w:type="dxa"/>
          </w:tcPr>
          <w:p w14:paraId="288BEAE0" w14:textId="18F8293F" w:rsidR="0083014E" w:rsidRPr="00F01EBF" w:rsidRDefault="008414B3" w:rsidP="0083014E">
            <w:pPr>
              <w:pBdr>
                <w:top w:val="nil"/>
                <w:left w:val="nil"/>
                <w:bottom w:val="nil"/>
                <w:right w:val="nil"/>
                <w:between w:val="nil"/>
              </w:pBdr>
              <w:tabs>
                <w:tab w:val="left" w:pos="-9"/>
              </w:tabs>
              <w:spacing w:after="120"/>
              <w:ind w:left="0"/>
              <w:jc w:val="left"/>
              <w:rPr>
                <w:rFonts w:ascii="Arial" w:hAnsi="Arial" w:cs="Arial"/>
                <w:sz w:val="24"/>
                <w:szCs w:val="24"/>
              </w:rPr>
            </w:pPr>
            <w:sdt>
              <w:sdtPr>
                <w:rPr>
                  <w:sz w:val="24"/>
                  <w:szCs w:val="24"/>
                </w:rPr>
                <w:tag w:val="goog_rdk_1"/>
                <w:id w:val="107942180"/>
              </w:sdtPr>
              <w:sdtEndPr/>
              <w:sdtContent/>
            </w:sdt>
            <w:r w:rsidR="0083014E" w:rsidRPr="00F01EBF">
              <w:rPr>
                <w:rFonts w:ascii="Arial" w:hAnsi="Arial" w:cs="Arial"/>
                <w:sz w:val="24"/>
                <w:szCs w:val="24"/>
              </w:rPr>
              <w:t>means a supplier where that supplier, or that supplier’s group has Annual Revenue of £50 million or more of which over 50% is generated from UK Public Sector Business;</w:t>
            </w:r>
          </w:p>
        </w:tc>
      </w:tr>
      <w:tr w:rsidR="00576F50" w:rsidRPr="00F01EBF" w14:paraId="00E31F14" w14:textId="77777777" w:rsidTr="0097484D">
        <w:trPr>
          <w:trHeight w:val="567"/>
        </w:trPr>
        <w:tc>
          <w:tcPr>
            <w:tcW w:w="3097" w:type="dxa"/>
          </w:tcPr>
          <w:p w14:paraId="0D24E401" w14:textId="169C86A0" w:rsidR="00576F50" w:rsidRPr="00F01EBF" w:rsidRDefault="00576F50" w:rsidP="0083014E">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“Strategic Supplier”</w:t>
            </w:r>
          </w:p>
        </w:tc>
        <w:tc>
          <w:tcPr>
            <w:tcW w:w="5075" w:type="dxa"/>
          </w:tcPr>
          <w:p w14:paraId="38B5F293" w14:textId="77777777" w:rsidR="00576F50" w:rsidRPr="00F01EBF" w:rsidRDefault="00576F50" w:rsidP="00D02588">
            <w:pPr>
              <w:tabs>
                <w:tab w:val="left" w:pos="-9"/>
              </w:tabs>
              <w:spacing w:after="120"/>
              <w:ind w:left="0"/>
              <w:jc w:val="left"/>
              <w:rPr>
                <w:rFonts w:ascii="Arial" w:hAnsi="Arial" w:cs="Arial"/>
                <w:sz w:val="24"/>
                <w:szCs w:val="24"/>
              </w:rPr>
            </w:pPr>
            <w:r w:rsidRPr="00F01EBF">
              <w:rPr>
                <w:rFonts w:ascii="Arial" w:hAnsi="Arial" w:cs="Arial"/>
                <w:sz w:val="24"/>
                <w:szCs w:val="24"/>
              </w:rPr>
              <w:t>means those suppliers to government listed at</w:t>
            </w:r>
          </w:p>
          <w:p w14:paraId="5B4BAAC5" w14:textId="67F57BE1" w:rsidR="00576F50" w:rsidRPr="00F01EBF" w:rsidRDefault="00576F50" w:rsidP="00D02588">
            <w:pPr>
              <w:tabs>
                <w:tab w:val="left" w:pos="-9"/>
              </w:tabs>
              <w:spacing w:after="120"/>
              <w:ind w:left="0"/>
              <w:jc w:val="left"/>
              <w:rPr>
                <w:rFonts w:ascii="Arial" w:hAnsi="Arial" w:cs="Arial"/>
                <w:sz w:val="24"/>
                <w:szCs w:val="24"/>
              </w:rPr>
            </w:pPr>
            <w:r w:rsidRPr="00F01EBF">
              <w:rPr>
                <w:rFonts w:ascii="Arial" w:hAnsi="Arial" w:cs="Arial"/>
                <w:sz w:val="24"/>
                <w:szCs w:val="24"/>
              </w:rPr>
              <w:t>https://www.gov.uk/government/publications/strategic-suppliers;</w:t>
            </w:r>
          </w:p>
        </w:tc>
      </w:tr>
      <w:tr w:rsidR="0083014E" w:rsidRPr="00F01EBF" w14:paraId="7505D114" w14:textId="77777777" w:rsidTr="00490B5D">
        <w:tc>
          <w:tcPr>
            <w:tcW w:w="3097" w:type="dxa"/>
          </w:tcPr>
          <w:p w14:paraId="00000015" w14:textId="227ED26A"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16" w14:textId="765AE0CE" w:rsidR="0083014E" w:rsidRPr="00F01EBF"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rsidRPr="00F01EBF" w14:paraId="59FFED7E" w14:textId="77777777" w:rsidTr="0097484D">
        <w:tc>
          <w:tcPr>
            <w:tcW w:w="3097" w:type="dxa"/>
          </w:tcPr>
          <w:p w14:paraId="781DAD1F" w14:textId="4D35943E"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“UK Public Sector Business”</w:t>
            </w:r>
          </w:p>
        </w:tc>
        <w:tc>
          <w:tcPr>
            <w:tcW w:w="5075" w:type="dxa"/>
          </w:tcPr>
          <w:p w14:paraId="25877E2B" w14:textId="7957F76B" w:rsidR="0083014E" w:rsidRPr="00F01EBF"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F01EBF">
              <w:rPr>
                <w:rFonts w:ascii="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w:t>
            </w:r>
            <w:r w:rsidR="003F2EAC" w:rsidRPr="00F01EBF">
              <w:rPr>
                <w:rFonts w:ascii="Arial" w:hAnsi="Arial" w:cs="Arial"/>
                <w:sz w:val="24"/>
                <w:szCs w:val="24"/>
              </w:rPr>
              <w:t xml:space="preserve"> and</w:t>
            </w:r>
          </w:p>
        </w:tc>
      </w:tr>
      <w:tr w:rsidR="0083014E" w:rsidRPr="00F01EBF" w14:paraId="37CAE6D8" w14:textId="77777777" w:rsidTr="0097484D">
        <w:tc>
          <w:tcPr>
            <w:tcW w:w="3097" w:type="dxa"/>
          </w:tcPr>
          <w:p w14:paraId="7ABC188F" w14:textId="52BC6183" w:rsidR="0083014E" w:rsidRPr="00F01EBF" w:rsidRDefault="0083014E" w:rsidP="0083014E">
            <w:pPr>
              <w:pBdr>
                <w:top w:val="nil"/>
                <w:left w:val="nil"/>
                <w:bottom w:val="nil"/>
                <w:right w:val="nil"/>
                <w:between w:val="nil"/>
              </w:pBdr>
              <w:spacing w:after="120"/>
              <w:ind w:left="-108"/>
              <w:jc w:val="left"/>
              <w:rPr>
                <w:rFonts w:ascii="Arial" w:hAnsi="Arial" w:cs="Arial"/>
                <w:b/>
                <w:sz w:val="24"/>
                <w:szCs w:val="24"/>
              </w:rPr>
            </w:pPr>
            <w:r w:rsidRPr="00F01EBF">
              <w:rPr>
                <w:rFonts w:ascii="Arial" w:hAnsi="Arial" w:cs="Arial"/>
                <w:b/>
                <w:sz w:val="24"/>
                <w:szCs w:val="24"/>
              </w:rPr>
              <w:t>“UK Public Sector / CNI Contract Information”</w:t>
            </w:r>
          </w:p>
        </w:tc>
        <w:tc>
          <w:tcPr>
            <w:tcW w:w="5075" w:type="dxa"/>
          </w:tcPr>
          <w:p w14:paraId="1D07300B" w14:textId="04F3917B" w:rsidR="0083014E" w:rsidRPr="00F01EBF" w:rsidRDefault="0083014E" w:rsidP="00AC1050">
            <w:pPr>
              <w:pBdr>
                <w:top w:val="nil"/>
                <w:left w:val="nil"/>
                <w:bottom w:val="nil"/>
                <w:right w:val="nil"/>
                <w:between w:val="nil"/>
              </w:pBdr>
              <w:tabs>
                <w:tab w:val="left" w:pos="-9"/>
              </w:tabs>
              <w:spacing w:after="120"/>
              <w:ind w:left="0"/>
              <w:jc w:val="left"/>
              <w:rPr>
                <w:rFonts w:ascii="Arial" w:hAnsi="Arial" w:cs="Arial"/>
                <w:sz w:val="24"/>
                <w:szCs w:val="24"/>
              </w:rPr>
            </w:pPr>
            <w:r w:rsidRPr="00F01EBF">
              <w:rPr>
                <w:rFonts w:ascii="Arial" w:hAnsi="Arial" w:cs="Arial"/>
                <w:sz w:val="24"/>
                <w:szCs w:val="24"/>
              </w:rPr>
              <w:t xml:space="preserve">means the information relating to the Supplier Group to be provided by the Supplier in accordance with Paragraphs </w:t>
            </w:r>
            <w:r w:rsidR="00AC1050" w:rsidRPr="00F01EBF">
              <w:rPr>
                <w:rFonts w:ascii="Arial" w:hAnsi="Arial" w:cs="Arial"/>
                <w:sz w:val="24"/>
                <w:szCs w:val="24"/>
              </w:rPr>
              <w:t>3</w:t>
            </w:r>
            <w:r w:rsidRPr="00F01EBF">
              <w:rPr>
                <w:rFonts w:ascii="Arial" w:hAnsi="Arial" w:cs="Arial"/>
                <w:sz w:val="24"/>
                <w:szCs w:val="24"/>
              </w:rPr>
              <w:t xml:space="preserve"> to </w:t>
            </w:r>
            <w:r w:rsidR="00AC1050" w:rsidRPr="00F01EBF">
              <w:rPr>
                <w:rFonts w:ascii="Arial" w:hAnsi="Arial" w:cs="Arial"/>
                <w:sz w:val="24"/>
                <w:szCs w:val="24"/>
              </w:rPr>
              <w:t>5</w:t>
            </w:r>
            <w:r w:rsidRPr="00F01EBF">
              <w:rPr>
                <w:rFonts w:ascii="Arial" w:hAnsi="Arial" w:cs="Arial"/>
                <w:sz w:val="24"/>
                <w:szCs w:val="24"/>
              </w:rPr>
              <w:t xml:space="preserve"> and </w:t>
            </w:r>
            <w:r w:rsidR="00AC1050" w:rsidRPr="00F01EBF">
              <w:rPr>
                <w:rFonts w:ascii="Arial" w:hAnsi="Arial" w:cs="Arial"/>
                <w:sz w:val="24"/>
                <w:szCs w:val="24"/>
              </w:rPr>
              <w:t>Annex 1</w:t>
            </w:r>
            <w:r w:rsidRPr="00F01EBF">
              <w:rPr>
                <w:rFonts w:ascii="Arial" w:hAnsi="Arial" w:cs="Arial"/>
                <w:sz w:val="24"/>
                <w:szCs w:val="24"/>
              </w:rPr>
              <w:t>;</w:t>
            </w:r>
          </w:p>
        </w:tc>
      </w:tr>
    </w:tbl>
    <w:p w14:paraId="27AA48EF" w14:textId="77777777" w:rsidR="00681293" w:rsidRDefault="00681293" w:rsidP="00681293">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14:paraId="44DA043F" w14:textId="77777777" w:rsidR="00681293" w:rsidRDefault="00681293">
      <w:pPr>
        <w:overflowPunct/>
        <w:autoSpaceDE/>
        <w:autoSpaceDN/>
        <w:adjustRightInd/>
        <w:textAlignment w:val="auto"/>
        <w:rPr>
          <w:rFonts w:ascii="Arial Bold" w:eastAsia="Arial Bold" w:hAnsi="Arial Bold" w:cs="Arial Bold"/>
          <w:b/>
          <w:color w:val="000000"/>
          <w:sz w:val="24"/>
          <w:szCs w:val="24"/>
        </w:rPr>
      </w:pPr>
      <w:r>
        <w:rPr>
          <w:rFonts w:ascii="Arial Bold" w:eastAsia="Arial Bold" w:hAnsi="Arial Bold" w:cs="Arial Bold"/>
          <w:b/>
          <w:color w:val="000000"/>
          <w:sz w:val="24"/>
          <w:szCs w:val="24"/>
        </w:rPr>
        <w:br w:type="page"/>
      </w:r>
    </w:p>
    <w:p w14:paraId="7EF986A6" w14:textId="5E1A6AEE" w:rsidR="0097484D" w:rsidRDefault="0097484D" w:rsidP="0097484D">
      <w:pPr>
        <w:pBdr>
          <w:top w:val="nil"/>
          <w:left w:val="nil"/>
          <w:bottom w:val="nil"/>
          <w:right w:val="nil"/>
          <w:between w:val="nil"/>
        </w:pBdr>
        <w:spacing w:before="120" w:after="120"/>
        <w:ind w:left="0"/>
        <w:jc w:val="left"/>
        <w:rPr>
          <w:color w:val="000000"/>
          <w:sz w:val="24"/>
          <w:szCs w:val="24"/>
        </w:rPr>
      </w:pPr>
      <w:bookmarkStart w:id="1" w:name="_heading=h.1fob9te" w:colFirst="0" w:colLast="0"/>
      <w:bookmarkStart w:id="2" w:name="_heading=h.3znysh7" w:colFirst="0" w:colLast="0"/>
      <w:bookmarkStart w:id="3" w:name="_heading=h.2et92p0" w:colFirst="0" w:colLast="0"/>
      <w:bookmarkStart w:id="4" w:name="_heading=h.tyjcwt" w:colFirst="0" w:colLast="0"/>
      <w:bookmarkStart w:id="5" w:name="_heading=h.3dy6vkm" w:colFirst="0" w:colLast="0"/>
      <w:bookmarkStart w:id="6" w:name="_heading=h.1t3h5sf" w:colFirst="0" w:colLast="0"/>
      <w:bookmarkStart w:id="7" w:name="_heading=h.1ci93xb" w:colFirst="0" w:colLast="0"/>
      <w:bookmarkStart w:id="8" w:name="_heading=h.4d34og8" w:colFirst="0" w:colLast="0"/>
      <w:bookmarkStart w:id="9" w:name="_heading=h.2s8eyo1" w:colFirst="0" w:colLast="0"/>
      <w:bookmarkStart w:id="10" w:name="_heading=h.17dp8vu" w:colFirst="0" w:colLast="0"/>
      <w:bookmarkStart w:id="11" w:name="_heading=h.3rdcrjn" w:colFirst="0" w:colLast="0"/>
      <w:bookmarkStart w:id="12" w:name="_heading=h.26in1rg" w:colFirst="0" w:colLast="0"/>
      <w:bookmarkStart w:id="13" w:name="_heading=h.lnxbz9" w:colFirst="0" w:colLast="0"/>
      <w:bookmarkStart w:id="14" w:name="_heading=h.35nkun2" w:colFirst="0" w:colLast="0"/>
      <w:bookmarkStart w:id="15" w:name="_heading=h.1ksv4uv" w:colFirst="0" w:colLast="0"/>
      <w:bookmarkStart w:id="16" w:name="_heading=h.44sinio" w:colFirst="0" w:colLast="0"/>
      <w:bookmarkStart w:id="17" w:name="_heading=h.2jxsxqh" w:colFirst="0" w:colLast="0"/>
      <w:bookmarkStart w:id="18" w:name="_heading=h.z337ya" w:colFirst="0" w:colLast="0"/>
      <w:bookmarkStart w:id="19" w:name="_heading=h.3j2qqm3" w:colFirst="0" w:colLast="0"/>
      <w:bookmarkStart w:id="20" w:name="_heading=h.1y810tw" w:colFirst="0" w:colLast="0"/>
      <w:bookmarkStart w:id="21" w:name="_heading=h.4i7ojhp" w:colFirst="0" w:colLast="0"/>
      <w:bookmarkStart w:id="22" w:name="_heading=h.2xcytpi"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6851536" w14:textId="4102E3C8" w:rsidR="0097484D" w:rsidRDefault="0097484D">
      <w:pPr>
        <w:overflowPunct/>
        <w:autoSpaceDE/>
        <w:autoSpaceDN/>
        <w:adjustRightInd/>
        <w:textAlignment w:val="auto"/>
        <w:rPr>
          <w:color w:val="000000"/>
          <w:sz w:val="24"/>
          <w:szCs w:val="24"/>
        </w:rPr>
      </w:pPr>
    </w:p>
    <w:p w14:paraId="55E36547" w14:textId="77777777" w:rsidR="0097484D" w:rsidRDefault="0097484D" w:rsidP="004A2951">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Service Status and Supplier Status</w:t>
      </w:r>
    </w:p>
    <w:p w14:paraId="0FB14317" w14:textId="5B522D64"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This Contract </w:t>
      </w:r>
      <w:r>
        <w:rPr>
          <w:rFonts w:eastAsia="Arial"/>
          <w:color w:val="000000"/>
          <w:sz w:val="24"/>
          <w:szCs w:val="24"/>
          <w:highlight w:val="yellow"/>
        </w:rPr>
        <w:t>[insert ‘is’ or ‘is not’</w:t>
      </w:r>
      <w:r>
        <w:rPr>
          <w:rFonts w:eastAsia="Arial"/>
          <w:color w:val="000000"/>
          <w:sz w:val="24"/>
          <w:szCs w:val="24"/>
        </w:rPr>
        <w:t>] a Critical Service Contract.</w:t>
      </w:r>
    </w:p>
    <w:p w14:paraId="6B5C7108" w14:textId="77777777" w:rsidR="004A2951" w:rsidRPr="00B111AE" w:rsidRDefault="004A2951" w:rsidP="00D02588">
      <w:pPr>
        <w:pStyle w:val="ListParagraph"/>
        <w:pBdr>
          <w:top w:val="nil"/>
          <w:left w:val="nil"/>
          <w:bottom w:val="nil"/>
          <w:right w:val="nil"/>
          <w:between w:val="nil"/>
        </w:pBdr>
        <w:spacing w:before="100" w:after="200"/>
        <w:rPr>
          <w:color w:val="000000"/>
          <w:sz w:val="24"/>
          <w:szCs w:val="24"/>
        </w:rPr>
      </w:pPr>
      <w:r w:rsidRPr="00B111AE">
        <w:rPr>
          <w:b/>
          <w:i/>
          <w:color w:val="000000"/>
          <w:sz w:val="24"/>
          <w:szCs w:val="24"/>
          <w:highlight w:val="yellow"/>
        </w:rPr>
        <w:t xml:space="preserve">[Guidance: A Critical Service Contract is a service contract which the Buyer has categorised as a Gold contract using the Cabinet Office Contract </w:t>
      </w:r>
      <w:proofErr w:type="spellStart"/>
      <w:r w:rsidRPr="00B111AE">
        <w:rPr>
          <w:b/>
          <w:i/>
          <w:color w:val="000000"/>
          <w:sz w:val="24"/>
          <w:szCs w:val="24"/>
          <w:highlight w:val="yellow"/>
        </w:rPr>
        <w:t>Tiering</w:t>
      </w:r>
      <w:proofErr w:type="spellEnd"/>
      <w:r w:rsidRPr="00B111AE">
        <w:rPr>
          <w:b/>
          <w:i/>
          <w:color w:val="000000"/>
          <w:sz w:val="24"/>
          <w:szCs w:val="24"/>
          <w:highlight w:val="yellow"/>
        </w:rPr>
        <w:t xml:space="preserve"> Tool available on the Knowledge Hub or which the Buyer, in consultation with the Cabinet Office Markets and Suppliers Team if appropriate, otherwise considers should be classed as a Critical Service Contract.]</w:t>
      </w:r>
    </w:p>
    <w:p w14:paraId="1E678B38" w14:textId="43A7A4E7" w:rsidR="0097484D" w:rsidRPr="00D02588"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sidRPr="00B111AE">
        <w:rPr>
          <w:rFonts w:eastAsia="Arial"/>
          <w:color w:val="000000"/>
          <w:sz w:val="24"/>
          <w:szCs w:val="24"/>
        </w:rPr>
        <w:t xml:space="preserve">The Supplier shall notify the Buyer </w:t>
      </w:r>
      <w:r w:rsidR="00623741" w:rsidRPr="00B111AE">
        <w:rPr>
          <w:color w:val="000000"/>
          <w:sz w:val="24"/>
          <w:szCs w:val="24"/>
        </w:rPr>
        <w:t xml:space="preserve">and the Cabinet Office Markets and Suppliers </w:t>
      </w:r>
      <w:r w:rsidR="00623741" w:rsidRPr="00B111AE">
        <w:rPr>
          <w:rFonts w:eastAsia="Arial"/>
          <w:sz w:val="24"/>
          <w:szCs w:val="24"/>
        </w:rPr>
        <w:t>Team</w:t>
      </w:r>
      <w:r w:rsidR="00623741" w:rsidRPr="00B111AE">
        <w:rPr>
          <w:rFonts w:eastAsia="Arial"/>
          <w:color w:val="000000"/>
          <w:sz w:val="24"/>
          <w:szCs w:val="24"/>
        </w:rPr>
        <w:t xml:space="preserve"> </w:t>
      </w:r>
      <w:r w:rsidRPr="00B111AE">
        <w:rPr>
          <w:rFonts w:eastAsia="Arial"/>
          <w:color w:val="000000"/>
          <w:sz w:val="24"/>
          <w:szCs w:val="24"/>
        </w:rPr>
        <w:t>in writing within 5 Working Days of the Effective Date and throughout the Call-Off Contract Period within 120 days after each Accounting Reference Date as to whether or not it is a Public Sector Dependent Supplier.</w:t>
      </w:r>
      <w:r w:rsidR="004A2951" w:rsidRPr="00B111AE">
        <w:rPr>
          <w:rFonts w:eastAsia="Arial"/>
          <w:color w:val="000000"/>
          <w:sz w:val="24"/>
          <w:szCs w:val="24"/>
        </w:rPr>
        <w:t xml:space="preserve"> </w:t>
      </w:r>
      <w:r w:rsidR="004A2951" w:rsidRPr="00B111AE">
        <w:rPr>
          <w:color w:val="000000"/>
          <w:sz w:val="24"/>
          <w:szCs w:val="24"/>
        </w:rPr>
        <w:t xml:space="preserve">The contact email address for the Markets and Suppliers Team is </w:t>
      </w:r>
      <w:hyperlink r:id="rId9" w:history="1">
        <w:r w:rsidR="004A2951" w:rsidRPr="00B111AE">
          <w:rPr>
            <w:rStyle w:val="Hyperlink"/>
            <w:sz w:val="24"/>
            <w:szCs w:val="24"/>
          </w:rPr>
          <w:t>resolution.planning@cabinetoffice.gov.uk</w:t>
        </w:r>
      </w:hyperlink>
      <w:r w:rsidR="004A2951">
        <w:rPr>
          <w:color w:val="000000"/>
          <w:szCs w:val="24"/>
        </w:rPr>
        <w:t>.</w:t>
      </w:r>
    </w:p>
    <w:p w14:paraId="116E0444" w14:textId="60BE50FD" w:rsidR="00545539" w:rsidRPr="00D02588" w:rsidRDefault="00545539" w:rsidP="0097484D">
      <w:pPr>
        <w:numPr>
          <w:ilvl w:val="1"/>
          <w:numId w:val="1"/>
        </w:numPr>
        <w:pBdr>
          <w:top w:val="nil"/>
          <w:left w:val="nil"/>
          <w:bottom w:val="nil"/>
          <w:right w:val="nil"/>
          <w:between w:val="nil"/>
        </w:pBdr>
        <w:spacing w:before="120" w:after="120"/>
        <w:rPr>
          <w:rFonts w:eastAsia="Arial"/>
          <w:color w:val="000000"/>
          <w:sz w:val="24"/>
          <w:szCs w:val="24"/>
        </w:rPr>
      </w:pPr>
      <w:r>
        <w:rPr>
          <w:color w:val="000000"/>
          <w:sz w:val="24"/>
          <w:szCs w:val="24"/>
        </w:rPr>
        <w:t>The Buyer and the Supplier recognise that, where specified in</w:t>
      </w:r>
      <w:r>
        <w:rPr>
          <w:rFonts w:eastAsia="Arial"/>
          <w:color w:val="000000"/>
          <w:sz w:val="24"/>
          <w:szCs w:val="24"/>
        </w:rPr>
        <w:t xml:space="preserve"> Framework</w:t>
      </w:r>
      <w:r>
        <w:rPr>
          <w:color w:val="000000"/>
          <w:sz w:val="24"/>
          <w:szCs w:val="24"/>
        </w:rPr>
        <w:t xml:space="preserve"> Schedule 4 (Framework Management), CCS shall have the right to enforce the Buyer's rights under this Schedule.</w:t>
      </w:r>
    </w:p>
    <w:p w14:paraId="53D67AE7" w14:textId="77777777" w:rsidR="004A2951" w:rsidRDefault="004A2951" w:rsidP="00D02588">
      <w:pPr>
        <w:pBdr>
          <w:top w:val="nil"/>
          <w:left w:val="nil"/>
          <w:bottom w:val="nil"/>
          <w:right w:val="nil"/>
          <w:between w:val="nil"/>
        </w:pBdr>
        <w:spacing w:before="120" w:after="120"/>
        <w:ind w:left="720"/>
        <w:rPr>
          <w:rFonts w:eastAsia="Arial"/>
          <w:color w:val="000000"/>
          <w:sz w:val="24"/>
          <w:szCs w:val="24"/>
        </w:rPr>
      </w:pPr>
    </w:p>
    <w:p w14:paraId="0554B039"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Provision of Corporate Resolution Planning Information</w:t>
      </w:r>
    </w:p>
    <w:p w14:paraId="1CF93C1F" w14:textId="5188681C"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Paragraphs </w:t>
      </w:r>
      <w:r w:rsidR="004A2951">
        <w:rPr>
          <w:rFonts w:eastAsia="Arial"/>
          <w:color w:val="000000"/>
          <w:sz w:val="24"/>
          <w:szCs w:val="24"/>
        </w:rPr>
        <w:t>3</w:t>
      </w:r>
      <w:r>
        <w:rPr>
          <w:rFonts w:eastAsia="Arial"/>
          <w:color w:val="000000"/>
          <w:sz w:val="24"/>
          <w:szCs w:val="24"/>
        </w:rPr>
        <w:t xml:space="preserve"> to </w:t>
      </w:r>
      <w:r w:rsidR="004A2951">
        <w:rPr>
          <w:rFonts w:eastAsia="Arial"/>
          <w:color w:val="000000"/>
          <w:sz w:val="24"/>
          <w:szCs w:val="24"/>
        </w:rPr>
        <w:t>5</w:t>
      </w:r>
      <w:r>
        <w:rPr>
          <w:rFonts w:eastAsia="Arial"/>
          <w:color w:val="000000"/>
          <w:sz w:val="24"/>
          <w:szCs w:val="24"/>
        </w:rPr>
        <w:t xml:space="preserve"> shall apply if the Contract has been specified as a Critical Service Contract under Paragraph </w:t>
      </w:r>
      <w:r w:rsidR="004A2951">
        <w:rPr>
          <w:rFonts w:eastAsia="Arial"/>
          <w:color w:val="000000"/>
          <w:sz w:val="24"/>
          <w:szCs w:val="24"/>
        </w:rPr>
        <w:t>2</w:t>
      </w:r>
      <w:r>
        <w:rPr>
          <w:rFonts w:eastAsia="Arial"/>
          <w:color w:val="000000"/>
          <w:sz w:val="24"/>
          <w:szCs w:val="24"/>
        </w:rPr>
        <w:t>.1 or the Supplier is or becomes a Public Sector Dependent Supplier.</w:t>
      </w:r>
    </w:p>
    <w:p w14:paraId="20843AB2" w14:textId="7D6654D1"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Subject to Paragraphs </w:t>
      </w:r>
      <w:r w:rsidR="004A2951">
        <w:rPr>
          <w:rFonts w:eastAsia="Arial"/>
          <w:color w:val="000000"/>
          <w:sz w:val="24"/>
          <w:szCs w:val="24"/>
        </w:rPr>
        <w:t>3</w:t>
      </w:r>
      <w:r>
        <w:rPr>
          <w:rFonts w:eastAsia="Arial"/>
          <w:color w:val="000000"/>
          <w:sz w:val="24"/>
          <w:szCs w:val="24"/>
        </w:rPr>
        <w:t xml:space="preserve">.6, </w:t>
      </w:r>
      <w:r w:rsidR="004A2951">
        <w:rPr>
          <w:rFonts w:eastAsia="Arial"/>
          <w:color w:val="000000"/>
          <w:sz w:val="24"/>
          <w:szCs w:val="24"/>
        </w:rPr>
        <w:t>3</w:t>
      </w:r>
      <w:r>
        <w:rPr>
          <w:rFonts w:eastAsia="Arial"/>
          <w:color w:val="000000"/>
          <w:sz w:val="24"/>
          <w:szCs w:val="24"/>
        </w:rPr>
        <w:t xml:space="preserve">.10 and </w:t>
      </w:r>
      <w:r w:rsidR="004A2951">
        <w:rPr>
          <w:rFonts w:eastAsia="Arial"/>
          <w:color w:val="000000"/>
          <w:sz w:val="24"/>
          <w:szCs w:val="24"/>
        </w:rPr>
        <w:t>3</w:t>
      </w:r>
      <w:r>
        <w:rPr>
          <w:rFonts w:eastAsia="Arial"/>
          <w:color w:val="000000"/>
          <w:sz w:val="24"/>
          <w:szCs w:val="24"/>
        </w:rPr>
        <w:t>.11:</w:t>
      </w:r>
    </w:p>
    <w:p w14:paraId="0BCC7271" w14:textId="4BF4C341"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where the Contract is a Critical Service Contract, the Supplier shall provide the </w:t>
      </w:r>
      <w:r w:rsidR="00063994">
        <w:rPr>
          <w:sz w:val="24"/>
          <w:szCs w:val="24"/>
        </w:rPr>
        <w:t>Appropriate Authority</w:t>
      </w:r>
      <w:r>
        <w:rPr>
          <w:sz w:val="24"/>
          <w:szCs w:val="24"/>
        </w:rPr>
        <w:t xml:space="preserve"> or </w:t>
      </w:r>
      <w:r w:rsidR="00063994">
        <w:rPr>
          <w:sz w:val="24"/>
          <w:szCs w:val="24"/>
        </w:rPr>
        <w:t>Appropriate Authorities</w:t>
      </w:r>
      <w:r>
        <w:rPr>
          <w:sz w:val="28"/>
          <w:szCs w:val="28"/>
        </w:rPr>
        <w:t xml:space="preserve"> </w:t>
      </w:r>
      <w:r>
        <w:rPr>
          <w:sz w:val="24"/>
          <w:szCs w:val="24"/>
        </w:rPr>
        <w:t>with the CRP Information within 60 days of the Effective Date; and</w:t>
      </w:r>
    </w:p>
    <w:p w14:paraId="3D4F203C" w14:textId="01EB5FA9" w:rsidR="0097484D" w:rsidRDefault="0097484D" w:rsidP="0097484D">
      <w:pPr>
        <w:keepNext/>
        <w:numPr>
          <w:ilvl w:val="2"/>
          <w:numId w:val="1"/>
        </w:numPr>
        <w:pBdr>
          <w:top w:val="nil"/>
          <w:left w:val="nil"/>
          <w:bottom w:val="nil"/>
          <w:right w:val="nil"/>
          <w:between w:val="nil"/>
        </w:pBdr>
        <w:spacing w:before="120" w:after="120"/>
        <w:jc w:val="left"/>
        <w:rPr>
          <w:sz w:val="24"/>
          <w:szCs w:val="24"/>
        </w:rPr>
      </w:pPr>
      <w:proofErr w:type="gramStart"/>
      <w:r>
        <w:rPr>
          <w:sz w:val="24"/>
          <w:szCs w:val="24"/>
        </w:rPr>
        <w:t>except</w:t>
      </w:r>
      <w:proofErr w:type="gramEnd"/>
      <w:r>
        <w:rPr>
          <w:sz w:val="24"/>
          <w:szCs w:val="24"/>
        </w:rPr>
        <w:t xml:space="preserve"> where it has already been provided, where the Supplier is a Public Sector Dependent Supplier, it shall provide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with the CRP Information within 60 days of the date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request.</w:t>
      </w:r>
    </w:p>
    <w:p w14:paraId="1F9466B4" w14:textId="2B7F739F"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ensure that the CRP Information provided pursuant to Paragraphs </w:t>
      </w:r>
      <w:r w:rsidR="00FB0FF8">
        <w:rPr>
          <w:rFonts w:eastAsia="Arial"/>
          <w:color w:val="000000"/>
          <w:sz w:val="24"/>
          <w:szCs w:val="24"/>
        </w:rPr>
        <w:t>3</w:t>
      </w:r>
      <w:r>
        <w:rPr>
          <w:rFonts w:eastAsia="Arial"/>
          <w:color w:val="000000"/>
          <w:sz w:val="24"/>
          <w:szCs w:val="24"/>
        </w:rPr>
        <w:t xml:space="preserve">.2, </w:t>
      </w:r>
      <w:r w:rsidR="00FB0FF8">
        <w:rPr>
          <w:rFonts w:eastAsia="Arial"/>
          <w:color w:val="000000"/>
          <w:sz w:val="24"/>
          <w:szCs w:val="24"/>
        </w:rPr>
        <w:t>3</w:t>
      </w:r>
      <w:r>
        <w:rPr>
          <w:rFonts w:eastAsia="Arial"/>
          <w:color w:val="000000"/>
          <w:sz w:val="24"/>
          <w:szCs w:val="24"/>
        </w:rPr>
        <w:t xml:space="preserve">.8 and </w:t>
      </w:r>
      <w:r w:rsidR="00FB0FF8">
        <w:rPr>
          <w:rFonts w:eastAsia="Arial"/>
          <w:color w:val="000000"/>
          <w:sz w:val="24"/>
          <w:szCs w:val="24"/>
        </w:rPr>
        <w:t>3</w:t>
      </w:r>
      <w:r>
        <w:rPr>
          <w:rFonts w:eastAsia="Arial"/>
          <w:color w:val="000000"/>
          <w:sz w:val="24"/>
          <w:szCs w:val="24"/>
        </w:rPr>
        <w:t>.9:</w:t>
      </w:r>
    </w:p>
    <w:p w14:paraId="1B34D71E"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is full, comprehensive, accurate and up to date;</w:t>
      </w:r>
    </w:p>
    <w:p w14:paraId="552D5790" w14:textId="53836158"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is split into </w:t>
      </w:r>
      <w:r w:rsidR="00FB0FF8">
        <w:rPr>
          <w:sz w:val="24"/>
          <w:szCs w:val="24"/>
        </w:rPr>
        <w:t xml:space="preserve">three </w:t>
      </w:r>
      <w:r>
        <w:rPr>
          <w:sz w:val="24"/>
          <w:szCs w:val="24"/>
        </w:rPr>
        <w:t>parts:</w:t>
      </w:r>
    </w:p>
    <w:p w14:paraId="47851BF5" w14:textId="2E284E80" w:rsidR="0097484D" w:rsidRDefault="007B2879"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D02588">
        <w:rPr>
          <w:rFonts w:eastAsia="Arial"/>
          <w:color w:val="000000"/>
          <w:sz w:val="24"/>
          <w:szCs w:val="24"/>
          <w:highlight w:val="yellow"/>
        </w:rPr>
        <w:t>Exposure</w:t>
      </w:r>
      <w:r w:rsidR="0097484D" w:rsidRPr="00D02588">
        <w:rPr>
          <w:rFonts w:eastAsia="Arial"/>
          <w:color w:val="000000"/>
          <w:sz w:val="24"/>
          <w:szCs w:val="24"/>
          <w:highlight w:val="yellow"/>
        </w:rPr>
        <w:t xml:space="preserve"> Information </w:t>
      </w:r>
      <w:r w:rsidRPr="00D02588">
        <w:rPr>
          <w:rFonts w:eastAsia="Arial"/>
          <w:color w:val="000000"/>
          <w:sz w:val="24"/>
          <w:szCs w:val="24"/>
          <w:highlight w:val="yellow"/>
        </w:rPr>
        <w:t>(Contracts List</w:t>
      </w:r>
      <w:r>
        <w:rPr>
          <w:rFonts w:eastAsia="Arial"/>
          <w:color w:val="000000"/>
          <w:sz w:val="24"/>
          <w:szCs w:val="24"/>
        </w:rPr>
        <w:t>)</w:t>
      </w:r>
      <w:r w:rsidR="0097484D">
        <w:rPr>
          <w:rFonts w:eastAsia="Arial"/>
          <w:color w:val="000000"/>
          <w:sz w:val="24"/>
          <w:szCs w:val="24"/>
        </w:rPr>
        <w:t>;</w:t>
      </w:r>
    </w:p>
    <w:p w14:paraId="588E6E61" w14:textId="63B2D49E" w:rsidR="0097484D" w:rsidRDefault="007B2879"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D02588">
        <w:rPr>
          <w:rFonts w:eastAsia="Arial"/>
          <w:color w:val="000000"/>
          <w:sz w:val="24"/>
          <w:szCs w:val="24"/>
          <w:highlight w:val="yellow"/>
        </w:rPr>
        <w:t>Corporate Resolvability Assessment (Structural Review)</w:t>
      </w:r>
      <w:r w:rsidR="0097484D">
        <w:rPr>
          <w:rFonts w:eastAsia="Arial"/>
          <w:color w:val="000000"/>
          <w:sz w:val="24"/>
          <w:szCs w:val="24"/>
        </w:rPr>
        <w:t>;</w:t>
      </w:r>
    </w:p>
    <w:p w14:paraId="1045CEB7" w14:textId="701AE62F" w:rsidR="007B2879" w:rsidRDefault="007B2879"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bookmarkStart w:id="23" w:name="_GoBack"/>
      <w:bookmarkEnd w:id="23"/>
      <w:r w:rsidRPr="00D02588">
        <w:rPr>
          <w:rFonts w:eastAsia="Arial"/>
          <w:color w:val="000000"/>
          <w:sz w:val="24"/>
          <w:szCs w:val="24"/>
          <w:highlight w:val="yellow"/>
        </w:rPr>
        <w:t>Financial Information and Commentary</w:t>
      </w:r>
    </w:p>
    <w:p w14:paraId="32DAB55B" w14:textId="4EDCC3C0" w:rsidR="007B2879" w:rsidRPr="00B111AE" w:rsidRDefault="007B2879" w:rsidP="003A45C4">
      <w:pPr>
        <w:pStyle w:val="ListParagraph"/>
        <w:pBdr>
          <w:top w:val="nil"/>
          <w:left w:val="nil"/>
          <w:bottom w:val="nil"/>
          <w:right w:val="nil"/>
          <w:between w:val="nil"/>
        </w:pBdr>
        <w:spacing w:before="100" w:after="200"/>
        <w:ind w:left="1418"/>
        <w:rPr>
          <w:color w:val="000000"/>
          <w:sz w:val="24"/>
          <w:szCs w:val="24"/>
        </w:rPr>
      </w:pPr>
      <w:r w:rsidRPr="00B111AE">
        <w:rPr>
          <w:color w:val="000000"/>
          <w:sz w:val="24"/>
          <w:szCs w:val="24"/>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10" w:history="1">
        <w:r w:rsidRPr="00B111AE">
          <w:rPr>
            <w:rStyle w:val="Hyperlink"/>
            <w:sz w:val="24"/>
          </w:rPr>
          <w:t>https://www.gov.uk/government/publications/the-sourcing-and-consultancy-playbooks</w:t>
        </w:r>
      </w:hyperlink>
      <w:r w:rsidRPr="00B111AE">
        <w:rPr>
          <w:sz w:val="24"/>
        </w:rPr>
        <w:t xml:space="preserve"> </w:t>
      </w:r>
      <w:r w:rsidRPr="00B111AE">
        <w:rPr>
          <w:color w:val="000000"/>
          <w:sz w:val="24"/>
          <w:szCs w:val="24"/>
        </w:rPr>
        <w:t>and contains the level of detail required (adapted as necessary to the Supplier’s circumstances);</w:t>
      </w:r>
    </w:p>
    <w:p w14:paraId="6B2D5A0D" w14:textId="148F06C7" w:rsidR="0097484D" w:rsidRPr="00B111AE" w:rsidRDefault="0097484D" w:rsidP="0097484D">
      <w:pPr>
        <w:keepNext/>
        <w:numPr>
          <w:ilvl w:val="2"/>
          <w:numId w:val="1"/>
        </w:numPr>
        <w:pBdr>
          <w:top w:val="nil"/>
          <w:left w:val="nil"/>
          <w:bottom w:val="nil"/>
          <w:right w:val="nil"/>
          <w:between w:val="nil"/>
        </w:pBdr>
        <w:spacing w:before="120" w:after="120"/>
        <w:jc w:val="left"/>
        <w:rPr>
          <w:sz w:val="24"/>
          <w:szCs w:val="24"/>
        </w:rPr>
      </w:pPr>
      <w:r w:rsidRPr="00B111AE">
        <w:rPr>
          <w:sz w:val="24"/>
          <w:szCs w:val="24"/>
        </w:rPr>
        <w:t xml:space="preserve">incorporates any additional commentary, supporting documents and evidence which would reasonably be required by the </w:t>
      </w:r>
      <w:r w:rsidR="00063994" w:rsidRPr="00B111AE">
        <w:rPr>
          <w:sz w:val="24"/>
          <w:szCs w:val="24"/>
        </w:rPr>
        <w:t>Appropriate Authority</w:t>
      </w:r>
      <w:r w:rsidRPr="00B111AE">
        <w:rPr>
          <w:sz w:val="24"/>
          <w:szCs w:val="24"/>
        </w:rPr>
        <w:t xml:space="preserve"> or </w:t>
      </w:r>
      <w:r w:rsidR="00063994" w:rsidRPr="00B111AE">
        <w:rPr>
          <w:sz w:val="24"/>
          <w:szCs w:val="24"/>
        </w:rPr>
        <w:t>Appropriate Authorities</w:t>
      </w:r>
      <w:r w:rsidRPr="00B111AE">
        <w:rPr>
          <w:sz w:val="24"/>
          <w:szCs w:val="24"/>
        </w:rPr>
        <w:t xml:space="preserve"> to understand and consider the information for approval;</w:t>
      </w:r>
    </w:p>
    <w:p w14:paraId="45E48442" w14:textId="77777777" w:rsidR="0097484D" w:rsidRPr="00B111AE" w:rsidRDefault="0097484D" w:rsidP="0097484D">
      <w:pPr>
        <w:keepNext/>
        <w:numPr>
          <w:ilvl w:val="2"/>
          <w:numId w:val="1"/>
        </w:numPr>
        <w:pBdr>
          <w:top w:val="nil"/>
          <w:left w:val="nil"/>
          <w:bottom w:val="nil"/>
          <w:right w:val="nil"/>
          <w:between w:val="nil"/>
        </w:pBdr>
        <w:spacing w:before="120" w:after="120"/>
        <w:jc w:val="left"/>
        <w:rPr>
          <w:sz w:val="24"/>
          <w:szCs w:val="24"/>
        </w:rPr>
      </w:pPr>
      <w:r w:rsidRPr="00B111AE">
        <w:rPr>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6AB2A23A" w14:textId="1860573D" w:rsidR="0097484D" w:rsidRDefault="0097484D" w:rsidP="0097484D">
      <w:pPr>
        <w:keepNext/>
        <w:numPr>
          <w:ilvl w:val="2"/>
          <w:numId w:val="1"/>
        </w:numPr>
        <w:pBdr>
          <w:top w:val="nil"/>
          <w:left w:val="nil"/>
          <w:bottom w:val="nil"/>
          <w:right w:val="nil"/>
          <w:between w:val="nil"/>
        </w:pBdr>
        <w:spacing w:before="120" w:after="120"/>
        <w:jc w:val="left"/>
        <w:rPr>
          <w:sz w:val="24"/>
          <w:szCs w:val="24"/>
        </w:rPr>
      </w:pPr>
      <w:proofErr w:type="gramStart"/>
      <w:r w:rsidRPr="00B111AE">
        <w:rPr>
          <w:sz w:val="24"/>
          <w:szCs w:val="24"/>
        </w:rPr>
        <w:t>complies</w:t>
      </w:r>
      <w:proofErr w:type="gramEnd"/>
      <w:r w:rsidRPr="00B111AE">
        <w:rPr>
          <w:sz w:val="24"/>
          <w:szCs w:val="24"/>
        </w:rPr>
        <w:t xml:space="preserve"> with the requirements set out at </w:t>
      </w:r>
      <w:r w:rsidR="007B2879" w:rsidRPr="00B111AE">
        <w:rPr>
          <w:color w:val="000000"/>
          <w:sz w:val="24"/>
          <w:szCs w:val="24"/>
        </w:rPr>
        <w:t xml:space="preserve">Annex 1 (Exposure Information (Contracts List)), Annex 2 (Corporate Resolvability Assessment (Structural Review)) and Annex 3 (Financial Information and Commentary) </w:t>
      </w:r>
      <w:r w:rsidRPr="00B111AE">
        <w:rPr>
          <w:sz w:val="24"/>
          <w:szCs w:val="24"/>
        </w:rPr>
        <w:t>respectively</w:t>
      </w:r>
      <w:r>
        <w:rPr>
          <w:sz w:val="24"/>
          <w:szCs w:val="24"/>
        </w:rPr>
        <w:t>.</w:t>
      </w:r>
    </w:p>
    <w:p w14:paraId="62068B7F" w14:textId="1F758A29"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Following receipt by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of the CRP Information pursuant to Paragraphs </w:t>
      </w:r>
      <w:r w:rsidR="00AF0FD5">
        <w:rPr>
          <w:rFonts w:eastAsia="Arial"/>
          <w:color w:val="000000"/>
          <w:sz w:val="24"/>
          <w:szCs w:val="24"/>
        </w:rPr>
        <w:t>3</w:t>
      </w:r>
      <w:r>
        <w:rPr>
          <w:rFonts w:eastAsia="Arial"/>
          <w:color w:val="000000"/>
          <w:sz w:val="24"/>
          <w:szCs w:val="24"/>
        </w:rPr>
        <w:t xml:space="preserve">.2, </w:t>
      </w:r>
      <w:r w:rsidR="00AF0FD5">
        <w:rPr>
          <w:rFonts w:eastAsia="Arial"/>
          <w:color w:val="000000"/>
          <w:sz w:val="24"/>
          <w:szCs w:val="24"/>
        </w:rPr>
        <w:t>3</w:t>
      </w:r>
      <w:r>
        <w:rPr>
          <w:rFonts w:eastAsia="Arial"/>
          <w:color w:val="000000"/>
          <w:sz w:val="24"/>
          <w:szCs w:val="24"/>
        </w:rPr>
        <w:t xml:space="preserve">.8 and </w:t>
      </w:r>
      <w:r w:rsidR="00AF0FD5">
        <w:rPr>
          <w:rFonts w:eastAsia="Arial"/>
          <w:color w:val="000000"/>
          <w:sz w:val="24"/>
          <w:szCs w:val="24"/>
        </w:rPr>
        <w:t>3</w:t>
      </w:r>
      <w:r>
        <w:rPr>
          <w:rFonts w:eastAsia="Arial"/>
          <w:color w:val="000000"/>
          <w:sz w:val="24"/>
          <w:szCs w:val="24"/>
        </w:rPr>
        <w:t xml:space="preserve">.9, the Buyer shall procure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shall discuss in good faith the contents of the CRP Information with the Supplier and no later than 60 days after the date on which the CRP Information was delivered by the Supplier either provide an Assurance to the Supplier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approve the CRP Information or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reject the CRP Information.</w:t>
      </w:r>
    </w:p>
    <w:p w14:paraId="30226DB7" w14:textId="7B41FFD6"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If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reject the CRP Information:</w:t>
      </w:r>
    </w:p>
    <w:p w14:paraId="33D7D282"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the Buyer shall (and shall procure that the Cabinet Office Markets and Suppliers Team shall) inform the Supplier in writing of its reasons for its rejection; and</w:t>
      </w:r>
    </w:p>
    <w:p w14:paraId="79B39493" w14:textId="0B241622" w:rsidR="0097484D" w:rsidRDefault="0097484D" w:rsidP="0097484D">
      <w:pPr>
        <w:keepNext/>
        <w:numPr>
          <w:ilvl w:val="2"/>
          <w:numId w:val="1"/>
        </w:numPr>
        <w:pBdr>
          <w:top w:val="nil"/>
          <w:left w:val="nil"/>
          <w:bottom w:val="nil"/>
          <w:right w:val="nil"/>
          <w:between w:val="nil"/>
        </w:pBdr>
        <w:spacing w:before="120" w:after="120"/>
        <w:jc w:val="left"/>
        <w:rPr>
          <w:sz w:val="24"/>
          <w:szCs w:val="24"/>
        </w:rPr>
      </w:pPr>
      <w:proofErr w:type="gramStart"/>
      <w:r>
        <w:rPr>
          <w:sz w:val="24"/>
          <w:szCs w:val="24"/>
        </w:rPr>
        <w:t>the</w:t>
      </w:r>
      <w:proofErr w:type="gramEnd"/>
      <w:r>
        <w:rPr>
          <w:sz w:val="24"/>
          <w:szCs w:val="24"/>
        </w:rPr>
        <w:t xml:space="preserve"> Supplier shall revise the CRP Information, taking reasonable account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xml:space="preserve">’ comments, and shall re-submit the CRP Information to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for approval within 30 days of the date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xml:space="preserve">’ rejection. The provisions of paragraph </w:t>
      </w:r>
      <w:r w:rsidR="00216310">
        <w:rPr>
          <w:sz w:val="24"/>
          <w:szCs w:val="24"/>
        </w:rPr>
        <w:t>3</w:t>
      </w:r>
      <w:r>
        <w:rPr>
          <w:sz w:val="24"/>
          <w:szCs w:val="24"/>
        </w:rPr>
        <w:t xml:space="preserve">.3 to </w:t>
      </w:r>
      <w:r w:rsidR="00216310">
        <w:rPr>
          <w:sz w:val="24"/>
          <w:szCs w:val="24"/>
        </w:rPr>
        <w:t>3</w:t>
      </w:r>
      <w:r>
        <w:rPr>
          <w:sz w:val="24"/>
          <w:szCs w:val="24"/>
        </w:rPr>
        <w:t>.5 shall apply again to any resubmitted CRP Information provided that either Party may refer any disputed matters for resolution by the Dispute Resolution Procedure under Clause 34 of the Core Terms at any time.</w:t>
      </w:r>
    </w:p>
    <w:p w14:paraId="7957B2F3" w14:textId="6F9451E6"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or a member of the Supplier Group has already provided CRP Information to a </w:t>
      </w:r>
      <w:r w:rsidR="00216310" w:rsidRPr="00D02588">
        <w:rPr>
          <w:rFonts w:eastAsia="Arial"/>
          <w:color w:val="000000"/>
          <w:sz w:val="24"/>
          <w:szCs w:val="24"/>
          <w:highlight w:val="yellow"/>
        </w:rPr>
        <w:t>Central Government Body</w:t>
      </w:r>
      <w:r w:rsidR="00216310">
        <w:rPr>
          <w:rFonts w:eastAsia="Arial"/>
          <w:color w:val="000000"/>
          <w:sz w:val="24"/>
          <w:szCs w:val="24"/>
        </w:rPr>
        <w:t xml:space="preserve"> </w:t>
      </w:r>
      <w:r>
        <w:rPr>
          <w:rFonts w:eastAsia="Arial"/>
          <w:color w:val="000000"/>
          <w:sz w:val="24"/>
          <w:szCs w:val="24"/>
        </w:rPr>
        <w:t xml:space="preserve">or the Cabinet Office Markets and Suppliers Team (or, in the case of a Strategic Supplier, solely to the Cabinet Office Markets and Suppliers Team) and has received an Assurance of its CRP Information from that </w:t>
      </w:r>
      <w:r w:rsidR="00216310" w:rsidRPr="00D02588">
        <w:rPr>
          <w:rFonts w:eastAsia="Arial"/>
          <w:color w:val="000000"/>
          <w:sz w:val="24"/>
          <w:szCs w:val="24"/>
          <w:highlight w:val="yellow"/>
        </w:rPr>
        <w:t>Central Government Body</w:t>
      </w:r>
      <w:r w:rsidR="00216310">
        <w:rPr>
          <w:rFonts w:eastAsia="Arial"/>
          <w:color w:val="000000"/>
          <w:sz w:val="24"/>
          <w:szCs w:val="24"/>
        </w:rPr>
        <w:t xml:space="preserve"> </w:t>
      </w:r>
      <w:r>
        <w:rPr>
          <w:rFonts w:eastAsia="Arial"/>
          <w:color w:val="000000"/>
          <w:sz w:val="24"/>
          <w:szCs w:val="24"/>
        </w:rPr>
        <w:t xml:space="preserve">and the Cabinet Office Markets and Suppliers Team (or, in the case of a Strategic Supplier, solely from the Cabinet Office Markets and Suppliers Team), then provided that the Assurance remains Valid (which has the meaning in paragraph </w:t>
      </w:r>
      <w:r w:rsidR="00216310">
        <w:rPr>
          <w:rFonts w:eastAsia="Arial"/>
          <w:color w:val="000000"/>
          <w:sz w:val="24"/>
          <w:szCs w:val="24"/>
        </w:rPr>
        <w:t>3</w:t>
      </w:r>
      <w:r>
        <w:rPr>
          <w:rFonts w:eastAsia="Arial"/>
          <w:color w:val="000000"/>
          <w:sz w:val="24"/>
          <w:szCs w:val="24"/>
        </w:rPr>
        <w:t xml:space="preserve">.7 below) on the date by which the CRP Information would otherwise be required, the Supplier shall not be required to provide the CRP Information under Paragraph </w:t>
      </w:r>
      <w:r w:rsidR="00216310">
        <w:rPr>
          <w:rFonts w:eastAsia="Arial"/>
          <w:color w:val="000000"/>
          <w:sz w:val="24"/>
          <w:szCs w:val="24"/>
        </w:rPr>
        <w:t>3</w:t>
      </w:r>
      <w:r>
        <w:rPr>
          <w:rFonts w:eastAsia="Arial"/>
          <w:color w:val="000000"/>
          <w:sz w:val="24"/>
          <w:szCs w:val="24"/>
        </w:rPr>
        <w:t xml:space="preserve">.2 if it provides a copy of the Valid Assurance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on or before the date on which the CRP Information would otherwise have been required.</w:t>
      </w:r>
    </w:p>
    <w:p w14:paraId="347915AE" w14:textId="0E4D7B1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An Assurance shall be deemed Valid for the purposes of Paragraph </w:t>
      </w:r>
      <w:r w:rsidR="00216310">
        <w:rPr>
          <w:rFonts w:eastAsia="Arial"/>
          <w:color w:val="000000"/>
          <w:sz w:val="24"/>
          <w:szCs w:val="24"/>
        </w:rPr>
        <w:t>3</w:t>
      </w:r>
      <w:r>
        <w:rPr>
          <w:rFonts w:eastAsia="Arial"/>
          <w:color w:val="000000"/>
          <w:sz w:val="24"/>
          <w:szCs w:val="24"/>
        </w:rPr>
        <w:t>.6 if:</w:t>
      </w:r>
    </w:p>
    <w:p w14:paraId="2441825D"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0032EE93"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proofErr w:type="gramStart"/>
      <w:r>
        <w:rPr>
          <w:sz w:val="24"/>
          <w:szCs w:val="24"/>
        </w:rPr>
        <w:t>no</w:t>
      </w:r>
      <w:proofErr w:type="gramEnd"/>
      <w:r>
        <w:rPr>
          <w:sz w:val="24"/>
          <w:szCs w:val="24"/>
        </w:rPr>
        <w:t xml:space="preserve"> Corporate Change Events or Financial Distress Events (or events which would be deemed to be Corporate Change Events or Financial Distress Events if the Contract had then been in force) have occurred since the date of issue of the Assurance.</w:t>
      </w:r>
    </w:p>
    <w:p w14:paraId="3CF72723" w14:textId="0A99D0A1"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If the Contract is a Critical Service Contract, the Supplier shall provide an updated version of the CRP Information (or, in the case of Paragraph </w:t>
      </w:r>
      <w:r w:rsidR="00211DEE">
        <w:rPr>
          <w:rFonts w:eastAsia="Arial"/>
          <w:color w:val="000000"/>
          <w:sz w:val="24"/>
          <w:szCs w:val="24"/>
        </w:rPr>
        <w:t>3</w:t>
      </w:r>
      <w:r>
        <w:rPr>
          <w:rFonts w:eastAsia="Arial"/>
          <w:color w:val="000000"/>
          <w:sz w:val="24"/>
          <w:szCs w:val="24"/>
        </w:rPr>
        <w:t>.8</w:t>
      </w:r>
      <w:r w:rsidR="005906E1">
        <w:rPr>
          <w:rFonts w:eastAsia="Arial"/>
          <w:color w:val="000000"/>
          <w:sz w:val="24"/>
          <w:szCs w:val="24"/>
        </w:rPr>
        <w:t>.3</w:t>
      </w:r>
      <w:r>
        <w:rPr>
          <w:rFonts w:eastAsia="Arial"/>
          <w:color w:val="000000"/>
          <w:sz w:val="24"/>
          <w:szCs w:val="24"/>
        </w:rPr>
        <w:t xml:space="preserve"> of its initial CRP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w:t>
      </w:r>
    </w:p>
    <w:p w14:paraId="70A54A39" w14:textId="02359584"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within 14 days of the occurrence of a Financial Distress Event (along with any additional highly confidential information no longer exempted from disclosure under Paragraph </w:t>
      </w:r>
      <w:r w:rsidR="00211DEE">
        <w:rPr>
          <w:sz w:val="24"/>
          <w:szCs w:val="24"/>
        </w:rPr>
        <w:t>3</w:t>
      </w:r>
      <w:r>
        <w:rPr>
          <w:sz w:val="24"/>
          <w:szCs w:val="24"/>
        </w:rPr>
        <w:t xml:space="preserve">.11) unless the Supplier is relieved of the consequences of the Financial Distress Event under </w:t>
      </w:r>
      <w:r w:rsidRPr="00BA477D">
        <w:rPr>
          <w:sz w:val="24"/>
          <w:szCs w:val="24"/>
        </w:rPr>
        <w:t xml:space="preserve">Paragraph 7.1 </w:t>
      </w:r>
      <w:r w:rsidR="004E7615" w:rsidRPr="00BA477D">
        <w:rPr>
          <w:sz w:val="24"/>
          <w:szCs w:val="24"/>
        </w:rPr>
        <w:t>of</w:t>
      </w:r>
      <w:r w:rsidRPr="00BA477D">
        <w:rPr>
          <w:sz w:val="24"/>
          <w:szCs w:val="24"/>
        </w:rPr>
        <w:t xml:space="preserve"> Joint Schedule 7</w:t>
      </w:r>
      <w:r>
        <w:rPr>
          <w:sz w:val="24"/>
          <w:szCs w:val="24"/>
        </w:rPr>
        <w:t xml:space="preserve"> (Financial Distress) (if applicable);</w:t>
      </w:r>
    </w:p>
    <w:p w14:paraId="1A65AC23" w14:textId="5C6E5D77" w:rsidR="00211DEE"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within 30 days of a Corporate Change Event unless</w:t>
      </w:r>
    </w:p>
    <w:p w14:paraId="11047B38" w14:textId="46FCA1FB" w:rsidR="00211DEE" w:rsidRPr="00B111AE" w:rsidRDefault="00211DEE" w:rsidP="00D02588">
      <w:pPr>
        <w:keepNext/>
        <w:numPr>
          <w:ilvl w:val="3"/>
          <w:numId w:val="1"/>
        </w:numPr>
        <w:pBdr>
          <w:top w:val="nil"/>
          <w:left w:val="nil"/>
          <w:bottom w:val="nil"/>
          <w:right w:val="nil"/>
          <w:between w:val="nil"/>
        </w:pBdr>
        <w:spacing w:before="120" w:after="120"/>
        <w:ind w:left="2268" w:hanging="850"/>
        <w:jc w:val="left"/>
        <w:rPr>
          <w:sz w:val="28"/>
          <w:szCs w:val="24"/>
        </w:rPr>
      </w:pPr>
      <w:r w:rsidRPr="00B111AE">
        <w:rPr>
          <w:sz w:val="24"/>
        </w:rPr>
        <w:t xml:space="preserve">the Supplier requests and the </w:t>
      </w:r>
      <w:r w:rsidR="00AA2319" w:rsidRPr="00B111AE">
        <w:rPr>
          <w:sz w:val="24"/>
        </w:rPr>
        <w:t>Appropriate Authority</w:t>
      </w:r>
      <w:r w:rsidRPr="00B111AE">
        <w:rPr>
          <w:sz w:val="24"/>
        </w:rPr>
        <w:t xml:space="preserve"> (acting reasonably) agrees to a </w:t>
      </w:r>
      <w:r w:rsidRPr="00B111AE">
        <w:rPr>
          <w:sz w:val="24"/>
          <w:highlight w:val="yellow"/>
        </w:rPr>
        <w:t>Corporate Change Event Grace Period</w:t>
      </w:r>
      <w:r w:rsidRPr="00B111AE">
        <w:rPr>
          <w:sz w:val="24"/>
        </w:rPr>
        <w:t xml:space="preserve">, in the event of which the time period for the Supplier to comply with this Paragraph shall be extended as determined by the </w:t>
      </w:r>
      <w:r w:rsidR="00AA2319" w:rsidRPr="00B111AE">
        <w:rPr>
          <w:sz w:val="24"/>
        </w:rPr>
        <w:t>Appropriate Authority</w:t>
      </w:r>
      <w:r w:rsidRPr="00B111AE">
        <w:rPr>
          <w:sz w:val="24"/>
        </w:rPr>
        <w:t xml:space="preserve"> (acting reasonably) but shall in any case be no longer than six months after the Corporate Change Event.  During a Corporate Change Event Grace Period the Supplier shall regularly and fully engage with the </w:t>
      </w:r>
      <w:r w:rsidR="00AA2319" w:rsidRPr="00B111AE">
        <w:rPr>
          <w:sz w:val="24"/>
        </w:rPr>
        <w:t>Appropriate Authority</w:t>
      </w:r>
      <w:r w:rsidRPr="00B111AE">
        <w:rPr>
          <w:sz w:val="24"/>
        </w:rPr>
        <w:t xml:space="preserve"> to enable it to understand the nature of the Corporate Change Event and the </w:t>
      </w:r>
      <w:r w:rsidR="00AA2319" w:rsidRPr="00B111AE">
        <w:rPr>
          <w:sz w:val="24"/>
        </w:rPr>
        <w:t xml:space="preserve">Appropriate Authority </w:t>
      </w:r>
      <w:r w:rsidRPr="00B111AE">
        <w:rPr>
          <w:sz w:val="24"/>
        </w:rPr>
        <w:t xml:space="preserve"> shall reserve the right to terminate a Corporate Change Event Grace Period at any time if the Supplier fails to comply with this Paragraph; or</w:t>
      </w:r>
    </w:p>
    <w:p w14:paraId="101D5323" w14:textId="5CB59B74" w:rsidR="0097484D" w:rsidRDefault="0097484D" w:rsidP="00D02588">
      <w:pPr>
        <w:keepNext/>
        <w:numPr>
          <w:ilvl w:val="3"/>
          <w:numId w:val="1"/>
        </w:numPr>
        <w:pBdr>
          <w:top w:val="nil"/>
          <w:left w:val="nil"/>
          <w:bottom w:val="nil"/>
          <w:right w:val="nil"/>
          <w:between w:val="nil"/>
        </w:pBdr>
        <w:spacing w:before="120" w:after="120"/>
        <w:jc w:val="left"/>
        <w:rPr>
          <w:sz w:val="24"/>
          <w:szCs w:val="24"/>
        </w:rPr>
      </w:pPr>
      <w:r>
        <w:rPr>
          <w:sz w:val="24"/>
          <w:szCs w:val="24"/>
        </w:rPr>
        <w:t xml:space="preserve"> not required pursuant to Paragraph </w:t>
      </w:r>
      <w:r w:rsidR="00211DEE">
        <w:rPr>
          <w:sz w:val="24"/>
          <w:szCs w:val="24"/>
        </w:rPr>
        <w:t>3</w:t>
      </w:r>
      <w:r>
        <w:rPr>
          <w:sz w:val="24"/>
          <w:szCs w:val="24"/>
        </w:rPr>
        <w:t>.10;</w:t>
      </w:r>
    </w:p>
    <w:p w14:paraId="500B24E1"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within 30 days of the date that:</w:t>
      </w:r>
    </w:p>
    <w:p w14:paraId="5692AA4C" w14:textId="3E199B51"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the credit rating(s) of each of the Supplier and its Parent Undertakings fail to meet any of the criteria specified in Paragraph </w:t>
      </w:r>
      <w:r w:rsidR="00AA2319">
        <w:rPr>
          <w:rFonts w:eastAsia="Arial"/>
          <w:color w:val="000000"/>
          <w:sz w:val="24"/>
          <w:szCs w:val="24"/>
        </w:rPr>
        <w:t>3</w:t>
      </w:r>
      <w:r>
        <w:rPr>
          <w:rFonts w:eastAsia="Arial"/>
          <w:color w:val="000000"/>
          <w:sz w:val="24"/>
          <w:szCs w:val="24"/>
        </w:rPr>
        <w:t>.10; or</w:t>
      </w:r>
    </w:p>
    <w:p w14:paraId="539C084A" w14:textId="77684BAA"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none of the credit rating agencies specified at Paragraph </w:t>
      </w:r>
      <w:r w:rsidR="00AA2319">
        <w:rPr>
          <w:rFonts w:eastAsia="Arial"/>
          <w:color w:val="000000"/>
          <w:sz w:val="24"/>
          <w:szCs w:val="24"/>
        </w:rPr>
        <w:t>3</w:t>
      </w:r>
      <w:r>
        <w:rPr>
          <w:rFonts w:eastAsia="Arial"/>
          <w:color w:val="000000"/>
          <w:sz w:val="24"/>
          <w:szCs w:val="24"/>
        </w:rPr>
        <w:t>.10 hold a public credit rating for the Supplier or any of its Parent Undertakings; and</w:t>
      </w:r>
    </w:p>
    <w:p w14:paraId="23F6E131" w14:textId="5A323E2E"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in any event, within 6 months after each Accounting Reference Date or within 15 months of the date of the previous Assurance received from the </w:t>
      </w:r>
      <w:r w:rsidR="00063994">
        <w:rPr>
          <w:sz w:val="24"/>
          <w:szCs w:val="24"/>
        </w:rPr>
        <w:t>Appropriate Authority</w:t>
      </w:r>
      <w:r>
        <w:rPr>
          <w:sz w:val="24"/>
          <w:szCs w:val="24"/>
        </w:rPr>
        <w:t xml:space="preserve"> (whichever is the earlier), unless:</w:t>
      </w:r>
    </w:p>
    <w:p w14:paraId="5129D444" w14:textId="4532E6EA"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updated CRP Information has been provided under any of Paragraphs </w:t>
      </w:r>
      <w:r w:rsidR="00AA2319">
        <w:rPr>
          <w:rFonts w:eastAsia="Arial"/>
          <w:color w:val="000000"/>
          <w:sz w:val="24"/>
          <w:szCs w:val="24"/>
        </w:rPr>
        <w:t>3</w:t>
      </w:r>
      <w:r w:rsidR="005906E1">
        <w:rPr>
          <w:rFonts w:eastAsia="Arial"/>
          <w:color w:val="000000"/>
          <w:sz w:val="24"/>
          <w:szCs w:val="24"/>
        </w:rPr>
        <w:t>.</w:t>
      </w:r>
      <w:r>
        <w:rPr>
          <w:rFonts w:eastAsia="Arial"/>
          <w:color w:val="000000"/>
          <w:sz w:val="24"/>
          <w:szCs w:val="24"/>
        </w:rPr>
        <w:t>8</w:t>
      </w:r>
      <w:r w:rsidR="005906E1">
        <w:rPr>
          <w:rFonts w:eastAsia="Arial"/>
          <w:color w:val="000000"/>
          <w:sz w:val="24"/>
          <w:szCs w:val="24"/>
        </w:rPr>
        <w:t>.1</w:t>
      </w:r>
      <w:r>
        <w:rPr>
          <w:rFonts w:eastAsia="Arial"/>
          <w:color w:val="000000"/>
          <w:sz w:val="24"/>
          <w:szCs w:val="24"/>
        </w:rPr>
        <w:t xml:space="preserve"> </w:t>
      </w:r>
      <w:r w:rsidR="00AA2319">
        <w:rPr>
          <w:rFonts w:eastAsia="Arial"/>
          <w:color w:val="000000"/>
          <w:sz w:val="24"/>
          <w:szCs w:val="24"/>
        </w:rPr>
        <w:t>3</w:t>
      </w:r>
      <w:r>
        <w:rPr>
          <w:rFonts w:eastAsia="Arial"/>
          <w:color w:val="000000"/>
          <w:sz w:val="24"/>
          <w:szCs w:val="24"/>
        </w:rPr>
        <w:t>.8</w:t>
      </w:r>
      <w:r w:rsidR="005906E1">
        <w:rPr>
          <w:rFonts w:eastAsia="Arial"/>
          <w:color w:val="000000"/>
          <w:sz w:val="24"/>
          <w:szCs w:val="24"/>
        </w:rPr>
        <w:t>.2</w:t>
      </w:r>
      <w:r>
        <w:rPr>
          <w:rFonts w:eastAsia="Arial"/>
          <w:color w:val="000000"/>
          <w:sz w:val="24"/>
          <w:szCs w:val="24"/>
        </w:rPr>
        <w:t xml:space="preserve"> or </w:t>
      </w:r>
      <w:r w:rsidR="00AA2319">
        <w:rPr>
          <w:rFonts w:eastAsia="Arial"/>
          <w:color w:val="000000"/>
          <w:sz w:val="24"/>
          <w:szCs w:val="24"/>
        </w:rPr>
        <w:t>3</w:t>
      </w:r>
      <w:r>
        <w:rPr>
          <w:rFonts w:eastAsia="Arial"/>
          <w:color w:val="000000"/>
          <w:sz w:val="24"/>
          <w:szCs w:val="24"/>
        </w:rPr>
        <w:t>.8</w:t>
      </w:r>
      <w:r w:rsidR="005906E1">
        <w:rPr>
          <w:rFonts w:eastAsia="Arial"/>
          <w:color w:val="000000"/>
          <w:sz w:val="24"/>
          <w:szCs w:val="24"/>
        </w:rPr>
        <w:t>.3</w:t>
      </w:r>
      <w:r>
        <w:rPr>
          <w:rFonts w:eastAsia="Arial"/>
          <w:color w:val="000000"/>
          <w:sz w:val="24"/>
          <w:szCs w:val="24"/>
        </w:rPr>
        <w:t xml:space="preserve"> since the most recent Accounting Reference Date (being no more than 12 months previously) within the timescales that would ordinarily be required for the provision of that information under this Paragraph </w:t>
      </w:r>
      <w:r w:rsidR="00AA2319">
        <w:rPr>
          <w:rFonts w:eastAsia="Arial"/>
          <w:color w:val="000000"/>
          <w:sz w:val="24"/>
          <w:szCs w:val="24"/>
        </w:rPr>
        <w:t>3</w:t>
      </w:r>
      <w:r>
        <w:rPr>
          <w:rFonts w:eastAsia="Arial"/>
          <w:color w:val="000000"/>
          <w:sz w:val="24"/>
          <w:szCs w:val="24"/>
        </w:rPr>
        <w:t>.8</w:t>
      </w:r>
      <w:r w:rsidR="005906E1">
        <w:rPr>
          <w:rFonts w:eastAsia="Arial"/>
          <w:color w:val="000000"/>
          <w:sz w:val="24"/>
          <w:szCs w:val="24"/>
        </w:rPr>
        <w:t>.4</w:t>
      </w:r>
      <w:r>
        <w:rPr>
          <w:rFonts w:eastAsia="Arial"/>
          <w:color w:val="000000"/>
          <w:sz w:val="24"/>
          <w:szCs w:val="24"/>
        </w:rPr>
        <w:t>; or</w:t>
      </w:r>
    </w:p>
    <w:p w14:paraId="4CC108C6" w14:textId="1A35B898"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proofErr w:type="gramStart"/>
      <w:r>
        <w:rPr>
          <w:rFonts w:eastAsia="Arial"/>
          <w:color w:val="000000"/>
          <w:sz w:val="24"/>
          <w:szCs w:val="24"/>
        </w:rPr>
        <w:t>not</w:t>
      </w:r>
      <w:proofErr w:type="gramEnd"/>
      <w:r>
        <w:rPr>
          <w:rFonts w:eastAsia="Arial"/>
          <w:color w:val="000000"/>
          <w:sz w:val="24"/>
          <w:szCs w:val="24"/>
        </w:rPr>
        <w:t xml:space="preserve"> required pursuant to Paragraph </w:t>
      </w:r>
      <w:r w:rsidR="00AA2319">
        <w:rPr>
          <w:rFonts w:eastAsia="Arial"/>
          <w:color w:val="000000"/>
          <w:sz w:val="24"/>
          <w:szCs w:val="24"/>
        </w:rPr>
        <w:t>3</w:t>
      </w:r>
      <w:r>
        <w:rPr>
          <w:rFonts w:eastAsia="Arial"/>
          <w:color w:val="000000"/>
          <w:sz w:val="24"/>
          <w:szCs w:val="24"/>
        </w:rPr>
        <w:t>.10.</w:t>
      </w:r>
    </w:p>
    <w:p w14:paraId="247A6621" w14:textId="7D5DCF32"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is a Public Sector Dependent Supplier and the Contract is not a Critical Service Contract, then on the occurrence of any of the events   specified in Paragraphs </w:t>
      </w:r>
      <w:r w:rsidR="001B2B79">
        <w:rPr>
          <w:rFonts w:eastAsia="Arial"/>
          <w:color w:val="000000"/>
          <w:sz w:val="24"/>
          <w:szCs w:val="24"/>
        </w:rPr>
        <w:t>3</w:t>
      </w:r>
      <w:r>
        <w:rPr>
          <w:rFonts w:eastAsia="Arial"/>
          <w:color w:val="000000"/>
          <w:sz w:val="24"/>
          <w:szCs w:val="24"/>
        </w:rPr>
        <w:t>.8</w:t>
      </w:r>
      <w:r w:rsidR="008E733F">
        <w:rPr>
          <w:rFonts w:eastAsia="Arial"/>
          <w:color w:val="000000"/>
          <w:sz w:val="24"/>
          <w:szCs w:val="24"/>
        </w:rPr>
        <w:t>.1</w:t>
      </w:r>
      <w:r>
        <w:rPr>
          <w:rFonts w:eastAsia="Arial"/>
          <w:color w:val="000000"/>
          <w:sz w:val="24"/>
          <w:szCs w:val="24"/>
        </w:rPr>
        <w:t xml:space="preserve"> to </w:t>
      </w:r>
      <w:r w:rsidR="001B2B79">
        <w:rPr>
          <w:rFonts w:eastAsia="Arial"/>
          <w:color w:val="000000"/>
          <w:sz w:val="24"/>
          <w:szCs w:val="24"/>
        </w:rPr>
        <w:t>3</w:t>
      </w:r>
      <w:r w:rsidR="008E733F">
        <w:rPr>
          <w:rFonts w:eastAsia="Arial"/>
          <w:color w:val="000000"/>
          <w:sz w:val="24"/>
          <w:szCs w:val="24"/>
        </w:rPr>
        <w:t>.8.4</w:t>
      </w:r>
      <w:r>
        <w:rPr>
          <w:rFonts w:eastAsia="Arial"/>
          <w:color w:val="000000"/>
          <w:sz w:val="24"/>
          <w:szCs w:val="24"/>
        </w:rPr>
        <w:t xml:space="preserve">, the Supplier shall provide at the request of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and within the applicable timescales for each event as set out in Paragraph </w:t>
      </w:r>
      <w:r w:rsidR="001B2B79">
        <w:rPr>
          <w:rFonts w:eastAsia="Arial"/>
          <w:color w:val="000000"/>
          <w:sz w:val="24"/>
          <w:szCs w:val="24"/>
        </w:rPr>
        <w:t>3</w:t>
      </w:r>
      <w:r>
        <w:rPr>
          <w:rFonts w:eastAsia="Arial"/>
          <w:color w:val="000000"/>
          <w:sz w:val="24"/>
          <w:szCs w:val="24"/>
        </w:rPr>
        <w:t xml:space="preserve">.8 (or such longer timescales as may be notified to the Supplier by the Buyer), the CRP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w:t>
      </w:r>
    </w:p>
    <w:p w14:paraId="06ACBD6F" w14:textId="7777777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or a </w:t>
      </w:r>
      <w:r w:rsidRPr="00D02588">
        <w:rPr>
          <w:rFonts w:eastAsia="Arial"/>
          <w:color w:val="000000"/>
          <w:sz w:val="24"/>
          <w:szCs w:val="24"/>
          <w:highlight w:val="yellow"/>
        </w:rPr>
        <w:t>Parent Undertaking</w:t>
      </w:r>
      <w:r>
        <w:rPr>
          <w:rFonts w:eastAsia="Arial"/>
          <w:color w:val="000000"/>
          <w:sz w:val="24"/>
          <w:szCs w:val="24"/>
        </w:rPr>
        <w:t xml:space="preserve"> of the Supplier has a credit rating of either:</w:t>
      </w:r>
    </w:p>
    <w:p w14:paraId="2BEBFCB4"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Aa3 or better from Moody’s;</w:t>
      </w:r>
    </w:p>
    <w:p w14:paraId="174A53C5"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AA- or better from Standard and </w:t>
      </w:r>
      <w:proofErr w:type="spellStart"/>
      <w:r>
        <w:rPr>
          <w:sz w:val="24"/>
          <w:szCs w:val="24"/>
        </w:rPr>
        <w:t>Poors</w:t>
      </w:r>
      <w:proofErr w:type="spellEnd"/>
      <w:r>
        <w:rPr>
          <w:sz w:val="24"/>
          <w:szCs w:val="24"/>
        </w:rPr>
        <w:t>;</w:t>
      </w:r>
    </w:p>
    <w:p w14:paraId="197C5FE5"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AA- or better from Fitch;</w:t>
      </w:r>
    </w:p>
    <w:p w14:paraId="537797ED" w14:textId="1A235E48" w:rsidR="0097484D" w:rsidRDefault="0097484D" w:rsidP="0097484D">
      <w:pPr>
        <w:keepNext/>
        <w:pBdr>
          <w:top w:val="nil"/>
          <w:left w:val="nil"/>
          <w:bottom w:val="nil"/>
          <w:right w:val="nil"/>
          <w:between w:val="nil"/>
        </w:pBdr>
        <w:spacing w:before="120" w:after="120"/>
        <w:ind w:left="720"/>
        <w:jc w:val="left"/>
        <w:rPr>
          <w:sz w:val="24"/>
          <w:szCs w:val="24"/>
        </w:rPr>
      </w:pPr>
      <w:r>
        <w:rPr>
          <w:sz w:val="24"/>
          <w:szCs w:val="24"/>
        </w:rPr>
        <w:t>the Supplier will not be required to provide any CRP Information unless or until either (</w:t>
      </w:r>
      <w:proofErr w:type="spellStart"/>
      <w:r>
        <w:rPr>
          <w:sz w:val="24"/>
          <w:szCs w:val="24"/>
        </w:rPr>
        <w:t>i</w:t>
      </w:r>
      <w:proofErr w:type="spellEnd"/>
      <w:r>
        <w:rPr>
          <w:sz w:val="24"/>
          <w:szCs w:val="24"/>
        </w:rPr>
        <w:t xml:space="preserve">) a Financial Distress Event occurs (unless the Supplier is relieved of the consequences of the Financial Distress Event under </w:t>
      </w:r>
      <w:r w:rsidRPr="00D02588">
        <w:rPr>
          <w:sz w:val="24"/>
          <w:szCs w:val="24"/>
          <w:highlight w:val="yellow"/>
        </w:rPr>
        <w:t>Paragraph 7.1 of Annex 3 to Joint Schedule 7 (Financial Distress</w:t>
      </w:r>
      <w:r>
        <w:rPr>
          <w:sz w:val="24"/>
          <w:szCs w:val="24"/>
        </w:rPr>
        <w:t xml:space="preserve">), if applicable) or (ii) the Supplier and its Parent Undertakings cease to fulfil the criteria set out in this Paragraph </w:t>
      </w:r>
      <w:r w:rsidR="001B2B79">
        <w:rPr>
          <w:sz w:val="24"/>
          <w:szCs w:val="24"/>
        </w:rPr>
        <w:t>3</w:t>
      </w:r>
      <w:r>
        <w:rPr>
          <w:sz w:val="24"/>
          <w:szCs w:val="24"/>
        </w:rPr>
        <w:t xml:space="preserve">.10, in which cases the Supplier shall provide the updated version of the CRP Information in accordance with paragraph </w:t>
      </w:r>
      <w:r w:rsidR="001B2B79">
        <w:rPr>
          <w:sz w:val="24"/>
          <w:szCs w:val="24"/>
        </w:rPr>
        <w:t>3</w:t>
      </w:r>
      <w:r>
        <w:rPr>
          <w:sz w:val="24"/>
          <w:szCs w:val="24"/>
        </w:rPr>
        <w:t>.8.</w:t>
      </w:r>
    </w:p>
    <w:p w14:paraId="2E0C40BB" w14:textId="36884B71"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Subject to Paragraph </w:t>
      </w:r>
      <w:r w:rsidR="001B2B79">
        <w:rPr>
          <w:rFonts w:eastAsia="Arial"/>
          <w:color w:val="000000"/>
          <w:sz w:val="24"/>
          <w:szCs w:val="24"/>
        </w:rPr>
        <w:t>5</w:t>
      </w:r>
      <w:r>
        <w:rPr>
          <w:rFonts w:eastAsia="Arial"/>
          <w:color w:val="000000"/>
          <w:sz w:val="24"/>
          <w:szCs w:val="24"/>
        </w:rPr>
        <w:t xml:space="preserve">, where the Supplier demonstrates to the reasonable satisfaction of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that a particular item of CRP Information is highly confidential, the Supplier may, having orally disclosed and discussed that information with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redact or omit that information from the CRP Information provided that if a Financial Distress Event occurs, this exemption shall no longer apply and the Supplier shall promptly provide the relevant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to the extent required under Paragraph </w:t>
      </w:r>
      <w:r w:rsidR="001B2B79">
        <w:rPr>
          <w:rFonts w:eastAsia="Arial"/>
          <w:color w:val="000000"/>
          <w:sz w:val="24"/>
          <w:szCs w:val="24"/>
        </w:rPr>
        <w:t>3</w:t>
      </w:r>
      <w:r>
        <w:rPr>
          <w:rFonts w:eastAsia="Arial"/>
          <w:color w:val="000000"/>
          <w:sz w:val="24"/>
          <w:szCs w:val="24"/>
        </w:rPr>
        <w:t>.8.</w:t>
      </w:r>
    </w:p>
    <w:p w14:paraId="271C1369"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Termination Rights</w:t>
      </w:r>
    </w:p>
    <w:p w14:paraId="7B2175F0" w14:textId="59460D3D" w:rsidR="0097484D" w:rsidRDefault="008414B3" w:rsidP="0097484D">
      <w:pPr>
        <w:numPr>
          <w:ilvl w:val="1"/>
          <w:numId w:val="1"/>
        </w:numPr>
        <w:pBdr>
          <w:top w:val="nil"/>
          <w:left w:val="nil"/>
          <w:bottom w:val="nil"/>
          <w:right w:val="nil"/>
          <w:between w:val="nil"/>
        </w:pBdr>
        <w:spacing w:before="120" w:after="120"/>
        <w:rPr>
          <w:rFonts w:eastAsia="Arial"/>
          <w:color w:val="000000"/>
          <w:sz w:val="24"/>
          <w:szCs w:val="24"/>
        </w:rPr>
      </w:pPr>
      <w:sdt>
        <w:sdtPr>
          <w:tag w:val="goog_rdk_3"/>
          <w:id w:val="886218377"/>
        </w:sdtPr>
        <w:sdtEndPr/>
        <w:sdtContent/>
      </w:sdt>
      <w:r w:rsidR="0097484D">
        <w:rPr>
          <w:rFonts w:eastAsia="Arial"/>
          <w:color w:val="000000"/>
          <w:sz w:val="24"/>
          <w:szCs w:val="24"/>
        </w:rPr>
        <w:t xml:space="preserve">The Buyer shall be entitled to </w:t>
      </w:r>
      <w:r w:rsidR="0097484D" w:rsidRPr="00F71ABD">
        <w:rPr>
          <w:rFonts w:eastAsia="Arial"/>
          <w:color w:val="000000"/>
          <w:sz w:val="24"/>
          <w:szCs w:val="24"/>
        </w:rPr>
        <w:t>terminate the Contract</w:t>
      </w:r>
      <w:r w:rsidR="0097484D">
        <w:rPr>
          <w:rFonts w:eastAsia="Arial"/>
          <w:color w:val="000000"/>
          <w:sz w:val="24"/>
          <w:szCs w:val="24"/>
        </w:rPr>
        <w:t xml:space="preserve"> if the Supplier is required to provide CRP Information under Paragraph </w:t>
      </w:r>
      <w:r w:rsidR="001B2B79">
        <w:rPr>
          <w:rFonts w:eastAsia="Arial"/>
          <w:color w:val="000000"/>
          <w:sz w:val="24"/>
          <w:szCs w:val="24"/>
        </w:rPr>
        <w:t>3</w:t>
      </w:r>
      <w:r w:rsidR="0097484D">
        <w:rPr>
          <w:rFonts w:eastAsia="Arial"/>
          <w:color w:val="000000"/>
          <w:sz w:val="24"/>
          <w:szCs w:val="24"/>
        </w:rPr>
        <w:t xml:space="preserve"> and either:</w:t>
      </w:r>
    </w:p>
    <w:p w14:paraId="4DB66D60" w14:textId="263D1961"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Supplier fails to provide the CRP Information within 4 months of the </w:t>
      </w:r>
      <w:r w:rsidRPr="00D02588">
        <w:rPr>
          <w:sz w:val="24"/>
          <w:szCs w:val="24"/>
          <w:highlight w:val="yellow"/>
        </w:rPr>
        <w:t>Effective Date</w:t>
      </w:r>
      <w:r>
        <w:rPr>
          <w:sz w:val="24"/>
          <w:szCs w:val="24"/>
        </w:rPr>
        <w:t xml:space="preserve"> if this is a Critical Service Contract or otherwise within 4 months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request; or</w:t>
      </w:r>
    </w:p>
    <w:p w14:paraId="6A8ED902" w14:textId="4D05AA3B"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Supplier fails to obtain an Assurance from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within 4 months of the date that it was first required to provide the CRP Information under the Contract,</w:t>
      </w:r>
    </w:p>
    <w:p w14:paraId="05281977" w14:textId="77777777" w:rsidR="0097484D" w:rsidRDefault="0097484D" w:rsidP="00F71ABD">
      <w:pPr>
        <w:pBdr>
          <w:top w:val="nil"/>
          <w:left w:val="nil"/>
          <w:bottom w:val="nil"/>
          <w:right w:val="nil"/>
          <w:between w:val="nil"/>
        </w:pBdr>
        <w:spacing w:before="120" w:after="120"/>
        <w:ind w:left="720" w:hanging="11"/>
        <w:rPr>
          <w:rFonts w:eastAsia="Arial"/>
          <w:color w:val="000000"/>
          <w:sz w:val="24"/>
          <w:szCs w:val="24"/>
        </w:rPr>
      </w:pPr>
      <w:proofErr w:type="gramStart"/>
      <w:r>
        <w:rPr>
          <w:rFonts w:eastAsia="Arial"/>
          <w:color w:val="000000"/>
          <w:sz w:val="24"/>
          <w:szCs w:val="24"/>
        </w:rPr>
        <w:t>which</w:t>
      </w:r>
      <w:proofErr w:type="gramEnd"/>
      <w:r>
        <w:rPr>
          <w:rFonts w:eastAsia="Arial"/>
          <w:color w:val="000000"/>
          <w:sz w:val="24"/>
          <w:szCs w:val="24"/>
        </w:rPr>
        <w:t xml:space="preserve"> shall be deemed to be an event to which Clause 10.4.1 of the Core Terms applies and Clauses 10.6.1 and 10.6.2 of the Core Terms shall apply accordingly.</w:t>
      </w:r>
    </w:p>
    <w:p w14:paraId="6E65A7BE"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Confidentiality and usage of CRP Information</w:t>
      </w:r>
    </w:p>
    <w:p w14:paraId="4CE12918" w14:textId="7777777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4F26E55" w14:textId="3BEF234A"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bookmarkStart w:id="24" w:name="_heading=h.23ckvvd" w:colFirst="0" w:colLast="0"/>
      <w:bookmarkEnd w:id="24"/>
      <w:r>
        <w:rPr>
          <w:rFonts w:eastAsia="Arial"/>
          <w:color w:val="000000"/>
          <w:sz w:val="24"/>
          <w:szCs w:val="24"/>
        </w:rPr>
        <w:t xml:space="preserve">Where the </w:t>
      </w:r>
      <w:r w:rsidR="00063994">
        <w:rPr>
          <w:rFonts w:eastAsia="Arial"/>
          <w:color w:val="000000"/>
          <w:sz w:val="24"/>
          <w:szCs w:val="24"/>
        </w:rPr>
        <w:t>Appropriate Authority</w:t>
      </w:r>
      <w:r>
        <w:rPr>
          <w:rFonts w:eastAsia="Arial"/>
          <w:color w:val="000000"/>
          <w:sz w:val="24"/>
          <w:szCs w:val="24"/>
        </w:rPr>
        <w:t xml:space="preserve">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w:t>
      </w:r>
      <w:r w:rsidR="00F71ABD">
        <w:rPr>
          <w:rFonts w:eastAsia="Arial"/>
          <w:color w:val="000000"/>
          <w:sz w:val="24"/>
          <w:szCs w:val="24"/>
        </w:rPr>
        <w:t>5</w:t>
      </w:r>
      <w:r>
        <w:rPr>
          <w:rFonts w:eastAsia="Arial"/>
          <w:color w:val="000000"/>
          <w:sz w:val="24"/>
          <w:szCs w:val="24"/>
        </w:rPr>
        <w:t>.1 and Clause 15 of the Core Terms.</w:t>
      </w:r>
    </w:p>
    <w:p w14:paraId="137FB34F" w14:textId="36E0CF3A"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use reasonable endeavours to obtain consent from any third party which has restricted the disclosure of the CRP Information to enable disclosure of that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pursuant to Paragraph </w:t>
      </w:r>
      <w:r w:rsidR="00F71ABD">
        <w:rPr>
          <w:rFonts w:eastAsia="Arial"/>
          <w:color w:val="000000"/>
          <w:sz w:val="24"/>
          <w:szCs w:val="24"/>
        </w:rPr>
        <w:t>3</w:t>
      </w:r>
      <w:r>
        <w:rPr>
          <w:rFonts w:eastAsia="Arial"/>
          <w:color w:val="000000"/>
          <w:sz w:val="24"/>
          <w:szCs w:val="24"/>
        </w:rPr>
        <w:t xml:space="preserve"> subject, where necessary,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entering into an appropriate confidentiality agreement in the form required by the third party.</w:t>
      </w:r>
    </w:p>
    <w:p w14:paraId="250E9E11" w14:textId="2513A279"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is unable to procure consent pursuant to Paragraph </w:t>
      </w:r>
      <w:r w:rsidR="00F71ABD">
        <w:rPr>
          <w:rFonts w:eastAsia="Arial"/>
          <w:color w:val="000000"/>
          <w:sz w:val="24"/>
          <w:szCs w:val="24"/>
        </w:rPr>
        <w:t>5</w:t>
      </w:r>
      <w:r>
        <w:rPr>
          <w:rFonts w:eastAsia="Arial"/>
          <w:color w:val="000000"/>
          <w:sz w:val="24"/>
          <w:szCs w:val="24"/>
        </w:rPr>
        <w:t>.3, the Supplier shall use all reasonable endeavours to disclose the CRP Information to the fullest extent possible by limiting the amount of information it withholds including by:</w:t>
      </w:r>
    </w:p>
    <w:p w14:paraId="3CD2A6C7"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redacting only those parts of the information which are subject to such obligations of confidentiality;</w:t>
      </w:r>
    </w:p>
    <w:p w14:paraId="7854E766"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providing the information in a form that does not breach its obligations of confidentiality including (where possible) by:</w:t>
      </w:r>
    </w:p>
    <w:p w14:paraId="6C3E1C5A"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summarising the information;</w:t>
      </w:r>
    </w:p>
    <w:p w14:paraId="25D2A2E8"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grouping the information;</w:t>
      </w:r>
    </w:p>
    <w:p w14:paraId="1CC05BA6"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anonymising the information; and</w:t>
      </w:r>
    </w:p>
    <w:p w14:paraId="1A88C014"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presenting the information in general terms</w:t>
      </w:r>
    </w:p>
    <w:p w14:paraId="0B3D91C4" w14:textId="27431239"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provide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with contact details of any third party which has not provided consent to disclose CRP Information where that third party is also a public sector body and where the Supplier is legally permitted to do so.</w:t>
      </w:r>
    </w:p>
    <w:p w14:paraId="540DBF27" w14:textId="77777777" w:rsidR="0097484D" w:rsidRDefault="0097484D" w:rsidP="0097484D">
      <w:pPr>
        <w:pBdr>
          <w:top w:val="nil"/>
          <w:left w:val="nil"/>
          <w:bottom w:val="nil"/>
          <w:right w:val="nil"/>
          <w:between w:val="nil"/>
        </w:pBdr>
        <w:spacing w:before="120" w:after="120"/>
        <w:ind w:left="720" w:hanging="720"/>
        <w:rPr>
          <w:rFonts w:ascii="Calibri" w:eastAsia="Calibri" w:hAnsi="Calibri" w:cs="Calibri"/>
          <w:color w:val="000000"/>
        </w:rPr>
      </w:pPr>
    </w:p>
    <w:p w14:paraId="5EA1B15E" w14:textId="5FAA4F6F" w:rsidR="00F71ABD" w:rsidRDefault="00F71ABD" w:rsidP="00B111AE">
      <w:pPr>
        <w:ind w:left="737" w:firstLine="1418"/>
        <w:jc w:val="left"/>
        <w:rPr>
          <w:b/>
          <w:smallCaps/>
          <w:color w:val="000000"/>
          <w:szCs w:val="24"/>
        </w:rPr>
      </w:pPr>
      <w:r>
        <w:rPr>
          <w:b/>
          <w:smallCaps/>
        </w:rPr>
        <w:t>ANNEX 1</w:t>
      </w:r>
      <w:r>
        <w:rPr>
          <w:b/>
          <w:smallCaps/>
          <w:color w:val="000000"/>
          <w:szCs w:val="24"/>
        </w:rPr>
        <w:t xml:space="preserve">: </w:t>
      </w:r>
      <w:sdt>
        <w:sdtPr>
          <w:tag w:val="goog_rdk_32"/>
          <w:id w:val="1450890922"/>
        </w:sdtPr>
        <w:sdtEndPr/>
        <w:sdtContent>
          <w:r>
            <w:rPr>
              <w:b/>
              <w:smallCaps/>
              <w:color w:val="000000"/>
              <w:szCs w:val="24"/>
            </w:rPr>
            <w:t>EXPOSURE: CRITICAL CONTRACTS LIST</w:t>
          </w:r>
        </w:sdtContent>
      </w:sdt>
    </w:p>
    <w:p w14:paraId="7C1E4081" w14:textId="77777777" w:rsidR="00F71ABD" w:rsidRPr="00B111AE" w:rsidRDefault="00F71ABD" w:rsidP="00F71ABD">
      <w:pPr>
        <w:numPr>
          <w:ilvl w:val="0"/>
          <w:numId w:val="16"/>
        </w:numPr>
        <w:pBdr>
          <w:top w:val="nil"/>
          <w:left w:val="nil"/>
          <w:bottom w:val="nil"/>
          <w:right w:val="nil"/>
          <w:between w:val="nil"/>
        </w:pBdr>
        <w:overflowPunct/>
        <w:autoSpaceDE/>
        <w:autoSpaceDN/>
        <w:adjustRightInd/>
        <w:spacing w:before="100" w:after="200"/>
        <w:jc w:val="left"/>
        <w:textAlignment w:val="auto"/>
        <w:rPr>
          <w:color w:val="000000"/>
          <w:sz w:val="24"/>
          <w:szCs w:val="24"/>
        </w:rPr>
      </w:pPr>
      <w:r w:rsidRPr="00B111AE">
        <w:rPr>
          <w:color w:val="000000"/>
          <w:sz w:val="24"/>
          <w:szCs w:val="24"/>
        </w:rPr>
        <w:t>The Supplier shall:</w:t>
      </w:r>
    </w:p>
    <w:p w14:paraId="2F9DA181" w14:textId="77777777" w:rsidR="00F71ABD" w:rsidRPr="00B111AE" w:rsidRDefault="00F71ABD" w:rsidP="00F71ABD">
      <w:pPr>
        <w:numPr>
          <w:ilvl w:val="1"/>
          <w:numId w:val="16"/>
        </w:numPr>
        <w:pBdr>
          <w:top w:val="nil"/>
          <w:left w:val="nil"/>
          <w:bottom w:val="nil"/>
          <w:right w:val="nil"/>
          <w:between w:val="nil"/>
        </w:pBdr>
        <w:overflowPunct/>
        <w:autoSpaceDE/>
        <w:autoSpaceDN/>
        <w:adjustRightInd/>
        <w:spacing w:before="100" w:after="200"/>
        <w:jc w:val="left"/>
        <w:textAlignment w:val="auto"/>
        <w:rPr>
          <w:color w:val="000000"/>
          <w:sz w:val="24"/>
          <w:szCs w:val="24"/>
        </w:rPr>
      </w:pPr>
      <w:r w:rsidRPr="00B111AE">
        <w:rPr>
          <w:color w:val="000000"/>
          <w:sz w:val="24"/>
          <w:szCs w:val="24"/>
        </w:rPr>
        <w:t>provide details of all agreements held by members of the Supplier Group where those agreements are for goods, services or works provision and:</w:t>
      </w:r>
    </w:p>
    <w:p w14:paraId="4D49A974" w14:textId="784ABE2F" w:rsidR="00F71ABD" w:rsidRPr="00B111AE" w:rsidRDefault="00F71ABD" w:rsidP="00F71ABD">
      <w:pPr>
        <w:numPr>
          <w:ilvl w:val="3"/>
          <w:numId w:val="16"/>
        </w:numPr>
        <w:pBdr>
          <w:top w:val="nil"/>
          <w:left w:val="nil"/>
          <w:bottom w:val="nil"/>
          <w:right w:val="nil"/>
          <w:between w:val="nil"/>
        </w:pBdr>
        <w:tabs>
          <w:tab w:val="left" w:pos="720"/>
          <w:tab w:val="left" w:pos="1803"/>
        </w:tabs>
        <w:overflowPunct/>
        <w:autoSpaceDE/>
        <w:autoSpaceDN/>
        <w:adjustRightInd/>
        <w:spacing w:before="100" w:after="200"/>
        <w:jc w:val="left"/>
        <w:textAlignment w:val="auto"/>
        <w:rPr>
          <w:color w:val="000000"/>
          <w:sz w:val="24"/>
          <w:szCs w:val="24"/>
        </w:rPr>
      </w:pPr>
      <w:bookmarkStart w:id="25" w:name="_heading=h.1baon6m" w:colFirst="0" w:colLast="0"/>
      <w:bookmarkEnd w:id="25"/>
      <w:r w:rsidRPr="00B111AE">
        <w:rPr>
          <w:color w:val="000000"/>
          <w:sz w:val="24"/>
          <w:szCs w:val="24"/>
        </w:rPr>
        <w:t>are with any UK public sector bodies including: central Government departments and their arms-length bodies and agencies, non-departmental pu</w:t>
      </w:r>
      <w:r w:rsidR="00EF499B" w:rsidRPr="00B111AE">
        <w:rPr>
          <w:color w:val="000000"/>
          <w:sz w:val="24"/>
          <w:szCs w:val="24"/>
        </w:rPr>
        <w:t>blic bodies, NHS bodies, local b</w:t>
      </w:r>
      <w:r w:rsidRPr="00B111AE">
        <w:rPr>
          <w:color w:val="000000"/>
          <w:sz w:val="24"/>
          <w:szCs w:val="24"/>
        </w:rPr>
        <w:t>uyers, health bodies, police fire and rescue, education bodies and the devolved administrations;</w:t>
      </w:r>
    </w:p>
    <w:p w14:paraId="1DF6ADF2" w14:textId="77777777" w:rsidR="00F71ABD" w:rsidRPr="00B111AE" w:rsidRDefault="00F71ABD" w:rsidP="00F71ABD">
      <w:pPr>
        <w:numPr>
          <w:ilvl w:val="3"/>
          <w:numId w:val="16"/>
        </w:numPr>
        <w:pBdr>
          <w:top w:val="nil"/>
          <w:left w:val="nil"/>
          <w:bottom w:val="nil"/>
          <w:right w:val="nil"/>
          <w:between w:val="nil"/>
        </w:pBdr>
        <w:tabs>
          <w:tab w:val="left" w:pos="720"/>
          <w:tab w:val="left" w:pos="1803"/>
        </w:tabs>
        <w:overflowPunct/>
        <w:autoSpaceDE/>
        <w:autoSpaceDN/>
        <w:adjustRightInd/>
        <w:spacing w:before="100" w:after="200"/>
        <w:jc w:val="left"/>
        <w:textAlignment w:val="auto"/>
        <w:rPr>
          <w:color w:val="000000"/>
          <w:sz w:val="24"/>
          <w:szCs w:val="24"/>
        </w:rPr>
      </w:pPr>
      <w:bookmarkStart w:id="26" w:name="_heading=h.3vac5uf" w:colFirst="0" w:colLast="0"/>
      <w:bookmarkEnd w:id="26"/>
      <w:r w:rsidRPr="00B111AE">
        <w:rPr>
          <w:color w:val="000000"/>
          <w:sz w:val="24"/>
          <w:szCs w:val="24"/>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1B7BD87C" w14:textId="51A0F7C6" w:rsidR="00F71ABD" w:rsidRPr="00B111AE" w:rsidRDefault="00F71ABD" w:rsidP="00F71ABD">
      <w:pPr>
        <w:numPr>
          <w:ilvl w:val="3"/>
          <w:numId w:val="16"/>
        </w:numPr>
        <w:pBdr>
          <w:top w:val="nil"/>
          <w:left w:val="nil"/>
          <w:bottom w:val="nil"/>
          <w:right w:val="nil"/>
          <w:between w:val="nil"/>
        </w:pBdr>
        <w:tabs>
          <w:tab w:val="left" w:pos="720"/>
          <w:tab w:val="left" w:pos="1803"/>
        </w:tabs>
        <w:overflowPunct/>
        <w:autoSpaceDE/>
        <w:autoSpaceDN/>
        <w:adjustRightInd/>
        <w:spacing w:before="100" w:after="200"/>
        <w:jc w:val="left"/>
        <w:textAlignment w:val="auto"/>
        <w:rPr>
          <w:color w:val="000000"/>
          <w:sz w:val="24"/>
          <w:szCs w:val="24"/>
        </w:rPr>
      </w:pPr>
      <w:r w:rsidRPr="00B111AE">
        <w:rPr>
          <w:color w:val="000000"/>
          <w:sz w:val="24"/>
          <w:szCs w:val="24"/>
        </w:rPr>
        <w:t xml:space="preserve">involve or could reasonably be considered to involve </w:t>
      </w:r>
      <w:r w:rsidR="00EF499B" w:rsidRPr="00B111AE">
        <w:rPr>
          <w:color w:val="000000"/>
          <w:sz w:val="24"/>
          <w:szCs w:val="24"/>
        </w:rPr>
        <w:t>CNI</w:t>
      </w:r>
      <w:r w:rsidRPr="00B111AE">
        <w:rPr>
          <w:color w:val="000000"/>
          <w:sz w:val="24"/>
          <w:szCs w:val="24"/>
        </w:rPr>
        <w:t>;</w:t>
      </w:r>
    </w:p>
    <w:p w14:paraId="792CD008" w14:textId="3EE36BAA" w:rsidR="00F71ABD" w:rsidRPr="00B111AE" w:rsidRDefault="008414B3" w:rsidP="00F71ABD">
      <w:pPr>
        <w:numPr>
          <w:ilvl w:val="1"/>
          <w:numId w:val="16"/>
        </w:numPr>
        <w:pBdr>
          <w:top w:val="nil"/>
          <w:left w:val="nil"/>
          <w:bottom w:val="nil"/>
          <w:right w:val="nil"/>
          <w:between w:val="nil"/>
        </w:pBdr>
        <w:overflowPunct/>
        <w:autoSpaceDE/>
        <w:autoSpaceDN/>
        <w:adjustRightInd/>
        <w:spacing w:before="100" w:after="200"/>
        <w:jc w:val="left"/>
        <w:textAlignment w:val="auto"/>
        <w:rPr>
          <w:sz w:val="24"/>
        </w:rPr>
      </w:pPr>
      <w:sdt>
        <w:sdtPr>
          <w:rPr>
            <w:sz w:val="24"/>
          </w:rPr>
          <w:tag w:val="goog_rdk_33"/>
          <w:id w:val="-1443289492"/>
        </w:sdtPr>
        <w:sdtEndPr/>
        <w:sdtContent/>
      </w:sdt>
      <w:proofErr w:type="gramStart"/>
      <w:r w:rsidR="00F71ABD" w:rsidRPr="00B111AE">
        <w:rPr>
          <w:sz w:val="24"/>
        </w:rPr>
        <w:t>provide</w:t>
      </w:r>
      <w:proofErr w:type="gramEnd"/>
      <w:r w:rsidR="00F71ABD" w:rsidRPr="00B111AE">
        <w:rPr>
          <w:sz w:val="24"/>
        </w:rPr>
        <w:t xml:space="preserve"> the </w:t>
      </w:r>
      <w:r w:rsidR="00EF499B" w:rsidRPr="00B111AE">
        <w:rPr>
          <w:sz w:val="24"/>
        </w:rPr>
        <w:t>Appropriate Authority</w:t>
      </w:r>
      <w:r w:rsidR="00F71ABD" w:rsidRPr="00B111AE">
        <w:rPr>
          <w:sz w:val="24"/>
        </w:rPr>
        <w:t xml:space="preserve"> with a copy of the latest version of each underlying contract worth more than £5m per contract year and their related key sub-contracts, which shall be included as embedded documents within the CRP Information or via a directly accessible link</w:t>
      </w:r>
      <w:r w:rsidR="00B111AE">
        <w:rPr>
          <w:sz w:val="24"/>
        </w:rPr>
        <w:t>.</w:t>
      </w:r>
      <w:r w:rsidR="00F71ABD" w:rsidRPr="00B111AE" w:rsidDel="00CC3A51">
        <w:rPr>
          <w:sz w:val="24"/>
        </w:rPr>
        <w:t xml:space="preserve"> </w:t>
      </w:r>
    </w:p>
    <w:p w14:paraId="4735AB95" w14:textId="77777777" w:rsidR="00F71ABD" w:rsidRDefault="00F71ABD" w:rsidP="00F71ABD">
      <w:r>
        <w:br w:type="page"/>
      </w:r>
    </w:p>
    <w:p w14:paraId="71044386" w14:textId="77777777" w:rsidR="00F71ABD" w:rsidRPr="002D6BC5" w:rsidRDefault="008414B3" w:rsidP="00B111AE">
      <w:pPr>
        <w:ind w:left="794"/>
        <w:jc w:val="center"/>
        <w:rPr>
          <w:b/>
        </w:rPr>
      </w:pPr>
      <w:sdt>
        <w:sdtPr>
          <w:rPr>
            <w:b/>
          </w:rPr>
          <w:tag w:val="goog_rdk_36"/>
          <w:id w:val="1278683440"/>
        </w:sdtPr>
        <w:sdtEndPr/>
        <w:sdtContent>
          <w:r w:rsidR="00F71ABD" w:rsidRPr="002D6BC5">
            <w:rPr>
              <w:b/>
            </w:rPr>
            <w:t>ANNEX 2</w:t>
          </w:r>
        </w:sdtContent>
      </w:sdt>
      <w:sdt>
        <w:sdtPr>
          <w:rPr>
            <w:b/>
          </w:rPr>
          <w:tag w:val="goog_rdk_37"/>
          <w:id w:val="1924374988"/>
        </w:sdtPr>
        <w:sdtEndPr/>
        <w:sdtContent>
          <w:r w:rsidR="00F71ABD" w:rsidRPr="002D6BC5">
            <w:rPr>
              <w:b/>
            </w:rPr>
            <w:t xml:space="preserve">: </w:t>
          </w:r>
        </w:sdtContent>
      </w:sdt>
      <w:r w:rsidR="00F71ABD">
        <w:rPr>
          <w:b/>
        </w:rPr>
        <w:t>CORPORATE RESOLVABILITY ASSESSMENT (STRUCTURAL REVIEW)</w:t>
      </w:r>
    </w:p>
    <w:sdt>
      <w:sdtPr>
        <w:tag w:val="goog_rdk_42"/>
        <w:id w:val="1252624708"/>
      </w:sdtPr>
      <w:sdtEndPr>
        <w:rPr>
          <w:sz w:val="24"/>
        </w:rPr>
      </w:sdtEndPr>
      <w:sdtContent>
        <w:sdt>
          <w:sdtPr>
            <w:rPr>
              <w:sz w:val="24"/>
            </w:rPr>
            <w:tag w:val="goog_rdk_41"/>
            <w:id w:val="261345863"/>
            <w:showingPlcHdr/>
          </w:sdtPr>
          <w:sdtEndPr/>
          <w:sdtContent>
            <w:p w14:paraId="4B9F680F" w14:textId="77777777" w:rsidR="00F71ABD" w:rsidRPr="00B111AE" w:rsidRDefault="00F71ABD" w:rsidP="00F71ABD">
              <w:pPr>
                <w:rPr>
                  <w:sz w:val="24"/>
                </w:rPr>
              </w:pPr>
              <w:r w:rsidRPr="00B111AE">
                <w:rPr>
                  <w:sz w:val="24"/>
                </w:rPr>
                <w:t xml:space="preserve">     </w:t>
              </w:r>
            </w:p>
          </w:sdtContent>
        </w:sdt>
      </w:sdtContent>
    </w:sdt>
    <w:bookmarkStart w:id="27" w:name="_Ref87021166"/>
    <w:p w14:paraId="3D67F55F" w14:textId="77777777" w:rsidR="00F71ABD" w:rsidRPr="00B111AE" w:rsidRDefault="008414B3" w:rsidP="00F71ABD">
      <w:pPr>
        <w:pStyle w:val="AppendixText1"/>
        <w:numPr>
          <w:ilvl w:val="0"/>
          <w:numId w:val="20"/>
        </w:numPr>
        <w:overflowPunct/>
        <w:autoSpaceDE/>
        <w:autoSpaceDN/>
        <w:adjustRightInd/>
        <w:spacing w:before="100" w:after="200"/>
        <w:jc w:val="left"/>
        <w:textAlignment w:val="auto"/>
        <w:rPr>
          <w:b/>
          <w:sz w:val="24"/>
        </w:rPr>
      </w:pPr>
      <w:sdt>
        <w:sdtPr>
          <w:rPr>
            <w:sz w:val="24"/>
          </w:rPr>
          <w:tag w:val="goog_rdk_44"/>
          <w:id w:val="-2107719890"/>
        </w:sdtPr>
        <w:sdtEndPr>
          <w:rPr>
            <w:rFonts w:eastAsia="Arial"/>
            <w:b/>
            <w:szCs w:val="20"/>
          </w:rPr>
        </w:sdtEndPr>
        <w:sdtContent>
          <w:r w:rsidR="00F71ABD" w:rsidRPr="00B111AE">
            <w:rPr>
              <w:sz w:val="24"/>
            </w:rPr>
            <w:t>The Supplier shall:</w:t>
          </w:r>
        </w:sdtContent>
      </w:sdt>
      <w:bookmarkEnd w:id="27"/>
    </w:p>
    <w:p w14:paraId="583D02E5" w14:textId="53B2900F" w:rsidR="00F71ABD" w:rsidRPr="00B111AE" w:rsidRDefault="00F71ABD" w:rsidP="00F71ABD">
      <w:pPr>
        <w:pStyle w:val="AppendixText2"/>
        <w:numPr>
          <w:ilvl w:val="1"/>
          <w:numId w:val="19"/>
        </w:numPr>
        <w:overflowPunct/>
        <w:autoSpaceDE/>
        <w:autoSpaceDN/>
        <w:adjustRightInd/>
        <w:spacing w:before="100" w:after="200"/>
        <w:jc w:val="left"/>
        <w:textAlignment w:val="auto"/>
        <w:rPr>
          <w:sz w:val="24"/>
        </w:rPr>
      </w:pPr>
      <w:r w:rsidRPr="00B111AE">
        <w:rPr>
          <w:sz w:val="24"/>
        </w:rPr>
        <w:t xml:space="preserve">provide sufficient information to allow the </w:t>
      </w:r>
      <w:r w:rsidR="00EF499B" w:rsidRPr="00B111AE">
        <w:rPr>
          <w:sz w:val="24"/>
        </w:rPr>
        <w:t>Appropriate Authority</w:t>
      </w:r>
      <w:r w:rsidRPr="00B111AE">
        <w:rPr>
          <w:sz w:val="24"/>
        </w:rPr>
        <w:t xml:space="preserve"> to understand the implications on the Supplier Group’s UK Public Sector Business and </w:t>
      </w:r>
      <w:r w:rsidR="00EF499B" w:rsidRPr="00B111AE">
        <w:rPr>
          <w:sz w:val="24"/>
        </w:rPr>
        <w:t>CNI</w:t>
      </w:r>
      <w:r w:rsidRPr="00B111AE">
        <w:rPr>
          <w:sz w:val="24"/>
        </w:rPr>
        <w:t xml:space="preserve"> </w:t>
      </w:r>
      <w:r w:rsidRPr="00B111AE">
        <w:rPr>
          <w:color w:val="000000"/>
          <w:sz w:val="24"/>
        </w:rPr>
        <w:t>agreements</w:t>
      </w:r>
      <w:r w:rsidRPr="00B111AE">
        <w:rPr>
          <w:sz w:val="24"/>
        </w:rPr>
        <w:t xml:space="preserve"> listed pursuant to Annex 1 if the Supplier or another member of the Supplier Group is</w:t>
      </w:r>
      <w:r w:rsidR="004C381B" w:rsidRPr="00B111AE">
        <w:rPr>
          <w:sz w:val="24"/>
        </w:rPr>
        <w:t xml:space="preserve"> subject to an Insolvency Event;</w:t>
      </w:r>
    </w:p>
    <w:p w14:paraId="37A4ECAD" w14:textId="77777777" w:rsidR="00F71ABD" w:rsidRPr="00B111AE" w:rsidRDefault="00F71ABD" w:rsidP="00F71ABD">
      <w:pPr>
        <w:pStyle w:val="AppendixText2"/>
        <w:numPr>
          <w:ilvl w:val="1"/>
          <w:numId w:val="19"/>
        </w:numPr>
        <w:overflowPunct/>
        <w:autoSpaceDE/>
        <w:autoSpaceDN/>
        <w:adjustRightInd/>
        <w:spacing w:before="100" w:after="200"/>
        <w:jc w:val="left"/>
        <w:textAlignment w:val="auto"/>
        <w:rPr>
          <w:sz w:val="24"/>
        </w:rPr>
      </w:pPr>
      <w:r w:rsidRPr="00B111AE">
        <w:rPr>
          <w:sz w:val="24"/>
        </w:rPr>
        <w:t>ensure that the information is presented so as to provide a simple, effective and easily understood overview of the Supplier Group; and</w:t>
      </w:r>
    </w:p>
    <w:p w14:paraId="4D186863" w14:textId="00015779" w:rsidR="00F71ABD" w:rsidRPr="00B111AE" w:rsidRDefault="00F71ABD" w:rsidP="00F71ABD">
      <w:pPr>
        <w:pStyle w:val="AppendixText2"/>
        <w:numPr>
          <w:ilvl w:val="1"/>
          <w:numId w:val="19"/>
        </w:numPr>
        <w:overflowPunct/>
        <w:autoSpaceDE/>
        <w:autoSpaceDN/>
        <w:adjustRightInd/>
        <w:spacing w:before="100" w:after="200"/>
        <w:jc w:val="left"/>
        <w:textAlignment w:val="auto"/>
        <w:rPr>
          <w:sz w:val="24"/>
        </w:rPr>
      </w:pPr>
      <w:proofErr w:type="gramStart"/>
      <w:r w:rsidRPr="00B111AE">
        <w:rPr>
          <w:sz w:val="24"/>
        </w:rPr>
        <w:t>provide</w:t>
      </w:r>
      <w:proofErr w:type="gramEnd"/>
      <w:r w:rsidRPr="00B111AE">
        <w:rPr>
          <w:sz w:val="24"/>
        </w:rPr>
        <w:t xml:space="preserve"> full details of the importance of each member of the Supplier Group to the Supplier Group’s UK Public Sector Business and </w:t>
      </w:r>
      <w:r w:rsidR="00EF499B" w:rsidRPr="00B111AE">
        <w:rPr>
          <w:sz w:val="24"/>
        </w:rPr>
        <w:t>CNI</w:t>
      </w:r>
      <w:r w:rsidRPr="00B111AE">
        <w:rPr>
          <w:sz w:val="24"/>
        </w:rPr>
        <w:t xml:space="preserve"> </w:t>
      </w:r>
      <w:r w:rsidRPr="00B111AE">
        <w:rPr>
          <w:color w:val="000000"/>
          <w:sz w:val="24"/>
        </w:rPr>
        <w:t>agreements</w:t>
      </w:r>
      <w:r w:rsidRPr="00B111AE">
        <w:rPr>
          <w:sz w:val="24"/>
        </w:rPr>
        <w:t xml:space="preserve"> listed pursuant to Annex 1 and the dependencies between each.</w:t>
      </w:r>
    </w:p>
    <w:p w14:paraId="3C697901" w14:textId="77777777" w:rsidR="00F71ABD" w:rsidRDefault="00F71ABD" w:rsidP="00F71ABD">
      <w:pPr>
        <w:pStyle w:val="StdBodyText2"/>
      </w:pPr>
      <w:r>
        <w:br w:type="page"/>
      </w:r>
    </w:p>
    <w:p w14:paraId="3553E971" w14:textId="77777777" w:rsidR="00F71ABD" w:rsidRDefault="008414B3" w:rsidP="00F71ABD">
      <w:pPr>
        <w:pStyle w:val="AnnexHeading"/>
        <w:tabs>
          <w:tab w:val="clear" w:pos="720"/>
        </w:tabs>
        <w:ind w:left="0" w:firstLine="0"/>
      </w:pPr>
      <w:sdt>
        <w:sdtPr>
          <w:tag w:val="goog_rdk_54"/>
          <w:id w:val="-655609668"/>
        </w:sdtPr>
        <w:sdtEndPr/>
        <w:sdtContent>
          <w:sdt>
            <w:sdtPr>
              <w:tag w:val="goog_rdk_52"/>
              <w:id w:val="1016188660"/>
            </w:sdtPr>
            <w:sdtEndPr/>
            <w:sdtContent>
              <w:r w:rsidR="00F71ABD" w:rsidRPr="002E64DB">
                <w:t>ANNEX</w:t>
              </w:r>
              <w:r w:rsidR="00F71ABD">
                <w:t xml:space="preserve"> 3: </w:t>
              </w:r>
            </w:sdtContent>
          </w:sdt>
        </w:sdtContent>
      </w:sdt>
      <w:r w:rsidR="00F71ABD">
        <w:t>Financial information AND COMMENTARY</w:t>
      </w:r>
    </w:p>
    <w:p w14:paraId="6F2F51DD" w14:textId="77777777" w:rsidR="00F71ABD" w:rsidRPr="00B111AE" w:rsidRDefault="00F71ABD" w:rsidP="00F71ABD">
      <w:pPr>
        <w:pStyle w:val="AppendixText1"/>
        <w:numPr>
          <w:ilvl w:val="0"/>
          <w:numId w:val="18"/>
        </w:numPr>
        <w:overflowPunct/>
        <w:autoSpaceDE/>
        <w:autoSpaceDN/>
        <w:adjustRightInd/>
        <w:spacing w:before="100" w:after="200"/>
        <w:jc w:val="left"/>
        <w:textAlignment w:val="auto"/>
        <w:rPr>
          <w:sz w:val="24"/>
        </w:rPr>
      </w:pPr>
      <w:r w:rsidRPr="00B111AE">
        <w:rPr>
          <w:sz w:val="24"/>
        </w:rPr>
        <w:t>The Supplier shall:</w:t>
      </w:r>
    </w:p>
    <w:p w14:paraId="056485DF" w14:textId="1EE79033" w:rsidR="00F71ABD" w:rsidRPr="00B111AE" w:rsidRDefault="00F71ABD" w:rsidP="00F71ABD">
      <w:pPr>
        <w:pStyle w:val="AppendixText2"/>
        <w:numPr>
          <w:ilvl w:val="1"/>
          <w:numId w:val="18"/>
        </w:numPr>
        <w:overflowPunct/>
        <w:autoSpaceDE/>
        <w:autoSpaceDN/>
        <w:adjustRightInd/>
        <w:spacing w:before="100" w:after="200"/>
        <w:jc w:val="left"/>
        <w:textAlignment w:val="auto"/>
        <w:rPr>
          <w:sz w:val="24"/>
        </w:rPr>
      </w:pPr>
      <w:r w:rsidRPr="00B111AE">
        <w:rPr>
          <w:sz w:val="24"/>
        </w:rPr>
        <w:t xml:space="preserve">provide sufficient financial information for the Supplier Group level, contracting operating entities level, and shared services entities’ level to allow the </w:t>
      </w:r>
      <w:r w:rsidR="00EF499B" w:rsidRPr="00B111AE">
        <w:rPr>
          <w:sz w:val="24"/>
        </w:rPr>
        <w:t>Appropriate Authority</w:t>
      </w:r>
      <w:r w:rsidRPr="00B111AE">
        <w:rPr>
          <w:sz w:val="24"/>
        </w:rPr>
        <w:t xml:space="preserve"> to understand the current financial interconnectedness of the Supplier Group and the current performance of the Supplier as a standalone entity; and</w:t>
      </w:r>
    </w:p>
    <w:p w14:paraId="7C7075C7" w14:textId="77777777" w:rsidR="00F71ABD" w:rsidRPr="00B111AE" w:rsidRDefault="00F71ABD" w:rsidP="00F71ABD">
      <w:pPr>
        <w:pStyle w:val="AppendixText2"/>
        <w:numPr>
          <w:ilvl w:val="1"/>
          <w:numId w:val="18"/>
        </w:numPr>
        <w:overflowPunct/>
        <w:autoSpaceDE/>
        <w:autoSpaceDN/>
        <w:adjustRightInd/>
        <w:spacing w:before="100" w:after="200"/>
        <w:jc w:val="left"/>
        <w:textAlignment w:val="auto"/>
        <w:rPr>
          <w:sz w:val="24"/>
        </w:rPr>
      </w:pPr>
      <w:proofErr w:type="gramStart"/>
      <w:r w:rsidRPr="00B111AE">
        <w:rPr>
          <w:sz w:val="24"/>
        </w:rPr>
        <w:t>ensure</w:t>
      </w:r>
      <w:proofErr w:type="gramEnd"/>
      <w:r w:rsidRPr="00B111AE">
        <w:rPr>
          <w:sz w:val="24"/>
        </w:rPr>
        <w:t xml:space="preserve"> that the information is presented in a simple, effective and easily understood manner.</w:t>
      </w:r>
    </w:p>
    <w:p w14:paraId="01635539" w14:textId="79D110A2" w:rsidR="00F71ABD" w:rsidRPr="00B111AE" w:rsidRDefault="00F71ABD" w:rsidP="00F71ABD">
      <w:pPr>
        <w:pStyle w:val="ListParagraph"/>
        <w:numPr>
          <w:ilvl w:val="1"/>
          <w:numId w:val="18"/>
        </w:numPr>
        <w:overflowPunct/>
        <w:autoSpaceDE/>
        <w:autoSpaceDN/>
        <w:adjustRightInd/>
        <w:spacing w:after="0"/>
        <w:jc w:val="left"/>
        <w:textAlignment w:val="auto"/>
        <w:rPr>
          <w:sz w:val="24"/>
        </w:rPr>
      </w:pPr>
      <w:r w:rsidRPr="00B111AE">
        <w:rPr>
          <w:sz w:val="24"/>
        </w:rP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w:t>
      </w:r>
      <w:r w:rsidRPr="00B111AE">
        <w:rPr>
          <w:rFonts w:cs="Times New Roman"/>
          <w:sz w:val="24"/>
          <w:szCs w:val="24"/>
        </w:rPr>
        <w:t xml:space="preserve">If such accounts are not available in that timeframe, to the extent permitted by Law financial information should be based on unpublished unaudited accounts or management accounts (disclosure of which to the </w:t>
      </w:r>
      <w:r w:rsidR="005C1D1D" w:rsidRPr="00B111AE">
        <w:rPr>
          <w:rFonts w:cs="Times New Roman"/>
          <w:sz w:val="24"/>
          <w:szCs w:val="24"/>
        </w:rPr>
        <w:t>Appropriate Authority</w:t>
      </w:r>
      <w:r w:rsidRPr="00B111AE">
        <w:rPr>
          <w:rFonts w:cs="Times New Roman"/>
          <w:sz w:val="24"/>
          <w:szCs w:val="24"/>
        </w:rPr>
        <w:t xml:space="preserve"> remains protected by confidentiality).</w:t>
      </w:r>
    </w:p>
    <w:p w14:paraId="5AC91DFC" w14:textId="77777777" w:rsidR="00F71ABD" w:rsidRPr="00B111AE" w:rsidRDefault="008414B3" w:rsidP="00F71ABD">
      <w:pPr>
        <w:rPr>
          <w:color w:val="000000"/>
          <w:sz w:val="24"/>
        </w:rPr>
      </w:pPr>
      <w:sdt>
        <w:sdtPr>
          <w:rPr>
            <w:sz w:val="24"/>
          </w:rPr>
          <w:tag w:val="goog_rdk_60"/>
          <w:id w:val="1718927127"/>
          <w:showingPlcHdr/>
        </w:sdtPr>
        <w:sdtEndPr/>
        <w:sdtContent>
          <w:r w:rsidR="00F71ABD" w:rsidRPr="00B111AE">
            <w:rPr>
              <w:sz w:val="24"/>
            </w:rPr>
            <w:t xml:space="preserve">     </w:t>
          </w:r>
        </w:sdtContent>
      </w:sdt>
    </w:p>
    <w:p w14:paraId="000000A5" w14:textId="62D39EB7" w:rsidR="00FB58BE" w:rsidRDefault="00FB58BE" w:rsidP="00F71ABD">
      <w:pPr>
        <w:ind w:left="0"/>
        <w:rPr>
          <w:color w:val="000000"/>
          <w:sz w:val="24"/>
          <w:szCs w:val="24"/>
        </w:rPr>
      </w:pPr>
    </w:p>
    <w:p w14:paraId="47B850C8" w14:textId="77777777" w:rsidR="00FB58BE" w:rsidRPr="00FB58BE" w:rsidRDefault="00FB58BE" w:rsidP="00FB58BE">
      <w:pPr>
        <w:rPr>
          <w:sz w:val="24"/>
          <w:szCs w:val="24"/>
        </w:rPr>
      </w:pPr>
    </w:p>
    <w:p w14:paraId="69530047" w14:textId="77777777" w:rsidR="00FB58BE" w:rsidRPr="00FB58BE" w:rsidRDefault="00FB58BE" w:rsidP="00FB58BE">
      <w:pPr>
        <w:rPr>
          <w:sz w:val="24"/>
          <w:szCs w:val="24"/>
        </w:rPr>
      </w:pPr>
    </w:p>
    <w:p w14:paraId="6CD02EB2" w14:textId="77777777" w:rsidR="00FB58BE" w:rsidRPr="00FB58BE" w:rsidRDefault="00FB58BE" w:rsidP="00FB58BE">
      <w:pPr>
        <w:rPr>
          <w:sz w:val="24"/>
          <w:szCs w:val="24"/>
        </w:rPr>
      </w:pPr>
    </w:p>
    <w:p w14:paraId="4E395F9A" w14:textId="77777777" w:rsidR="00FB58BE" w:rsidRPr="00FB58BE" w:rsidRDefault="00FB58BE" w:rsidP="00FB58BE">
      <w:pPr>
        <w:rPr>
          <w:sz w:val="24"/>
          <w:szCs w:val="24"/>
        </w:rPr>
      </w:pPr>
    </w:p>
    <w:p w14:paraId="6B7CAE1E" w14:textId="4213C3BE" w:rsidR="00FB58BE" w:rsidRDefault="00FB58BE" w:rsidP="00FB58BE">
      <w:pPr>
        <w:rPr>
          <w:sz w:val="24"/>
          <w:szCs w:val="24"/>
        </w:rPr>
      </w:pPr>
    </w:p>
    <w:p w14:paraId="0B4923CC" w14:textId="77777777" w:rsidR="00F810E0" w:rsidRPr="00FB58BE" w:rsidRDefault="00F810E0" w:rsidP="00FB58BE">
      <w:pPr>
        <w:rPr>
          <w:sz w:val="24"/>
          <w:szCs w:val="24"/>
        </w:rPr>
      </w:pPr>
    </w:p>
    <w:sectPr w:rsidR="00F810E0" w:rsidRPr="00FB58BE">
      <w:headerReference w:type="default" r:id="rId11"/>
      <w:footerReference w:type="defaul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09023" w14:textId="77777777" w:rsidR="00992060" w:rsidRDefault="00992060">
      <w:pPr>
        <w:spacing w:after="0"/>
      </w:pPr>
      <w:r>
        <w:separator/>
      </w:r>
    </w:p>
  </w:endnote>
  <w:endnote w:type="continuationSeparator" w:id="0">
    <w:p w14:paraId="429CB076" w14:textId="77777777" w:rsidR="00992060" w:rsidRDefault="00992060">
      <w:pPr>
        <w:spacing w:after="0"/>
      </w:pPr>
      <w:r>
        <w:continuationSeparator/>
      </w:r>
    </w:p>
  </w:endnote>
  <w:endnote w:type="continuationNotice" w:id="1">
    <w:p w14:paraId="4987DC5D" w14:textId="77777777" w:rsidR="00992060" w:rsidRDefault="009920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5" w14:textId="77777777" w:rsidR="00DF54DE" w:rsidRDefault="00DF54DE">
    <w:pPr>
      <w:tabs>
        <w:tab w:val="center" w:pos="4513"/>
        <w:tab w:val="right" w:pos="9026"/>
      </w:tabs>
      <w:spacing w:after="0"/>
      <w:ind w:left="0"/>
      <w:rPr>
        <w:rFonts w:ascii="Calibri" w:eastAsia="Calibri" w:hAnsi="Calibri" w:cs="Calibri"/>
        <w:color w:val="A6A6A6"/>
      </w:rPr>
    </w:pPr>
  </w:p>
  <w:p w14:paraId="00000106" w14:textId="554CDCDB" w:rsidR="00DF54DE" w:rsidRDefault="00E95E09">
    <w:pPr>
      <w:pBdr>
        <w:top w:val="nil"/>
        <w:left w:val="nil"/>
        <w:bottom w:val="nil"/>
        <w:right w:val="nil"/>
        <w:between w:val="nil"/>
      </w:pBdr>
      <w:tabs>
        <w:tab w:val="center" w:pos="4513"/>
        <w:tab w:val="right" w:pos="9026"/>
      </w:tabs>
      <w:spacing w:after="0"/>
      <w:ind w:left="0"/>
      <w:rPr>
        <w:color w:val="000000"/>
        <w:sz w:val="20"/>
        <w:szCs w:val="20"/>
      </w:rPr>
    </w:pPr>
    <w:r w:rsidRPr="00E95E09">
      <w:rPr>
        <w:rFonts w:eastAsia="Arial"/>
        <w:color w:val="000000"/>
        <w:sz w:val="20"/>
        <w:szCs w:val="20"/>
      </w:rPr>
      <w:t>RM6349: Income Generation from Estates &amp; Assets</w:t>
    </w:r>
  </w:p>
  <w:p w14:paraId="00000107" w14:textId="463E8F15"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v1.0</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8414B3">
      <w:rPr>
        <w:noProof/>
        <w:color w:val="000000"/>
        <w:sz w:val="20"/>
        <w:szCs w:val="20"/>
      </w:rPr>
      <w:t>12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9" w14:textId="77777777"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0000010A" w14:textId="0B3B2D75"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separate"/>
    </w:r>
    <w:r w:rsidR="00301F80">
      <w:rPr>
        <w:noProof/>
        <w:color w:val="000000"/>
        <w:sz w:val="20"/>
        <w:szCs w:val="20"/>
      </w:rPr>
      <w:t>2</w:t>
    </w:r>
    <w:r>
      <w:rPr>
        <w:color w:val="000000"/>
        <w:sz w:val="20"/>
        <w:szCs w:val="20"/>
      </w:rPr>
      <w:fldChar w:fldCharType="end"/>
    </w:r>
    <w:r>
      <w:rPr>
        <w:color w:val="000000"/>
        <w:sz w:val="20"/>
        <w:szCs w:val="20"/>
      </w:rPr>
      <w:t>-</w:t>
    </w:r>
  </w:p>
  <w:p w14:paraId="0000010B" w14:textId="77777777"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69626" w14:textId="77777777" w:rsidR="00992060" w:rsidRDefault="00992060">
      <w:pPr>
        <w:spacing w:after="0"/>
      </w:pPr>
      <w:r>
        <w:separator/>
      </w:r>
    </w:p>
  </w:footnote>
  <w:footnote w:type="continuationSeparator" w:id="0">
    <w:p w14:paraId="76A7DAF5" w14:textId="77777777" w:rsidR="00992060" w:rsidRDefault="00992060">
      <w:pPr>
        <w:spacing w:after="0"/>
      </w:pPr>
      <w:r>
        <w:continuationSeparator/>
      </w:r>
    </w:p>
  </w:footnote>
  <w:footnote w:type="continuationNotice" w:id="1">
    <w:p w14:paraId="16A343AE" w14:textId="77777777" w:rsidR="00992060" w:rsidRDefault="009920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1" w14:textId="40B37EF8" w:rsidR="00DF54DE" w:rsidRDefault="00DF54DE">
    <w:pPr>
      <w:tabs>
        <w:tab w:val="center" w:pos="4513"/>
        <w:tab w:val="right" w:pos="9026"/>
      </w:tabs>
      <w:spacing w:after="0"/>
      <w:ind w:left="0"/>
      <w:jc w:val="left"/>
      <w:rPr>
        <w:sz w:val="20"/>
        <w:szCs w:val="20"/>
      </w:rPr>
    </w:pPr>
    <w:r>
      <w:rPr>
        <w:b/>
        <w:sz w:val="20"/>
        <w:szCs w:val="20"/>
      </w:rPr>
      <w:t>Call-Off Schedule 24 (Corporate Resolution Planning)</w:t>
    </w:r>
  </w:p>
  <w:p w14:paraId="00000103" w14:textId="3EE4BB49" w:rsidR="00DF54DE" w:rsidRDefault="00E95E09">
    <w:pPr>
      <w:tabs>
        <w:tab w:val="center" w:pos="4513"/>
        <w:tab w:val="right" w:pos="9026"/>
      </w:tabs>
      <w:spacing w:after="0"/>
      <w:ind w:left="0"/>
      <w:jc w:val="left"/>
      <w:rPr>
        <w:sz w:val="20"/>
        <w:szCs w:val="20"/>
      </w:rPr>
    </w:pPr>
    <w:r>
      <w:rPr>
        <w:sz w:val="20"/>
        <w:szCs w:val="20"/>
      </w:rPr>
      <w:t>Crown Copyright 2024</w:t>
    </w:r>
  </w:p>
  <w:p w14:paraId="00000104" w14:textId="77777777" w:rsidR="00DF54DE" w:rsidRDefault="00DF54DE">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2201"/>
    <w:multiLevelType w:val="multilevel"/>
    <w:tmpl w:val="964E932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75C504D"/>
    <w:multiLevelType w:val="multilevel"/>
    <w:tmpl w:val="A72607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91A3F44"/>
    <w:multiLevelType w:val="multilevel"/>
    <w:tmpl w:val="B464D6E6"/>
    <w:lvl w:ilvl="0">
      <w:start w:val="1"/>
      <w:numFmt w:val="decimal"/>
      <w:lvlText w:val="%1"/>
      <w:lvlJc w:val="left"/>
      <w:pPr>
        <w:ind w:left="1146"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1F566CF2"/>
    <w:multiLevelType w:val="multilevel"/>
    <w:tmpl w:val="473E61C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40315382"/>
    <w:multiLevelType w:val="multilevel"/>
    <w:tmpl w:val="B31A7076"/>
    <w:lvl w:ilvl="0">
      <w:start w:val="2"/>
      <w:numFmt w:val="decimal"/>
      <w:lvlText w:val="%1."/>
      <w:lvlJc w:val="left"/>
      <w:pPr>
        <w:ind w:left="720" w:hanging="720"/>
      </w:pPr>
      <w:rPr>
        <w:rFonts w:hint="default"/>
        <w:smallCaps w:val="0"/>
        <w:strike w:val="0"/>
        <w:color w:val="000000"/>
        <w:u w:val="none"/>
        <w:vertAlign w:val="baseline"/>
      </w:rPr>
    </w:lvl>
    <w:lvl w:ilvl="1">
      <w:start w:val="1"/>
      <w:numFmt w:val="decimal"/>
      <w:lvlText w:val="%1.%2"/>
      <w:lvlJc w:val="left"/>
      <w:pPr>
        <w:ind w:left="720" w:hanging="720"/>
      </w:pPr>
      <w:rPr>
        <w:rFonts w:ascii="Arial" w:eastAsia="Arial" w:hAnsi="Arial" w:cs="Arial" w:hint="default"/>
        <w:i w:val="0"/>
        <w:smallCaps w:val="0"/>
        <w:strike w:val="0"/>
        <w:color w:val="000000"/>
        <w:u w:val="none"/>
        <w:vertAlign w:val="baseline"/>
      </w:rPr>
    </w:lvl>
    <w:lvl w:ilvl="2">
      <w:start w:val="1"/>
      <w:numFmt w:val="decimal"/>
      <w:lvlText w:val="%1.%2.%3"/>
      <w:lvlJc w:val="left"/>
      <w:pPr>
        <w:ind w:left="1440" w:hanging="720"/>
      </w:pPr>
      <w:rPr>
        <w:rFonts w:hint="default"/>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7" w15:restartNumberingAfterBreak="0">
    <w:nsid w:val="41620901"/>
    <w:multiLevelType w:val="multilevel"/>
    <w:tmpl w:val="231EBD9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 w15:restartNumberingAfterBreak="0">
    <w:nsid w:val="48C02EDB"/>
    <w:multiLevelType w:val="multilevel"/>
    <w:tmpl w:val="7454362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9" w15:restartNumberingAfterBreak="0">
    <w:nsid w:val="55CC40BB"/>
    <w:multiLevelType w:val="multilevel"/>
    <w:tmpl w:val="19CE6582"/>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B11EFF"/>
    <w:multiLevelType w:val="multilevel"/>
    <w:tmpl w:val="CBC268D8"/>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624F15"/>
    <w:multiLevelType w:val="multilevel"/>
    <w:tmpl w:val="22C2D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0631EC"/>
    <w:multiLevelType w:val="multilevel"/>
    <w:tmpl w:val="E83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6"/>
  </w:num>
  <w:num w:numId="2">
    <w:abstractNumId w:val="7"/>
  </w:num>
  <w:num w:numId="3">
    <w:abstractNumId w:val="3"/>
  </w:num>
  <w:num w:numId="4">
    <w:abstractNumId w:val="0"/>
  </w:num>
  <w:num w:numId="5">
    <w:abstractNumId w:val="14"/>
  </w:num>
  <w:num w:numId="6">
    <w:abstractNumId w:val="13"/>
  </w:num>
  <w:num w:numId="7">
    <w:abstractNumId w:val="10"/>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 w:numId="14">
    <w:abstractNumId w:val="12"/>
  </w:num>
  <w:num w:numId="15">
    <w:abstractNumId w:val="2"/>
  </w:num>
  <w:num w:numId="16">
    <w:abstractNumId w:val="8"/>
  </w:num>
  <w:num w:numId="17">
    <w:abstractNumId w:val="1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0E0"/>
    <w:rsid w:val="000142AF"/>
    <w:rsid w:val="00042B4E"/>
    <w:rsid w:val="00057D6C"/>
    <w:rsid w:val="00063994"/>
    <w:rsid w:val="000F6A61"/>
    <w:rsid w:val="001102FE"/>
    <w:rsid w:val="0017322A"/>
    <w:rsid w:val="00182042"/>
    <w:rsid w:val="001B2B79"/>
    <w:rsid w:val="001D7197"/>
    <w:rsid w:val="001F583B"/>
    <w:rsid w:val="00211DEE"/>
    <w:rsid w:val="00216310"/>
    <w:rsid w:val="00217BFC"/>
    <w:rsid w:val="00250F51"/>
    <w:rsid w:val="00271812"/>
    <w:rsid w:val="0029177F"/>
    <w:rsid w:val="002B6FC1"/>
    <w:rsid w:val="002E2CB9"/>
    <w:rsid w:val="00301F80"/>
    <w:rsid w:val="00304153"/>
    <w:rsid w:val="0036477C"/>
    <w:rsid w:val="00396F85"/>
    <w:rsid w:val="003A45C4"/>
    <w:rsid w:val="003E7212"/>
    <w:rsid w:val="003F2EAC"/>
    <w:rsid w:val="003F737D"/>
    <w:rsid w:val="0041434B"/>
    <w:rsid w:val="0042685C"/>
    <w:rsid w:val="004743E1"/>
    <w:rsid w:val="00490B5D"/>
    <w:rsid w:val="004A14C0"/>
    <w:rsid w:val="004A2951"/>
    <w:rsid w:val="004A6B2C"/>
    <w:rsid w:val="004C381B"/>
    <w:rsid w:val="004D233C"/>
    <w:rsid w:val="004E7615"/>
    <w:rsid w:val="0052154C"/>
    <w:rsid w:val="0052345E"/>
    <w:rsid w:val="00545539"/>
    <w:rsid w:val="00573FD1"/>
    <w:rsid w:val="00576F50"/>
    <w:rsid w:val="0058742B"/>
    <w:rsid w:val="005906E1"/>
    <w:rsid w:val="005C1D1D"/>
    <w:rsid w:val="00612231"/>
    <w:rsid w:val="00616460"/>
    <w:rsid w:val="00623741"/>
    <w:rsid w:val="00634BA0"/>
    <w:rsid w:val="006611AD"/>
    <w:rsid w:val="00672A2E"/>
    <w:rsid w:val="006803BD"/>
    <w:rsid w:val="00681293"/>
    <w:rsid w:val="00696ED2"/>
    <w:rsid w:val="007261A6"/>
    <w:rsid w:val="007578DD"/>
    <w:rsid w:val="00786F40"/>
    <w:rsid w:val="007B2879"/>
    <w:rsid w:val="008131E9"/>
    <w:rsid w:val="0083014E"/>
    <w:rsid w:val="00833222"/>
    <w:rsid w:val="008414B3"/>
    <w:rsid w:val="0085360A"/>
    <w:rsid w:val="008665B2"/>
    <w:rsid w:val="00867708"/>
    <w:rsid w:val="00880A26"/>
    <w:rsid w:val="008E733F"/>
    <w:rsid w:val="008F07D5"/>
    <w:rsid w:val="0097484D"/>
    <w:rsid w:val="00992060"/>
    <w:rsid w:val="00A12864"/>
    <w:rsid w:val="00A203BD"/>
    <w:rsid w:val="00AA2319"/>
    <w:rsid w:val="00AC1050"/>
    <w:rsid w:val="00AF0FD5"/>
    <w:rsid w:val="00B111AE"/>
    <w:rsid w:val="00B15219"/>
    <w:rsid w:val="00B33CE7"/>
    <w:rsid w:val="00B96E8A"/>
    <w:rsid w:val="00B97807"/>
    <w:rsid w:val="00BA477D"/>
    <w:rsid w:val="00BB4326"/>
    <w:rsid w:val="00BB5D3B"/>
    <w:rsid w:val="00CD1511"/>
    <w:rsid w:val="00D02588"/>
    <w:rsid w:val="00D15E2A"/>
    <w:rsid w:val="00D73872"/>
    <w:rsid w:val="00DD424C"/>
    <w:rsid w:val="00DF54DE"/>
    <w:rsid w:val="00E5027C"/>
    <w:rsid w:val="00E71CD8"/>
    <w:rsid w:val="00E95E09"/>
    <w:rsid w:val="00EF499B"/>
    <w:rsid w:val="00F01EBF"/>
    <w:rsid w:val="00F61AF9"/>
    <w:rsid w:val="00F71ABD"/>
    <w:rsid w:val="00F810E0"/>
    <w:rsid w:val="00F9102D"/>
    <w:rsid w:val="00FB0FF8"/>
    <w:rsid w:val="00FB5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79B5"/>
  <w15:docId w15:val="{6D7F0239-425A-4FB5-A090-D8AA07AA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sz w:val="24"/>
      <w:szCs w:val="24"/>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sz w:val="24"/>
      <w:szCs w:val="24"/>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paragraph" w:customStyle="1" w:styleId="StdBodyText2">
    <w:name w:val="Std Body Text 2"/>
    <w:basedOn w:val="Normal"/>
    <w:rsid w:val="00F71ABD"/>
    <w:pPr>
      <w:overflowPunct/>
      <w:autoSpaceDE/>
      <w:autoSpaceDN/>
      <w:adjustRightInd/>
      <w:spacing w:before="100" w:after="200"/>
      <w:ind w:left="720"/>
      <w:jc w:val="left"/>
      <w:textAlignment w:val="auto"/>
    </w:pPr>
    <w:rPr>
      <w:rFonts w:cs="Times New Roman"/>
      <w:sz w:val="24"/>
      <w:szCs w:val="24"/>
    </w:rPr>
  </w:style>
  <w:style w:type="paragraph" w:customStyle="1" w:styleId="AppendixText6">
    <w:name w:val="Appendix Text 6"/>
    <w:basedOn w:val="AppendixText5"/>
    <w:rsid w:val="00F71ABD"/>
    <w:pPr>
      <w:numPr>
        <w:ilvl w:val="0"/>
        <w:numId w:val="0"/>
      </w:numPr>
      <w:tabs>
        <w:tab w:val="left" w:pos="720"/>
        <w:tab w:val="left" w:pos="2523"/>
        <w:tab w:val="num" w:pos="4320"/>
      </w:tabs>
      <w:overflowPunct/>
      <w:autoSpaceDE/>
      <w:autoSpaceDN/>
      <w:adjustRightInd/>
      <w:spacing w:before="100" w:after="200"/>
      <w:ind w:left="4320" w:hanging="720"/>
      <w:jc w:val="left"/>
      <w:textAlignment w:val="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publications/the-sourcing-and-consultancy-playbooks" TargetMode="External"/><Relationship Id="rId4" Type="http://schemas.openxmlformats.org/officeDocument/2006/relationships/styles" Target="styles.xml"/><Relationship Id="rId9" Type="http://schemas.openxmlformats.org/officeDocument/2006/relationships/hyperlink" Target="mailto:resolution.planning@cabinetoffic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4736C1-7903-439C-AE17-EC99450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3539</Words>
  <Characters>19289</Characters>
  <Application>Microsoft Office Word</Application>
  <DocSecurity>0</DocSecurity>
  <PresentationFormat/>
  <Lines>470</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Simon Harris</cp:lastModifiedBy>
  <cp:revision>6</cp:revision>
  <dcterms:created xsi:type="dcterms:W3CDTF">2024-04-24T15:03:00Z</dcterms:created>
  <dcterms:modified xsi:type="dcterms:W3CDTF">2024-06-26T21:14:00Z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88236583-3</vt:lpwstr>
  </property>
</Properties>
</file>