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72FD" w:rsidRDefault="00BE72FD">
      <w:pPr>
        <w:keepNext/>
        <w:pBdr>
          <w:top w:val="nil"/>
          <w:left w:val="nil"/>
          <w:bottom w:val="nil"/>
          <w:right w:val="nil"/>
          <w:between w:val="nil"/>
        </w:pBdr>
        <w:ind w:left="0"/>
        <w:jc w:val="left"/>
        <w:rPr>
          <w:b/>
          <w:color w:val="000000"/>
          <w:sz w:val="32"/>
          <w:szCs w:val="32"/>
        </w:rPr>
      </w:pPr>
    </w:p>
    <w:p w14:paraId="00000002" w14:textId="77777777" w:rsidR="00BE72FD" w:rsidRDefault="00974D90">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00000003" w14:textId="77777777" w:rsidR="00BE72FD" w:rsidRDefault="00974D90">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BE72FD" w:rsidRDefault="00974D90">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0"/>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BE72FD" w14:paraId="2F768F19" w14:textId="77777777">
        <w:tc>
          <w:tcPr>
            <w:tcW w:w="3097" w:type="dxa"/>
          </w:tcPr>
          <w:p w14:paraId="00000005" w14:textId="77777777" w:rsidR="00BE72FD" w:rsidRDefault="00974D90">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"Accounting Reference Date"</w:t>
            </w:r>
          </w:p>
        </w:tc>
        <w:tc>
          <w:tcPr>
            <w:tcW w:w="5075" w:type="dxa"/>
          </w:tcPr>
          <w:p w14:paraId="00000006" w14:textId="77777777" w:rsidR="00BE72FD" w:rsidRDefault="00974D90">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means in each year the date to which the Supplier prepares its annual audited financial statements;</w:t>
            </w:r>
          </w:p>
        </w:tc>
      </w:tr>
      <w:tr w:rsidR="00BE72FD" w14:paraId="725C8387" w14:textId="77777777">
        <w:tc>
          <w:tcPr>
            <w:tcW w:w="3097" w:type="dxa"/>
          </w:tcPr>
          <w:p w14:paraId="00000007" w14:textId="77777777" w:rsidR="00BE72FD" w:rsidRDefault="00974D90">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14:paraId="00000008"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1.2 of this Schedule;</w:t>
            </w:r>
          </w:p>
        </w:tc>
      </w:tr>
      <w:tr w:rsidR="00BE72FD" w14:paraId="622EBCE4" w14:textId="77777777">
        <w:tc>
          <w:tcPr>
            <w:tcW w:w="3097" w:type="dxa"/>
          </w:tcPr>
          <w:p w14:paraId="00000009"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w:t>
            </w:r>
          </w:p>
        </w:tc>
        <w:tc>
          <w:tcPr>
            <w:tcW w:w="5075" w:type="dxa"/>
          </w:tcPr>
          <w:p w14:paraId="0000000A"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BE72FD" w14:paraId="36115191" w14:textId="77777777">
        <w:tc>
          <w:tcPr>
            <w:tcW w:w="3097" w:type="dxa"/>
          </w:tcPr>
          <w:p w14:paraId="0000000B"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Deliverables"</w:t>
            </w:r>
          </w:p>
        </w:tc>
        <w:tc>
          <w:tcPr>
            <w:tcW w:w="5075" w:type="dxa"/>
          </w:tcPr>
          <w:p w14:paraId="0000000C" w14:textId="77777777" w:rsidR="00BE72FD" w:rsidRDefault="00974D90">
            <w:pPr>
              <w:ind w:left="0"/>
              <w:rPr>
                <w:rFonts w:ascii="Arial" w:eastAsia="Arial" w:hAnsi="Arial" w:cs="Arial"/>
                <w:sz w:val="24"/>
                <w:szCs w:val="24"/>
              </w:rPr>
            </w:pPr>
            <w:r>
              <w:rPr>
                <w:rFonts w:ascii="Arial" w:eastAsia="Arial" w:hAnsi="Arial" w:cs="Arial"/>
                <w:sz w:val="24"/>
                <w:szCs w:val="24"/>
              </w:rPr>
              <w:t>the Deliverables embodied in the processes and procedures for restoring the provision of Deliverables following the occurrence of a Disaster;</w:t>
            </w:r>
          </w:p>
          <w:p w14:paraId="0000000D" w14:textId="77777777" w:rsidR="00BE72FD" w:rsidRDefault="00BE72FD">
            <w:pPr>
              <w:ind w:firstLine="1418"/>
              <w:rPr>
                <w:rFonts w:ascii="Arial" w:eastAsia="Arial" w:hAnsi="Arial" w:cs="Arial"/>
                <w:sz w:val="24"/>
                <w:szCs w:val="24"/>
              </w:rPr>
            </w:pPr>
          </w:p>
        </w:tc>
      </w:tr>
      <w:tr w:rsidR="00BE72FD" w14:paraId="5173003E" w14:textId="77777777">
        <w:tc>
          <w:tcPr>
            <w:tcW w:w="3097" w:type="dxa"/>
          </w:tcPr>
          <w:p w14:paraId="0000000E"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14:paraId="0000000F"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1.3.3 of this Schedule;</w:t>
            </w:r>
          </w:p>
        </w:tc>
      </w:tr>
      <w:tr w:rsidR="00BE72FD" w14:paraId="43DD18D3" w14:textId="77777777">
        <w:tc>
          <w:tcPr>
            <w:tcW w:w="3097" w:type="dxa"/>
          </w:tcPr>
          <w:p w14:paraId="00000010"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14:paraId="00000011"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the system embodied in the processes and procedures for restoring the provision of Deliverables following the occurrence of a Disaster;</w:t>
            </w:r>
          </w:p>
        </w:tc>
      </w:tr>
      <w:tr w:rsidR="00BE72FD" w14:paraId="140E2960" w14:textId="77777777">
        <w:trPr>
          <w:trHeight w:val="567"/>
        </w:trPr>
        <w:tc>
          <w:tcPr>
            <w:tcW w:w="3097" w:type="dxa"/>
          </w:tcPr>
          <w:p w14:paraId="00000012"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14:paraId="00000013"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any person who provides Deliverables to the Buyer which are related to the Deliverables from time to time;</w:t>
            </w:r>
          </w:p>
        </w:tc>
      </w:tr>
      <w:tr w:rsidR="00BE72FD" w14:paraId="7E560FBA" w14:textId="77777777">
        <w:trPr>
          <w:trHeight w:val="567"/>
        </w:trPr>
        <w:tc>
          <w:tcPr>
            <w:tcW w:w="3097" w:type="dxa"/>
          </w:tcPr>
          <w:p w14:paraId="00000014"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14:paraId="00000015"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5.3 of this Schedule; and</w:t>
            </w:r>
          </w:p>
        </w:tc>
      </w:tr>
      <w:tr w:rsidR="00BE72FD" w14:paraId="46A65A31" w14:textId="77777777">
        <w:tc>
          <w:tcPr>
            <w:tcW w:w="3097" w:type="dxa"/>
          </w:tcPr>
          <w:p w14:paraId="00000016" w14:textId="77777777" w:rsidR="00BE72FD" w:rsidRDefault="00974D90">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"Supplier's Proposals"</w:t>
            </w:r>
          </w:p>
        </w:tc>
        <w:tc>
          <w:tcPr>
            <w:tcW w:w="5075" w:type="dxa"/>
          </w:tcPr>
          <w:p w14:paraId="00000017" w14:textId="77777777" w:rsidR="00BE72FD" w:rsidRDefault="00974D90">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proofErr w:type="gramStart"/>
            <w:r>
              <w:rPr>
                <w:rFonts w:ascii="Arial" w:eastAsia="Arial" w:hAnsi="Arial" w:cs="Arial"/>
                <w:sz w:val="24"/>
                <w:szCs w:val="24"/>
              </w:rPr>
              <w:t>has</w:t>
            </w:r>
            <w:proofErr w:type="gramEnd"/>
            <w:r>
              <w:rPr>
                <w:rFonts w:ascii="Arial" w:eastAsia="Arial" w:hAnsi="Arial" w:cs="Arial"/>
                <w:sz w:val="24"/>
                <w:szCs w:val="24"/>
              </w:rPr>
              <w:t xml:space="preserve"> the meaning given to it in Paragraph 5.3 of this Schedule.</w:t>
            </w:r>
          </w:p>
        </w:tc>
      </w:tr>
    </w:tbl>
    <w:p w14:paraId="00000018" w14:textId="77777777" w:rsidR="00BE72FD" w:rsidRDefault="00BE72FD">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00000019" w14:textId="77777777" w:rsidR="00BE72FD" w:rsidRDefault="00974D90">
      <w:pPr>
        <w:ind w:firstLine="1418"/>
        <w:rPr>
          <w:rFonts w:ascii="Arial Bold" w:eastAsia="Arial Bold" w:hAnsi="Arial Bold" w:cs="Arial Bold"/>
          <w:b/>
          <w:color w:val="000000"/>
          <w:sz w:val="24"/>
          <w:szCs w:val="24"/>
        </w:rPr>
      </w:pPr>
      <w:r>
        <w:br w:type="page"/>
      </w:r>
    </w:p>
    <w:p w14:paraId="0000001A" w14:textId="77777777" w:rsidR="00BE72FD" w:rsidRDefault="00974D90">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14:paraId="0000001B" w14:textId="77777777" w:rsidR="00BE72FD" w:rsidRDefault="00974D90">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0000001D" w14:textId="135FB84E"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Pr>
          <w:color w:val="000000"/>
          <w:sz w:val="24"/>
          <w:szCs w:val="24"/>
        </w:rPr>
        <w:t xml:space="preserve">At least thirty (30)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0000001E"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0000001F"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the</w:t>
      </w:r>
      <w:proofErr w:type="gramEnd"/>
      <w:r>
        <w:rPr>
          <w:color w:val="000000"/>
          <w:sz w:val="24"/>
          <w:szCs w:val="24"/>
        </w:rPr>
        <w:t xml:space="preserve"> recovery of the Deliverables in the event of a Disaster. </w:t>
      </w:r>
    </w:p>
    <w:p w14:paraId="00000020"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BCDR Plan shall be divided into four sections:</w:t>
      </w:r>
    </w:p>
    <w:p w14:paraId="00000021"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End w:id="3"/>
      <w:r>
        <w:rPr>
          <w:color w:val="000000"/>
          <w:sz w:val="24"/>
          <w:szCs w:val="24"/>
        </w:rPr>
        <w:t xml:space="preserve">Section 1 which shall set out general principles applicable to the BCDR Plan; </w:t>
      </w:r>
    </w:p>
    <w:p w14:paraId="00000022"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2et92p0"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0000023"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highlight w:val="yellow"/>
        </w:rPr>
      </w:pPr>
      <w:bookmarkStart w:id="5" w:name="_heading=h.tyjcwt" w:colFirst="0" w:colLast="0"/>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xml:space="preserve">); </w:t>
      </w:r>
      <w:r>
        <w:rPr>
          <w:color w:val="000000"/>
          <w:sz w:val="24"/>
          <w:szCs w:val="24"/>
          <w:highlight w:val="yellow"/>
        </w:rPr>
        <w:t>[and.</w:t>
      </w:r>
    </w:p>
    <w:p w14:paraId="00000024" w14:textId="7A555391"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highlight w:val="yellow"/>
        </w:rPr>
        <w:t>Section 4 which shall relate to an Insolvency Event of the Supplier, and Key-Subcontractors and/or any Supplier Group member (the “</w:t>
      </w:r>
      <w:r>
        <w:rPr>
          <w:b/>
          <w:color w:val="000000"/>
          <w:sz w:val="24"/>
          <w:szCs w:val="24"/>
          <w:highlight w:val="yellow"/>
        </w:rPr>
        <w:t>Insolvency Continuity Plan</w:t>
      </w:r>
      <w:r>
        <w:rPr>
          <w:color w:val="000000"/>
          <w:sz w:val="24"/>
          <w:szCs w:val="24"/>
          <w:highlight w:val="yellow"/>
        </w:rPr>
        <w:t>”).]</w:t>
      </w:r>
      <w:r>
        <w:rPr>
          <w:color w:val="000000"/>
          <w:sz w:val="24"/>
          <w:szCs w:val="24"/>
        </w:rPr>
        <w:t xml:space="preserve"> </w:t>
      </w:r>
      <w:r>
        <w:rPr>
          <w:b/>
          <w:i/>
          <w:color w:val="000000"/>
          <w:sz w:val="24"/>
          <w:szCs w:val="24"/>
          <w:highlight w:val="yellow"/>
        </w:rPr>
        <w:t>[Guidance Note: Buyers to consider whether an Insolvency Continuity Plan is necessary</w:t>
      </w:r>
      <w:r w:rsidR="00167711">
        <w:rPr>
          <w:b/>
          <w:i/>
          <w:color w:val="000000"/>
          <w:sz w:val="24"/>
          <w:szCs w:val="24"/>
          <w:highlight w:val="yellow"/>
        </w:rPr>
        <w:t>.</w:t>
      </w:r>
      <w:r>
        <w:rPr>
          <w:b/>
          <w:i/>
          <w:color w:val="000000"/>
          <w:sz w:val="24"/>
          <w:szCs w:val="24"/>
          <w:highlight w:val="yellow"/>
        </w:rPr>
        <w:t>]</w:t>
      </w:r>
    </w:p>
    <w:p w14:paraId="00000025"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6" w:name="_heading=h.3dy6vkm" w:colFirst="0" w:colLast="0"/>
      <w:bookmarkEnd w:id="6"/>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0000026" w14:textId="77777777" w:rsidR="00BE72FD" w:rsidRDefault="00974D90">
      <w:pPr>
        <w:keepNext/>
        <w:numPr>
          <w:ilvl w:val="0"/>
          <w:numId w:val="3"/>
        </w:numPr>
        <w:pBdr>
          <w:top w:val="nil"/>
          <w:left w:val="nil"/>
          <w:bottom w:val="nil"/>
          <w:right w:val="nil"/>
          <w:between w:val="nil"/>
        </w:pBdr>
        <w:tabs>
          <w:tab w:val="left" w:pos="0"/>
        </w:tabs>
        <w:spacing w:before="240"/>
        <w:jc w:val="left"/>
        <w:rPr>
          <w:b/>
          <w:smallCaps/>
          <w:color w:val="000000"/>
          <w:sz w:val="24"/>
          <w:szCs w:val="24"/>
        </w:rPr>
      </w:pPr>
      <w:bookmarkStart w:id="7" w:name="_heading=h.1t3h5sf" w:colFirst="0" w:colLast="0"/>
      <w:bookmarkEnd w:id="7"/>
      <w:r>
        <w:rPr>
          <w:rFonts w:ascii="Arial Bold" w:eastAsia="Arial Bold" w:hAnsi="Arial Bold" w:cs="Arial Bold"/>
          <w:b/>
          <w:color w:val="000000"/>
          <w:sz w:val="24"/>
          <w:szCs w:val="24"/>
        </w:rPr>
        <w:t>General Principles of the BCDR Plan (Section 1)</w:t>
      </w:r>
    </w:p>
    <w:p w14:paraId="00000027"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bookmarkStart w:id="8" w:name="_heading=h.ihv636" w:colFirst="0" w:colLast="0"/>
      <w:bookmarkEnd w:id="8"/>
      <w:r>
        <w:rPr>
          <w:color w:val="000000"/>
          <w:sz w:val="24"/>
          <w:szCs w:val="24"/>
        </w:rPr>
        <w:t>Section 1 of the BCDR Plan shall:</w:t>
      </w:r>
    </w:p>
    <w:p w14:paraId="00000028"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9" w:name="_heading=h.1ci93xb" w:colFirst="0" w:colLast="0"/>
      <w:bookmarkEnd w:id="9"/>
      <w:r>
        <w:rPr>
          <w:color w:val="000000"/>
          <w:sz w:val="24"/>
          <w:szCs w:val="24"/>
        </w:rPr>
        <w:t>set out how the business continuity and disaster recovery elements of the BCDR Plan link to each other;</w:t>
      </w:r>
    </w:p>
    <w:p w14:paraId="00000029"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0000002A"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0000002B"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 how the BCDR Plan interoperates with any overarching disaster recovery or business continuity plan of the Buyer and any of its other Related Suppliers in each case as notified to the Supplier by the Buyer from time to time;</w:t>
      </w:r>
    </w:p>
    <w:p w14:paraId="0000002C"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contain a communication strategy including details of an incident and problem management service and advice and help desk facility which can be accessed via multiple channels;</w:t>
      </w:r>
    </w:p>
    <w:p w14:paraId="0000002D" w14:textId="77777777" w:rsidR="00BE72FD" w:rsidRDefault="00974D90">
      <w:pPr>
        <w:keepNext/>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14:paraId="0000002E" w14:textId="77777777" w:rsidR="00BE72FD" w:rsidRDefault="00974D90">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14:paraId="0000002F" w14:textId="77777777" w:rsidR="00BE72FD" w:rsidRDefault="00974D90">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14:paraId="00000030" w14:textId="77777777" w:rsidR="00BE72FD" w:rsidRDefault="00974D90">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an Insolvency Event of the Supplier, any Key Subcontractors and/or Supplier Group member;</w:t>
      </w:r>
    </w:p>
    <w:p w14:paraId="00000031" w14:textId="77777777" w:rsidR="00BE72FD" w:rsidRDefault="00974D90">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00000032" w14:textId="77777777" w:rsidR="00BE72FD" w:rsidRDefault="00974D90">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14:paraId="00000033"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14:paraId="00000034"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 and for the Buyer;</w:t>
      </w:r>
    </w:p>
    <w:p w14:paraId="00000035"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14:paraId="00000036"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00000037"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responsibilities (if any) that the Buyer has agreed it will assume in the event of the invocation of the BCDR Plan;</w:t>
      </w:r>
    </w:p>
    <w:p w14:paraId="00000038"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00000039"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0000003A"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10" w:name="_heading=h.32hioqz" w:colFirst="0" w:colLast="0"/>
      <w:bookmarkEnd w:id="10"/>
      <w:proofErr w:type="gramStart"/>
      <w:r>
        <w:rPr>
          <w:color w:val="000000"/>
          <w:sz w:val="24"/>
          <w:szCs w:val="24"/>
        </w:rPr>
        <w:t>detail</w:t>
      </w:r>
      <w:proofErr w:type="gramEnd"/>
      <w:r>
        <w:rPr>
          <w:color w:val="000000"/>
          <w:sz w:val="24"/>
          <w:szCs w:val="24"/>
        </w:rPr>
        <w:t xml:space="preserve"> how the BCDR Plan links and interoperates with any overarching and/or connected insolvency continuity plan of the Buyer and any of its other Related Suppliers in each case as notified to the Supplier by the Buyer from time to time.</w:t>
      </w:r>
    </w:p>
    <w:p w14:paraId="0000003B"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BCDR Plan shall be designed so as to ensure that:</w:t>
      </w:r>
    </w:p>
    <w:p w14:paraId="0000003C"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14:paraId="0000003D"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14:paraId="0000003E"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it complies with the relevant provisions of ISO/IEC 27002; ISO22301/ISO22313 and all other industry standards from time to time in force; and</w:t>
      </w:r>
    </w:p>
    <w:p w14:paraId="0000003F"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it</w:t>
      </w:r>
      <w:proofErr w:type="gramEnd"/>
      <w:r>
        <w:rPr>
          <w:color w:val="000000"/>
          <w:sz w:val="24"/>
          <w:szCs w:val="24"/>
        </w:rPr>
        <w:t xml:space="preserve"> details a process for the management of disaster recovery testing.</w:t>
      </w:r>
    </w:p>
    <w:p w14:paraId="00000040"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00000041"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00000042" w14:textId="77777777" w:rsidR="00BE72FD" w:rsidRDefault="00974D90">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00000043"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11" w:name="_heading=h.4d34og8" w:colFirst="0" w:colLast="0"/>
      <w:bookmarkEnd w:id="11"/>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000044"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00000045"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the</w:t>
      </w:r>
      <w:proofErr w:type="gramEnd"/>
      <w:r>
        <w:rPr>
          <w:color w:val="000000"/>
          <w:sz w:val="24"/>
          <w:szCs w:val="24"/>
        </w:rPr>
        <w:t xml:space="preserve"> steps to be taken by the Supplier upon resumption of the provision of Deliverables in order to address the effect of the failure or disruption.</w:t>
      </w:r>
    </w:p>
    <w:p w14:paraId="00000046"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14:paraId="00000047"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14:paraId="00000048"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heading=h.2s8eyo1" w:colFirst="0" w:colLast="0"/>
      <w:bookmarkEnd w:id="12"/>
      <w:r>
        <w:rPr>
          <w:color w:val="000000"/>
          <w:sz w:val="24"/>
          <w:szCs w:val="24"/>
        </w:rPr>
        <w:t>set out the goods and/or services to be provided and the steps to be taken to remedy the different levels of failures of and disruption to the Deliverables;</w:t>
      </w:r>
    </w:p>
    <w:p w14:paraId="00000049"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000004A"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set</w:t>
      </w:r>
      <w:proofErr w:type="gramEnd"/>
      <w:r>
        <w:rPr>
          <w:color w:val="000000"/>
          <w:sz w:val="24"/>
          <w:szCs w:val="24"/>
        </w:rPr>
        <w:t xml:space="preserve"> out the circumstances in which the Business Continuity Plan is invoked.</w:t>
      </w:r>
    </w:p>
    <w:p w14:paraId="0000004B" w14:textId="77777777" w:rsidR="00BE72FD" w:rsidRDefault="00974D90">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Disaster Recovery (Section 3)</w:t>
      </w:r>
    </w:p>
    <w:p w14:paraId="0000004C"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13" w:name="_heading=h.17dp8vu" w:colFirst="0" w:colLast="0"/>
      <w:bookmarkEnd w:id="13"/>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000004D"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lastRenderedPageBreak/>
        <w:t>The Supplier's BCDR Plan shall include an approach to business continuity and disaster recovery that addresses the following:</w:t>
      </w:r>
    </w:p>
    <w:p w14:paraId="0000004E"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14:paraId="0000004F"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14:paraId="00000050"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14:paraId="00000051"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14:paraId="00000052"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14:paraId="00000053"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14:paraId="00000054"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14:paraId="00000055"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14:paraId="00000056"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14:paraId="00000057"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00000058"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00000059"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14:paraId="0000005A"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testing</w:t>
      </w:r>
      <w:proofErr w:type="gramEnd"/>
      <w:r>
        <w:rPr>
          <w:color w:val="000000"/>
          <w:sz w:val="24"/>
          <w:szCs w:val="24"/>
        </w:rPr>
        <w:t xml:space="preserve"> and management arrangements.</w:t>
      </w:r>
    </w:p>
    <w:p w14:paraId="0000005B" w14:textId="77777777" w:rsidR="00BE72FD" w:rsidRDefault="00974D90">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14:paraId="0000005C"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bookmarkStart w:id="14" w:name="_heading=h.3rdcrjn" w:colFirst="0" w:colLast="0"/>
      <w:bookmarkEnd w:id="14"/>
      <w:r>
        <w:rPr>
          <w:color w:val="000000"/>
          <w:sz w:val="24"/>
          <w:szCs w:val="24"/>
        </w:rPr>
        <w:t>The Supplier shall review the BCDR Plan:</w:t>
      </w:r>
    </w:p>
    <w:p w14:paraId="0000005D"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15" w:name="_heading=h.26in1rg" w:colFirst="0" w:colLast="0"/>
      <w:bookmarkEnd w:id="15"/>
      <w:r>
        <w:rPr>
          <w:color w:val="000000"/>
          <w:sz w:val="24"/>
          <w:szCs w:val="24"/>
        </w:rPr>
        <w:t>on a regular basis and as a minimum once every six (6) Months;</w:t>
      </w:r>
    </w:p>
    <w:p w14:paraId="0000005E"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lnxbz9" w:colFirst="0" w:colLast="0"/>
      <w:bookmarkEnd w:id="16"/>
      <w:r>
        <w:rPr>
          <w:color w:val="000000"/>
          <w:sz w:val="24"/>
          <w:szCs w:val="24"/>
        </w:rPr>
        <w:t>within three (3) calendar Months of the BCDR Plan (or any part) having been invoked pursuant to Paragraph 7; and</w:t>
      </w:r>
    </w:p>
    <w:p w14:paraId="0000005F"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35nkun2" w:colFirst="0" w:colLast="0"/>
      <w:bookmarkEnd w:id="17"/>
      <w:proofErr w:type="gramStart"/>
      <w:r>
        <w:rPr>
          <w:color w:val="000000"/>
          <w:sz w:val="24"/>
          <w:szCs w:val="24"/>
        </w:rPr>
        <w:t>where</w:t>
      </w:r>
      <w:proofErr w:type="gramEnd"/>
      <w:r>
        <w:rPr>
          <w:color w:val="000000"/>
          <w:sz w:val="24"/>
          <w:szCs w:val="24"/>
        </w:rPr>
        <w:t xml:space="preserve"> the Buyer requests in writing any additional reviews (over and above those provided for in Paragraphs 5.1.1 and 5.1.2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0000060"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18" w:name="_heading=h.1ksv4uv" w:colFirst="0" w:colLast="0"/>
      <w:bookmarkEnd w:id="18"/>
      <w:r>
        <w:rPr>
          <w:color w:val="000000"/>
          <w:sz w:val="24"/>
          <w:szCs w:val="24"/>
        </w:rPr>
        <w:t xml:space="preserve">Each review of the BCDR Plan pursuant to Paragraph 5.1 shall assess its suitability having regard to any change to the Deliverables or any underlying business processes and operations facilitated by or supported by the Services </w:t>
      </w:r>
      <w:r>
        <w:rPr>
          <w:color w:val="000000"/>
          <w:sz w:val="24"/>
          <w:szCs w:val="24"/>
        </w:rPr>
        <w:lastRenderedPageBreak/>
        <w:t xml:space="preserve">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000061"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19" w:name="_heading=h.44sinio" w:colFirst="0" w:colLast="0"/>
      <w:bookmarkEnd w:id="19"/>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00000062"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20" w:name="_heading=h.2jxsxqh" w:colFirst="0" w:colLast="0"/>
      <w:bookmarkEnd w:id="20"/>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0000063"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0000064" w14:textId="77777777" w:rsidR="00BE72FD" w:rsidRDefault="00974D90">
      <w:pPr>
        <w:keepNext/>
        <w:numPr>
          <w:ilvl w:val="0"/>
          <w:numId w:val="3"/>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1" w:name="_heading=h.z337ya" w:colFirst="0" w:colLast="0"/>
      <w:bookmarkEnd w:id="21"/>
      <w:r>
        <w:rPr>
          <w:rFonts w:ascii="Arial Bold" w:eastAsia="Arial Bold" w:hAnsi="Arial Bold" w:cs="Arial Bold"/>
          <w:b/>
          <w:color w:val="000000"/>
          <w:sz w:val="24"/>
          <w:szCs w:val="24"/>
        </w:rPr>
        <w:t>Testing the BCDR Plan</w:t>
      </w:r>
    </w:p>
    <w:p w14:paraId="00000065"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bookmarkStart w:id="22" w:name="_heading=h.3j2qqm3" w:colFirst="0" w:colLast="0"/>
      <w:bookmarkEnd w:id="22"/>
      <w:r>
        <w:rPr>
          <w:color w:val="000000"/>
          <w:sz w:val="24"/>
          <w:szCs w:val="24"/>
        </w:rPr>
        <w:t xml:space="preserve">The Supplier shall test the BCDR Plan: </w:t>
      </w:r>
    </w:p>
    <w:p w14:paraId="00000066"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14:paraId="00000067"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14:paraId="00000068"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at</w:t>
      </w:r>
      <w:proofErr w:type="gramEnd"/>
      <w:r>
        <w:rPr>
          <w:color w:val="000000"/>
          <w:sz w:val="24"/>
          <w:szCs w:val="24"/>
        </w:rPr>
        <w:t xml:space="preserve"> any time where the Buyer considers it necessary (acting in its sole discretion).  </w:t>
      </w:r>
    </w:p>
    <w:p w14:paraId="00000069"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23" w:name="_heading=h.1y810tw" w:colFirst="0" w:colLast="0"/>
      <w:bookmarkEnd w:id="23"/>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000006A"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000006B"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000006C" w14:textId="77777777" w:rsidR="00BE72FD" w:rsidRDefault="00974D90">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lastRenderedPageBreak/>
        <w:t>The Supplier shall, within twenty (20) Working Days of the conclusion of each test, provide to the Buyer a report setting out:</w:t>
      </w:r>
    </w:p>
    <w:p w14:paraId="0000006D"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14:paraId="0000006E"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14:paraId="0000006F" w14:textId="77777777" w:rsidR="00BE72FD" w:rsidRDefault="00974D90">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proofErr w:type="gramStart"/>
      <w:r>
        <w:rPr>
          <w:color w:val="000000"/>
          <w:sz w:val="24"/>
          <w:szCs w:val="24"/>
        </w:rPr>
        <w:t>the</w:t>
      </w:r>
      <w:proofErr w:type="gramEnd"/>
      <w:r>
        <w:rPr>
          <w:color w:val="000000"/>
          <w:sz w:val="24"/>
          <w:szCs w:val="24"/>
        </w:rPr>
        <w:t xml:space="preserve"> Supplier's proposals for remedying any such failures.</w:t>
      </w:r>
    </w:p>
    <w:p w14:paraId="00000070"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bookmarkStart w:id="24" w:name="_heading=h.4i7ojhp" w:colFirst="0" w:colLast="0"/>
      <w:bookmarkEnd w:id="24"/>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0000071" w14:textId="77777777" w:rsidR="00BE72FD" w:rsidRDefault="00974D90">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5" w:name="_heading=h.2xcytpi" w:colFirst="0" w:colLast="0"/>
      <w:bookmarkEnd w:id="25"/>
      <w:r>
        <w:rPr>
          <w:rFonts w:ascii="Arial Bold" w:eastAsia="Arial Bold" w:hAnsi="Arial Bold" w:cs="Arial Bold"/>
          <w:b/>
          <w:color w:val="000000"/>
          <w:sz w:val="24"/>
          <w:szCs w:val="24"/>
        </w:rPr>
        <w:t>Invoking the BCDR Plan</w:t>
      </w:r>
    </w:p>
    <w:p w14:paraId="00000072"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0000073" w14:textId="77777777" w:rsidR="00BE72FD" w:rsidRDefault="00974D90">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bookmarkStart w:id="26" w:name="_GoBack"/>
      <w:bookmarkEnd w:id="26"/>
    </w:p>
    <w:p w14:paraId="00000074" w14:textId="77777777" w:rsidR="00BE72FD" w:rsidRDefault="00974D90">
      <w:pPr>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0000075" w14:textId="77777777" w:rsidR="00BE72FD" w:rsidRDefault="00BE72FD">
      <w:pPr>
        <w:pBdr>
          <w:top w:val="nil"/>
          <w:left w:val="nil"/>
          <w:bottom w:val="nil"/>
          <w:right w:val="nil"/>
          <w:between w:val="nil"/>
        </w:pBdr>
        <w:spacing w:before="120" w:after="120"/>
        <w:ind w:firstLine="1418"/>
        <w:jc w:val="left"/>
        <w:rPr>
          <w:color w:val="000000"/>
          <w:sz w:val="24"/>
          <w:szCs w:val="24"/>
        </w:rPr>
      </w:pPr>
    </w:p>
    <w:p w14:paraId="00000076" w14:textId="4754150D" w:rsidR="00BE72FD" w:rsidRDefault="00974D90">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highlight w:val="yellow"/>
        </w:rPr>
      </w:pPr>
      <w:r>
        <w:rPr>
          <w:rFonts w:ascii="Arial Bold" w:eastAsia="Arial Bold" w:hAnsi="Arial Bold" w:cs="Arial Bold"/>
          <w:b/>
          <w:color w:val="000000"/>
          <w:sz w:val="24"/>
          <w:szCs w:val="24"/>
          <w:highlight w:val="yellow"/>
        </w:rPr>
        <w:t>[Insolvency Continuity Plan (Section 4)</w:t>
      </w:r>
      <w:bookmarkStart w:id="27" w:name="_heading=h.1hmsyys" w:colFirst="0" w:colLast="0"/>
      <w:bookmarkEnd w:id="27"/>
    </w:p>
    <w:p w14:paraId="00000077" w14:textId="1F5EC4C5" w:rsidR="00BE72FD" w:rsidRDefault="00974D90">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highlight w:val="yellow"/>
        </w:rPr>
      </w:pPr>
      <w:r>
        <w:rPr>
          <w:b/>
          <w:i/>
          <w:color w:val="000000"/>
          <w:sz w:val="24"/>
          <w:szCs w:val="24"/>
          <w:highlight w:val="yellow"/>
        </w:rPr>
        <w:t>[Guidance Note: Buyers to consider whether an Insolvency Continuity Plan is necessary</w:t>
      </w:r>
      <w:r w:rsidR="00167711">
        <w:rPr>
          <w:b/>
          <w:i/>
          <w:color w:val="000000"/>
          <w:sz w:val="24"/>
          <w:szCs w:val="24"/>
          <w:highlight w:val="yellow"/>
        </w:rPr>
        <w:t>.</w:t>
      </w:r>
      <w:r>
        <w:rPr>
          <w:b/>
          <w:i/>
          <w:color w:val="000000"/>
          <w:sz w:val="24"/>
          <w:szCs w:val="24"/>
          <w:highlight w:val="yellow"/>
        </w:rPr>
        <w:t>]</w:t>
      </w:r>
    </w:p>
    <w:p w14:paraId="00000078" w14:textId="77777777" w:rsidR="00BE72FD" w:rsidRDefault="00974D90">
      <w:pPr>
        <w:numPr>
          <w:ilvl w:val="1"/>
          <w:numId w:val="3"/>
        </w:numPr>
        <w:pBdr>
          <w:top w:val="nil"/>
          <w:left w:val="nil"/>
          <w:bottom w:val="nil"/>
          <w:right w:val="nil"/>
          <w:between w:val="nil"/>
        </w:pBdr>
        <w:spacing w:before="120" w:after="120"/>
        <w:rPr>
          <w:color w:val="000000"/>
          <w:sz w:val="24"/>
          <w:szCs w:val="24"/>
          <w:highlight w:val="yellow"/>
        </w:rPr>
      </w:pPr>
      <w:r>
        <w:rPr>
          <w:color w:val="000000"/>
          <w:sz w:val="24"/>
          <w:szCs w:val="24"/>
          <w:highlight w:val="yellow"/>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00000079" w14:textId="77777777" w:rsidR="00BE72FD" w:rsidRDefault="00974D90">
      <w:pPr>
        <w:numPr>
          <w:ilvl w:val="1"/>
          <w:numId w:val="3"/>
        </w:numPr>
        <w:pBdr>
          <w:top w:val="nil"/>
          <w:left w:val="nil"/>
          <w:bottom w:val="nil"/>
          <w:right w:val="nil"/>
          <w:between w:val="nil"/>
        </w:pBdr>
        <w:spacing w:before="120" w:after="120"/>
        <w:rPr>
          <w:color w:val="000000"/>
          <w:sz w:val="24"/>
          <w:szCs w:val="24"/>
          <w:highlight w:val="yellow"/>
        </w:rPr>
      </w:pPr>
      <w:r>
        <w:rPr>
          <w:color w:val="000000"/>
          <w:sz w:val="24"/>
          <w:szCs w:val="24"/>
          <w:highlight w:val="yellow"/>
        </w:rPr>
        <w:t>The Insolvency Continuity Plan shall include the following:</w:t>
      </w:r>
    </w:p>
    <w:p w14:paraId="0000007A" w14:textId="77777777" w:rsidR="00BE72FD" w:rsidRDefault="00974D90">
      <w:pPr>
        <w:numPr>
          <w:ilvl w:val="2"/>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0000007B" w14:textId="77777777" w:rsidR="00BE72FD" w:rsidRDefault="00974D90">
      <w:pPr>
        <w:numPr>
          <w:ilvl w:val="2"/>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0000007C" w14:textId="77777777" w:rsidR="00BE72FD" w:rsidRDefault="00974D90">
      <w:pPr>
        <w:numPr>
          <w:ilvl w:val="2"/>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plans to manage and mitigate identified risks;</w:t>
      </w:r>
    </w:p>
    <w:p w14:paraId="0000007D" w14:textId="77777777" w:rsidR="00BE72FD" w:rsidRDefault="00974D90">
      <w:pPr>
        <w:numPr>
          <w:ilvl w:val="2"/>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lastRenderedPageBreak/>
        <w:t>details of the roles and responsibilities of the Supplier, Key Subcontractors and/or Supplier Group members to minimise and mitigate the effects of an Insolvency Event of such persons on the Deliverables;</w:t>
      </w:r>
    </w:p>
    <w:p w14:paraId="0000007E" w14:textId="77777777" w:rsidR="00BE72FD" w:rsidRDefault="00974D90">
      <w:pPr>
        <w:numPr>
          <w:ilvl w:val="2"/>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details of the recovery team to be put in place by the Supplier (which may include representatives of the Supplier, Key Subcontractors and Supplier Group members); and</w:t>
      </w:r>
    </w:p>
    <w:p w14:paraId="0000007F" w14:textId="77777777" w:rsidR="00BE72FD" w:rsidRDefault="00974D90">
      <w:pPr>
        <w:numPr>
          <w:ilvl w:val="2"/>
          <w:numId w:val="3"/>
        </w:numPr>
        <w:pBdr>
          <w:top w:val="nil"/>
          <w:left w:val="nil"/>
          <w:bottom w:val="nil"/>
          <w:right w:val="nil"/>
          <w:between w:val="nil"/>
        </w:pBdr>
        <w:tabs>
          <w:tab w:val="left" w:pos="1985"/>
          <w:tab w:val="left" w:pos="2127"/>
        </w:tabs>
        <w:spacing w:before="120" w:after="120"/>
        <w:rPr>
          <w:color w:val="000000"/>
          <w:sz w:val="24"/>
          <w:szCs w:val="24"/>
          <w:highlight w:val="yellow"/>
        </w:rPr>
      </w:pPr>
      <w:proofErr w:type="gramStart"/>
      <w:r>
        <w:rPr>
          <w:color w:val="000000"/>
          <w:sz w:val="24"/>
          <w:szCs w:val="24"/>
          <w:highlight w:val="yellow"/>
        </w:rPr>
        <w:t>sufficient</w:t>
      </w:r>
      <w:proofErr w:type="gramEnd"/>
      <w:r>
        <w:rPr>
          <w:color w:val="000000"/>
          <w:sz w:val="24"/>
          <w:szCs w:val="24"/>
          <w:highlight w:val="yellow"/>
        </w:rPr>
        <w:t xml:space="preserve"> detail to enable an appointed insolvency practitioner to invoke the plan in the event of an Insolvency Event of the Supplier.</w:t>
      </w:r>
    </w:p>
    <w:p w14:paraId="00000080" w14:textId="77777777" w:rsidR="00BE72FD" w:rsidRDefault="00974D90">
      <w:pPr>
        <w:numPr>
          <w:ilvl w:val="1"/>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Paragraph 2.1.6(c) is amended with the addition of the words:</w:t>
      </w:r>
    </w:p>
    <w:p w14:paraId="00000081" w14:textId="77777777" w:rsidR="00BE72FD" w:rsidRDefault="00974D90">
      <w:pPr>
        <w:pBdr>
          <w:top w:val="nil"/>
          <w:left w:val="nil"/>
          <w:bottom w:val="nil"/>
          <w:right w:val="nil"/>
          <w:between w:val="nil"/>
        </w:pBdr>
        <w:tabs>
          <w:tab w:val="left" w:pos="1985"/>
          <w:tab w:val="left" w:pos="2127"/>
        </w:tabs>
        <w:spacing w:before="120" w:after="120"/>
        <w:ind w:left="720"/>
        <w:rPr>
          <w:color w:val="000000"/>
          <w:sz w:val="24"/>
          <w:szCs w:val="24"/>
          <w:highlight w:val="yellow"/>
        </w:rPr>
      </w:pPr>
      <w:proofErr w:type="gramStart"/>
      <w:r>
        <w:rPr>
          <w:color w:val="000000"/>
          <w:sz w:val="24"/>
          <w:szCs w:val="24"/>
          <w:highlight w:val="yellow"/>
        </w:rPr>
        <w:t>as</w:t>
      </w:r>
      <w:proofErr w:type="gramEnd"/>
      <w:r>
        <w:rPr>
          <w:color w:val="000000"/>
          <w:sz w:val="24"/>
          <w:szCs w:val="24"/>
          <w:highlight w:val="yellow"/>
        </w:rPr>
        <w:t xml:space="preserve"> may be more fully described in the Insolvency Continuity Plan</w:t>
      </w:r>
    </w:p>
    <w:p w14:paraId="00000082" w14:textId="77777777" w:rsidR="00BE72FD" w:rsidRDefault="00974D90">
      <w:pPr>
        <w:numPr>
          <w:ilvl w:val="1"/>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Add new paragraph 2.1.15:</w:t>
      </w:r>
    </w:p>
    <w:p w14:paraId="00000083" w14:textId="77777777" w:rsidR="00BE72FD" w:rsidRDefault="00974D90">
      <w:pPr>
        <w:numPr>
          <w:ilvl w:val="2"/>
          <w:numId w:val="4"/>
        </w:numPr>
        <w:pBdr>
          <w:top w:val="nil"/>
          <w:left w:val="nil"/>
          <w:bottom w:val="nil"/>
          <w:right w:val="nil"/>
          <w:between w:val="nil"/>
        </w:pBdr>
        <w:tabs>
          <w:tab w:val="left" w:pos="1985"/>
          <w:tab w:val="left" w:pos="2127"/>
        </w:tabs>
        <w:spacing w:before="120" w:after="120"/>
        <w:jc w:val="left"/>
        <w:rPr>
          <w:color w:val="000000"/>
          <w:sz w:val="24"/>
          <w:szCs w:val="24"/>
          <w:highlight w:val="yellow"/>
        </w:rPr>
      </w:pPr>
      <w:r>
        <w:rPr>
          <w:color w:val="000000"/>
          <w:sz w:val="24"/>
          <w:szCs w:val="24"/>
          <w:highlight w:val="yellow"/>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14:paraId="00000084" w14:textId="77777777" w:rsidR="00BE72FD" w:rsidRDefault="00974D90">
      <w:pPr>
        <w:numPr>
          <w:ilvl w:val="1"/>
          <w:numId w:val="3"/>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Add new paragraph 7.2:</w:t>
      </w:r>
    </w:p>
    <w:p w14:paraId="00000085" w14:textId="77777777" w:rsidR="00BE72FD" w:rsidRDefault="00974D90">
      <w:pPr>
        <w:numPr>
          <w:ilvl w:val="1"/>
          <w:numId w:val="1"/>
        </w:numPr>
        <w:pBdr>
          <w:top w:val="nil"/>
          <w:left w:val="nil"/>
          <w:bottom w:val="nil"/>
          <w:right w:val="nil"/>
          <w:between w:val="nil"/>
        </w:pBdr>
        <w:spacing w:before="120" w:after="120"/>
        <w:jc w:val="left"/>
        <w:rPr>
          <w:color w:val="000000"/>
          <w:sz w:val="24"/>
          <w:szCs w:val="24"/>
          <w:highlight w:val="yellow"/>
        </w:rPr>
      </w:pPr>
      <w:r>
        <w:rPr>
          <w:color w:val="000000"/>
          <w:sz w:val="24"/>
          <w:szCs w:val="24"/>
          <w:highlight w:val="yellow"/>
        </w:rPr>
        <w:t xml:space="preserve"> The Insolvency Continuity Plan element of the BCDR Plan, including any linked elements in other parts of the BCDR Plan, shall be invoked by the Supplier:</w:t>
      </w:r>
    </w:p>
    <w:p w14:paraId="00000086" w14:textId="77777777" w:rsidR="00BE72FD" w:rsidRDefault="00974D9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 w:val="24"/>
          <w:szCs w:val="24"/>
          <w:highlight w:val="yellow"/>
        </w:rPr>
      </w:pPr>
      <w:r>
        <w:rPr>
          <w:color w:val="000000"/>
          <w:sz w:val="24"/>
          <w:szCs w:val="24"/>
          <w:highlight w:val="yellow"/>
        </w:rPr>
        <w:t>where an Insolvency Event of a Key Sub-contractor and/or Supplier Group member (other than the Supplier) could reasonably be expected to adversely affect delivery of the Deliverables; and/or</w:t>
      </w:r>
    </w:p>
    <w:p w14:paraId="00000087" w14:textId="77777777" w:rsidR="00BE72FD" w:rsidRDefault="00974D9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proofErr w:type="gramStart"/>
      <w:r>
        <w:rPr>
          <w:color w:val="000000"/>
          <w:sz w:val="24"/>
          <w:szCs w:val="24"/>
          <w:highlight w:val="yellow"/>
        </w:rPr>
        <w:t>where</w:t>
      </w:r>
      <w:proofErr w:type="gramEnd"/>
      <w:r>
        <w:rPr>
          <w:color w:val="000000"/>
          <w:sz w:val="24"/>
          <w:szCs w:val="24"/>
          <w:highlight w:val="yellow"/>
        </w:rPr>
        <w:t xml:space="preserve"> there is an Insolvency Event of the Supplier and the insolvency arrangements enable the Supplier to invoke the plan.</w:t>
      </w:r>
    </w:p>
    <w:p w14:paraId="00000088" w14:textId="77777777" w:rsidR="00BE72FD" w:rsidRDefault="00BE72FD">
      <w:pPr>
        <w:pBdr>
          <w:top w:val="nil"/>
          <w:left w:val="nil"/>
          <w:bottom w:val="nil"/>
          <w:right w:val="nil"/>
          <w:between w:val="nil"/>
        </w:pBdr>
        <w:tabs>
          <w:tab w:val="left" w:pos="1985"/>
          <w:tab w:val="left" w:pos="2127"/>
        </w:tabs>
        <w:spacing w:before="120" w:after="120"/>
        <w:ind w:left="720"/>
        <w:rPr>
          <w:color w:val="000000"/>
          <w:sz w:val="24"/>
          <w:szCs w:val="24"/>
          <w:highlight w:val="yellow"/>
        </w:rPr>
      </w:pPr>
    </w:p>
    <w:p w14:paraId="00000089" w14:textId="77777777" w:rsidR="00BE72FD" w:rsidRDefault="00BE72FD">
      <w:pPr>
        <w:pBdr>
          <w:top w:val="nil"/>
          <w:left w:val="nil"/>
          <w:bottom w:val="nil"/>
          <w:right w:val="nil"/>
          <w:between w:val="nil"/>
        </w:pBdr>
        <w:spacing w:before="120" w:after="120"/>
        <w:ind w:firstLine="1418"/>
        <w:jc w:val="left"/>
        <w:rPr>
          <w:color w:val="000000"/>
          <w:sz w:val="24"/>
          <w:szCs w:val="24"/>
        </w:rPr>
      </w:pPr>
    </w:p>
    <w:p w14:paraId="0000008A" w14:textId="480A438E" w:rsidR="00BE72FD" w:rsidRDefault="00BE72FD">
      <w:pPr>
        <w:pBdr>
          <w:top w:val="nil"/>
          <w:left w:val="nil"/>
          <w:bottom w:val="nil"/>
          <w:right w:val="nil"/>
          <w:between w:val="nil"/>
        </w:pBdr>
        <w:spacing w:before="120" w:after="120"/>
        <w:ind w:left="1440"/>
        <w:jc w:val="left"/>
        <w:rPr>
          <w:color w:val="000000"/>
          <w:sz w:val="24"/>
          <w:szCs w:val="24"/>
        </w:rPr>
      </w:pPr>
    </w:p>
    <w:p w14:paraId="0000008B" w14:textId="77777777" w:rsidR="00BE72FD" w:rsidRDefault="00BE72FD">
      <w:pPr>
        <w:pBdr>
          <w:top w:val="nil"/>
          <w:left w:val="nil"/>
          <w:bottom w:val="nil"/>
          <w:right w:val="nil"/>
          <w:between w:val="nil"/>
        </w:pBdr>
        <w:spacing w:before="120" w:after="120"/>
        <w:ind w:left="0"/>
        <w:jc w:val="left"/>
        <w:rPr>
          <w:color w:val="000000"/>
          <w:sz w:val="24"/>
          <w:szCs w:val="24"/>
        </w:rPr>
      </w:pPr>
      <w:bookmarkStart w:id="28" w:name="_heading=h.23ckvvd" w:colFirst="0" w:colLast="0"/>
      <w:bookmarkEnd w:id="28"/>
    </w:p>
    <w:sectPr w:rsidR="00BE72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6700" w14:textId="77777777" w:rsidR="00681F13" w:rsidRDefault="00974D90">
      <w:pPr>
        <w:spacing w:after="0"/>
      </w:pPr>
      <w:r>
        <w:separator/>
      </w:r>
    </w:p>
  </w:endnote>
  <w:endnote w:type="continuationSeparator" w:id="0">
    <w:p w14:paraId="4B080ADC" w14:textId="77777777" w:rsidR="00681F13" w:rsidRDefault="00974D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1" w14:textId="77777777" w:rsidR="00BE72FD" w:rsidRDefault="00BE72FD">
    <w:pPr>
      <w:pBdr>
        <w:top w:val="nil"/>
        <w:left w:val="nil"/>
        <w:bottom w:val="nil"/>
        <w:right w:val="nil"/>
        <w:between w:val="nil"/>
      </w:pBdr>
      <w:tabs>
        <w:tab w:val="center" w:pos="4513"/>
        <w:tab w:val="right" w:pos="9026"/>
      </w:tabs>
      <w:spacing w:after="0"/>
      <w:ind w:firstLine="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687F5265" w:rsidR="00BE72FD" w:rsidRDefault="00AF3DBF">
    <w:pPr>
      <w:tabs>
        <w:tab w:val="center" w:pos="4513"/>
        <w:tab w:val="right" w:pos="9026"/>
      </w:tabs>
      <w:spacing w:after="0"/>
      <w:ind w:left="0"/>
      <w:rPr>
        <w:rFonts w:ascii="Calibri" w:eastAsia="Calibri" w:hAnsi="Calibri" w:cs="Calibri"/>
        <w:color w:val="A6A6A6"/>
      </w:rPr>
    </w:pPr>
    <w:r>
      <w:rPr>
        <w:rFonts w:ascii="Calibri" w:eastAsia="Calibri" w:hAnsi="Calibri" w:cs="Calibri"/>
        <w:color w:val="A6A6A6"/>
      </w:rPr>
      <w:tab/>
    </w:r>
  </w:p>
  <w:p w14:paraId="00000093" w14:textId="5FC0F150" w:rsidR="00BE72FD" w:rsidRDefault="00974D90">
    <w:pPr>
      <w:tabs>
        <w:tab w:val="center" w:pos="4513"/>
        <w:tab w:val="right" w:pos="9026"/>
      </w:tabs>
      <w:spacing w:after="0"/>
      <w:ind w:left="0"/>
      <w:rPr>
        <w:sz w:val="20"/>
        <w:szCs w:val="20"/>
      </w:rPr>
    </w:pPr>
    <w:r>
      <w:rPr>
        <w:sz w:val="20"/>
        <w:szCs w:val="20"/>
      </w:rPr>
      <w:t>RM6349: Income Generation from Estates &amp; Assets</w:t>
    </w:r>
  </w:p>
  <w:p w14:paraId="07F66195" w14:textId="73923B75" w:rsidR="0080405D" w:rsidRDefault="0080405D">
    <w:pPr>
      <w:tabs>
        <w:tab w:val="center" w:pos="4513"/>
        <w:tab w:val="right" w:pos="9026"/>
      </w:tabs>
      <w:spacing w:after="0"/>
      <w:ind w:left="0"/>
      <w:rPr>
        <w:sz w:val="20"/>
        <w:szCs w:val="20"/>
      </w:rPr>
    </w:pPr>
    <w:r>
      <w:rPr>
        <w:sz w:val="20"/>
        <w:szCs w:val="20"/>
      </w:rPr>
      <w:t>v1.0</w:t>
    </w:r>
  </w:p>
  <w:p w14:paraId="00000094" w14:textId="2FA9ED7B" w:rsidR="00BE72FD" w:rsidRPr="005B3F39" w:rsidRDefault="00AF3DBF" w:rsidP="0080405D">
    <w:pPr>
      <w:tabs>
        <w:tab w:val="center" w:pos="4513"/>
        <w:tab w:val="right" w:pos="9026"/>
      </w:tabs>
      <w:spacing w:after="0"/>
      <w:ind w:left="0"/>
      <w:rPr>
        <w:color w:val="000000"/>
        <w:sz w:val="14"/>
        <w:szCs w:val="16"/>
      </w:rPr>
    </w:pPr>
    <w:r>
      <w:rPr>
        <w:sz w:val="20"/>
        <w:szCs w:val="20"/>
      </w:rPr>
      <w:tab/>
    </w:r>
    <w:r w:rsidRPr="0080405D">
      <w:rPr>
        <w:sz w:val="20"/>
        <w:szCs w:val="16"/>
      </w:rPr>
      <w:fldChar w:fldCharType="begin"/>
    </w:r>
    <w:r w:rsidRPr="0080405D">
      <w:rPr>
        <w:sz w:val="20"/>
        <w:szCs w:val="16"/>
      </w:rPr>
      <w:instrText xml:space="preserve"> PAGE   \* MERGEFORMAT </w:instrText>
    </w:r>
    <w:r w:rsidRPr="0080405D">
      <w:rPr>
        <w:sz w:val="20"/>
        <w:szCs w:val="16"/>
      </w:rPr>
      <w:fldChar w:fldCharType="separate"/>
    </w:r>
    <w:r w:rsidR="005B3F39">
      <w:rPr>
        <w:noProof/>
        <w:sz w:val="20"/>
        <w:szCs w:val="16"/>
      </w:rPr>
      <w:t>8</w:t>
    </w:r>
    <w:r w:rsidRPr="0080405D">
      <w:rPr>
        <w:noProof/>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BE72FD" w:rsidRDefault="00974D90">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096" w14:textId="5ACFE095" w:rsidR="00BE72FD" w:rsidRDefault="00974D90">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sidR="005B3F39">
      <w:rPr>
        <w:noProof/>
        <w:color w:val="000000"/>
        <w:sz w:val="20"/>
        <w:szCs w:val="20"/>
      </w:rPr>
      <w:t>8</w:t>
    </w:r>
    <w:r>
      <w:rPr>
        <w:color w:val="000000"/>
        <w:sz w:val="20"/>
        <w:szCs w:val="20"/>
      </w:rPr>
      <w:fldChar w:fldCharType="end"/>
    </w:r>
    <w:r>
      <w:rPr>
        <w:color w:val="000000"/>
        <w:sz w:val="20"/>
        <w:szCs w:val="20"/>
      </w:rPr>
      <w:t>-</w:t>
    </w:r>
  </w:p>
  <w:p w14:paraId="00000097" w14:textId="77777777" w:rsidR="00BE72FD" w:rsidRDefault="00974D90">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6AD84" w14:textId="77777777" w:rsidR="00681F13" w:rsidRDefault="00974D90">
      <w:pPr>
        <w:spacing w:after="0"/>
      </w:pPr>
      <w:r>
        <w:separator/>
      </w:r>
    </w:p>
  </w:footnote>
  <w:footnote w:type="continuationSeparator" w:id="0">
    <w:p w14:paraId="4C669ABF" w14:textId="77777777" w:rsidR="00681F13" w:rsidRDefault="00974D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C" w14:textId="77777777" w:rsidR="00BE72FD" w:rsidRDefault="00BE72FD">
    <w:pPr>
      <w:pBdr>
        <w:top w:val="nil"/>
        <w:left w:val="nil"/>
        <w:bottom w:val="nil"/>
        <w:right w:val="nil"/>
        <w:between w:val="nil"/>
      </w:pBdr>
      <w:tabs>
        <w:tab w:val="center" w:pos="4513"/>
        <w:tab w:val="right" w:pos="9026"/>
      </w:tabs>
      <w:spacing w:after="0"/>
      <w:ind w:firstLine="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D" w14:textId="77777777" w:rsidR="00BE72FD" w:rsidRDefault="00974D90">
    <w:pPr>
      <w:pBdr>
        <w:top w:val="nil"/>
        <w:left w:val="nil"/>
        <w:bottom w:val="nil"/>
        <w:right w:val="nil"/>
        <w:between w:val="nil"/>
      </w:pBdr>
      <w:tabs>
        <w:tab w:val="center" w:pos="4513"/>
        <w:tab w:val="right" w:pos="9026"/>
      </w:tabs>
      <w:spacing w:after="0"/>
      <w:ind w:left="0"/>
      <w:rPr>
        <w:color w:val="000000"/>
        <w:sz w:val="20"/>
        <w:szCs w:val="20"/>
      </w:rPr>
    </w:pPr>
    <w:r>
      <w:rPr>
        <w:b/>
        <w:color w:val="000000"/>
        <w:sz w:val="20"/>
        <w:szCs w:val="20"/>
      </w:rPr>
      <w:t>Joint Schedule 8 (Guarantee)</w:t>
    </w:r>
  </w:p>
  <w:p w14:paraId="0000008E" w14:textId="77777777" w:rsidR="00BE72FD" w:rsidRDefault="00974D90">
    <w:pPr>
      <w:pBdr>
        <w:top w:val="nil"/>
        <w:left w:val="nil"/>
        <w:bottom w:val="nil"/>
        <w:right w:val="nil"/>
        <w:between w:val="nil"/>
      </w:pBdr>
      <w:tabs>
        <w:tab w:val="center" w:pos="4513"/>
        <w:tab w:val="right" w:pos="9026"/>
      </w:tabs>
      <w:spacing w:after="0"/>
      <w:ind w:left="0"/>
      <w:rPr>
        <w:color w:val="BFBFBF"/>
        <w:sz w:val="20"/>
        <w:szCs w:val="20"/>
      </w:rPr>
    </w:pPr>
    <w:r>
      <w:rPr>
        <w:color w:val="000000"/>
        <w:sz w:val="20"/>
        <w:szCs w:val="20"/>
      </w:rPr>
      <w:t>Crown Copyright 20</w:t>
    </w:r>
    <w:r>
      <w:rPr>
        <w:sz w:val="20"/>
        <w:szCs w:val="20"/>
      </w:rPr>
      <w:t>24</w:t>
    </w:r>
  </w:p>
  <w:p w14:paraId="0000008F" w14:textId="77777777" w:rsidR="00BE72FD" w:rsidRDefault="00BE72FD">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77777777" w:rsidR="00BE72FD" w:rsidRDefault="00BE72FD">
    <w:pPr>
      <w:pBdr>
        <w:top w:val="nil"/>
        <w:left w:val="nil"/>
        <w:bottom w:val="nil"/>
        <w:right w:val="nil"/>
        <w:between w:val="nil"/>
      </w:pBdr>
      <w:tabs>
        <w:tab w:val="center" w:pos="4513"/>
        <w:tab w:val="right" w:pos="9026"/>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240B"/>
    <w:multiLevelType w:val="multilevel"/>
    <w:tmpl w:val="CE88BF4C"/>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78438A"/>
    <w:multiLevelType w:val="multilevel"/>
    <w:tmpl w:val="79EE3A3C"/>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518A5B3D"/>
    <w:multiLevelType w:val="multilevel"/>
    <w:tmpl w:val="D5EC3A1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CFF3E1F"/>
    <w:multiLevelType w:val="multilevel"/>
    <w:tmpl w:val="D1A65578"/>
    <w:lvl w:ilvl="0">
      <w:start w:val="7"/>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15:restartNumberingAfterBreak="0">
    <w:nsid w:val="7934106C"/>
    <w:multiLevelType w:val="multilevel"/>
    <w:tmpl w:val="809C5DD0"/>
    <w:lvl w:ilvl="0">
      <w:start w:val="2"/>
      <w:numFmt w:val="decimal"/>
      <w:pStyle w:val="GPSL1CLAUSEHEADING"/>
      <w:lvlText w:val="%1"/>
      <w:lvlJc w:val="left"/>
      <w:pPr>
        <w:ind w:left="660" w:hanging="660"/>
      </w:pPr>
    </w:lvl>
    <w:lvl w:ilvl="1">
      <w:start w:val="1"/>
      <w:numFmt w:val="decimal"/>
      <w:pStyle w:val="GPSL2numberedclause"/>
      <w:lvlText w:val="%1.%2"/>
      <w:lvlJc w:val="left"/>
      <w:pPr>
        <w:ind w:left="1380" w:hanging="660"/>
      </w:pPr>
    </w:lvl>
    <w:lvl w:ilvl="2">
      <w:start w:val="15"/>
      <w:numFmt w:val="decimal"/>
      <w:pStyle w:val="GPSL3numberedclause"/>
      <w:lvlText w:val="%1.%2.%3"/>
      <w:lvlJc w:val="left"/>
      <w:pPr>
        <w:ind w:left="2160" w:hanging="720"/>
      </w:pPr>
    </w:lvl>
    <w:lvl w:ilvl="3">
      <w:start w:val="1"/>
      <w:numFmt w:val="decimal"/>
      <w:pStyle w:val="GPSL4numberedclause"/>
      <w:lvlText w:val="%1.%2.%3.%4"/>
      <w:lvlJc w:val="left"/>
      <w:pPr>
        <w:ind w:left="3240" w:hanging="1080"/>
      </w:pPr>
    </w:lvl>
    <w:lvl w:ilvl="4">
      <w:start w:val="1"/>
      <w:numFmt w:val="decimal"/>
      <w:pStyle w:val="GPSL5numberedclause"/>
      <w:lvlText w:val="%1.%2.%3.%4.%5"/>
      <w:lvlJc w:val="left"/>
      <w:pPr>
        <w:ind w:left="3960" w:hanging="1080"/>
      </w:pPr>
    </w:lvl>
    <w:lvl w:ilvl="5">
      <w:start w:val="1"/>
      <w:numFmt w:val="decimal"/>
      <w:pStyle w:val="GPSL6numbered"/>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FD"/>
    <w:rsid w:val="00167711"/>
    <w:rsid w:val="001B5DCE"/>
    <w:rsid w:val="005B3F39"/>
    <w:rsid w:val="00681F13"/>
    <w:rsid w:val="00774E03"/>
    <w:rsid w:val="0080405D"/>
    <w:rsid w:val="00974D90"/>
    <w:rsid w:val="00AF3DBF"/>
    <w:rsid w:val="00BE7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7F032"/>
  <w15:docId w15:val="{6031F41B-FF55-4FE8-91C0-5B2E876E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5"/>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5"/>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I8HOm5KzwuUP2wV/qWDmCIBEQ==">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6E8A40-2BD5-4C4C-B2F3-DE8BF101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2795</Words>
  <Characters>14597</Characters>
  <Application>Microsoft Office Word</Application>
  <DocSecurity>0</DocSecurity>
  <PresentationFormat/>
  <Lines>321</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8</cp:revision>
  <dcterms:created xsi:type="dcterms:W3CDTF">2024-02-08T11:09:00Z</dcterms:created>
  <dcterms:modified xsi:type="dcterms:W3CDTF">2024-06-28T09:54:00Z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90248625-1</vt:lpwstr>
  </property>
</Properties>
</file>