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77BB" w:rsidRDefault="00F63F3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00000002" w14:textId="77777777" w:rsidR="003277BB" w:rsidRDefault="003277BB">
      <w:pPr>
        <w:spacing w:after="0" w:line="259" w:lineRule="auto"/>
        <w:rPr>
          <w:rFonts w:ascii="Arial" w:eastAsia="Arial" w:hAnsi="Arial" w:cs="Arial"/>
          <w:b/>
          <w:sz w:val="36"/>
          <w:szCs w:val="36"/>
        </w:rPr>
      </w:pPr>
    </w:p>
    <w:p w14:paraId="00000003" w14:textId="77777777" w:rsidR="003277BB" w:rsidRDefault="00F63F3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04" w14:textId="77777777" w:rsidR="003277BB" w:rsidRDefault="003277BB">
      <w:pPr>
        <w:spacing w:after="0" w:line="259" w:lineRule="auto"/>
        <w:rPr>
          <w:rFonts w:ascii="Arial" w:eastAsia="Arial" w:hAnsi="Arial" w:cs="Arial"/>
          <w:b/>
          <w:sz w:val="24"/>
          <w:szCs w:val="24"/>
        </w:rPr>
      </w:pPr>
    </w:p>
    <w:p w14:paraId="00000005" w14:textId="77777777" w:rsidR="003277BB" w:rsidRDefault="003277BB">
      <w:pPr>
        <w:spacing w:after="0" w:line="259" w:lineRule="auto"/>
        <w:rPr>
          <w:rFonts w:ascii="Arial" w:eastAsia="Arial" w:hAnsi="Arial" w:cs="Arial"/>
          <w:b/>
          <w:sz w:val="24"/>
          <w:szCs w:val="24"/>
        </w:rPr>
      </w:pPr>
    </w:p>
    <w:p w14:paraId="00000006"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00000007" w14:textId="77777777" w:rsidR="003277BB" w:rsidRDefault="003277BB">
      <w:pPr>
        <w:spacing w:after="0" w:line="259" w:lineRule="auto"/>
        <w:rPr>
          <w:rFonts w:ascii="Arial" w:eastAsia="Arial" w:hAnsi="Arial" w:cs="Arial"/>
          <w:sz w:val="24"/>
          <w:szCs w:val="24"/>
        </w:rPr>
      </w:pPr>
    </w:p>
    <w:p w14:paraId="00000008" w14:textId="77777777" w:rsidR="003277BB" w:rsidRDefault="00F63F3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00000009"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0A" w14:textId="77777777" w:rsidR="003277BB" w:rsidRDefault="00F63F3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0000000B" w14:textId="77777777" w:rsidR="003277BB" w:rsidRDefault="003277BB">
      <w:pPr>
        <w:spacing w:after="0" w:line="259" w:lineRule="auto"/>
        <w:rPr>
          <w:rFonts w:ascii="Arial" w:eastAsia="Arial" w:hAnsi="Arial" w:cs="Arial"/>
          <w:sz w:val="24"/>
          <w:szCs w:val="24"/>
        </w:rPr>
      </w:pPr>
    </w:p>
    <w:p w14:paraId="0000000C" w14:textId="77777777" w:rsidR="003277BB" w:rsidRDefault="00F63F3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000000D" w14:textId="77777777" w:rsidR="003277BB" w:rsidRDefault="00F63F3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0000000E" w14:textId="77777777" w:rsidR="003277BB" w:rsidRDefault="00F63F3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0000000F" w14:textId="77777777" w:rsidR="003277BB" w:rsidRDefault="00F63F3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000010" w14:textId="77777777" w:rsidR="003277BB" w:rsidRDefault="00F63F3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000011" w14:textId="77777777" w:rsidR="003277BB" w:rsidRDefault="003277BB">
      <w:pPr>
        <w:rPr>
          <w:rFonts w:ascii="Arial" w:eastAsia="Arial" w:hAnsi="Arial" w:cs="Arial"/>
          <w:sz w:val="24"/>
          <w:szCs w:val="24"/>
        </w:rPr>
      </w:pPr>
    </w:p>
    <w:p w14:paraId="00000012" w14:textId="77777777" w:rsidR="003277BB" w:rsidRDefault="00F63F3D">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00000013" w14:textId="77777777" w:rsidR="003277BB" w:rsidRDefault="003277BB">
      <w:pPr>
        <w:spacing w:after="0" w:line="259" w:lineRule="auto"/>
        <w:rPr>
          <w:rFonts w:ascii="Arial" w:eastAsia="Arial" w:hAnsi="Arial" w:cs="Arial"/>
          <w:sz w:val="24"/>
          <w:szCs w:val="24"/>
        </w:rPr>
      </w:pPr>
    </w:p>
    <w:p w14:paraId="00000014" w14:textId="77777777" w:rsidR="003277BB" w:rsidRDefault="00F63F3D">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14:paraId="00000015" w14:textId="77777777" w:rsidR="003277BB" w:rsidRDefault="003277BB">
      <w:pPr>
        <w:spacing w:after="0" w:line="259" w:lineRule="auto"/>
        <w:rPr>
          <w:rFonts w:ascii="Arial" w:eastAsia="Arial" w:hAnsi="Arial" w:cs="Arial"/>
          <w:b/>
          <w:sz w:val="24"/>
          <w:szCs w:val="24"/>
        </w:rPr>
      </w:pPr>
    </w:p>
    <w:p w14:paraId="00000016"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14:paraId="00000017" w14:textId="77777777" w:rsidR="003277BB" w:rsidRDefault="003277BB">
      <w:pPr>
        <w:spacing w:after="0" w:line="259" w:lineRule="auto"/>
        <w:rPr>
          <w:rFonts w:ascii="Arial" w:eastAsia="Arial" w:hAnsi="Arial" w:cs="Arial"/>
          <w:sz w:val="24"/>
          <w:szCs w:val="24"/>
        </w:rPr>
      </w:pPr>
    </w:p>
    <w:p w14:paraId="00000018"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19" w14:textId="77777777" w:rsidR="003277BB" w:rsidRDefault="003277BB">
      <w:pPr>
        <w:spacing w:after="0" w:line="259" w:lineRule="auto"/>
        <w:rPr>
          <w:rFonts w:ascii="Arial" w:eastAsia="Arial" w:hAnsi="Arial" w:cs="Arial"/>
          <w:sz w:val="24"/>
          <w:szCs w:val="24"/>
        </w:rPr>
      </w:pPr>
    </w:p>
    <w:p w14:paraId="0000001A" w14:textId="77777777" w:rsidR="003277BB" w:rsidRDefault="00F63F3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0000001B" w14:textId="77777777" w:rsidR="003277BB" w:rsidRDefault="00F63F3D">
      <w:pPr>
        <w:spacing w:after="0" w:line="259" w:lineRule="auto"/>
        <w:jc w:val="both"/>
        <w:rPr>
          <w:rFonts w:ascii="Arial" w:eastAsia="Arial" w:hAnsi="Arial" w:cs="Arial"/>
          <w:sz w:val="24"/>
          <w:szCs w:val="24"/>
        </w:rPr>
      </w:pPr>
      <w:r>
        <w:rPr>
          <w:rFonts w:ascii="Arial" w:eastAsia="Arial" w:hAnsi="Arial" w:cs="Arial"/>
          <w:sz w:val="24"/>
          <w:szCs w:val="24"/>
        </w:rPr>
        <w:t>It is issued under the Framework Contract with the reference number [</w:t>
      </w:r>
      <w:r>
        <w:rPr>
          <w:rFonts w:ascii="Arial" w:eastAsia="Arial" w:hAnsi="Arial" w:cs="Arial"/>
          <w:b/>
          <w:sz w:val="24"/>
          <w:szCs w:val="24"/>
          <w:highlight w:val="yellow"/>
        </w:rPr>
        <w:t>Insert</w:t>
      </w:r>
      <w:r>
        <w:rPr>
          <w:rFonts w:ascii="Arial" w:eastAsia="Arial" w:hAnsi="Arial" w:cs="Arial"/>
          <w:sz w:val="24"/>
          <w:szCs w:val="24"/>
        </w:rPr>
        <w:t xml:space="preserve"> Framework Contract Reference number] for the provision of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name of goods and services].   </w:t>
      </w:r>
    </w:p>
    <w:p w14:paraId="0000001C" w14:textId="77777777" w:rsidR="003277BB" w:rsidRDefault="003277BB">
      <w:pPr>
        <w:tabs>
          <w:tab w:val="left" w:pos="2257"/>
        </w:tabs>
        <w:spacing w:after="0" w:line="259" w:lineRule="auto"/>
        <w:rPr>
          <w:rFonts w:ascii="Arial" w:eastAsia="Arial" w:hAnsi="Arial" w:cs="Arial"/>
          <w:b/>
          <w:sz w:val="24"/>
          <w:szCs w:val="24"/>
        </w:rPr>
      </w:pPr>
      <w:bookmarkStart w:id="0" w:name="_heading=h.30j0zll" w:colFirst="0" w:colLast="0"/>
      <w:bookmarkEnd w:id="0"/>
    </w:p>
    <w:p w14:paraId="0000001D" w14:textId="77777777" w:rsidR="003277BB" w:rsidRDefault="00F63F3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00001E" w14:textId="77777777" w:rsidR="003277BB" w:rsidRDefault="00F63F3D">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highlight w:val="yellow"/>
        </w:rPr>
        <w:lastRenderedPageBreak/>
        <w:t>[Insert</w:t>
      </w:r>
      <w:r>
        <w:rPr>
          <w:rFonts w:ascii="Arial" w:eastAsia="Arial" w:hAnsi="Arial" w:cs="Arial"/>
          <w:sz w:val="24"/>
          <w:szCs w:val="24"/>
        </w:rPr>
        <w:t xml:space="preserve"> the relevant lot number from the options below]</w:t>
      </w:r>
    </w:p>
    <w:p w14:paraId="0000001F" w14:textId="77777777" w:rsidR="003277BB" w:rsidRDefault="003277BB">
      <w:pPr>
        <w:spacing w:after="0" w:line="259" w:lineRule="auto"/>
        <w:rPr>
          <w:rFonts w:ascii="Arial" w:eastAsia="Arial" w:hAnsi="Arial" w:cs="Arial"/>
          <w:sz w:val="24"/>
          <w:szCs w:val="24"/>
        </w:rPr>
      </w:pPr>
      <w:bookmarkStart w:id="1" w:name="_heading=h.gjdgxs" w:colFirst="0" w:colLast="0"/>
      <w:bookmarkEnd w:id="1"/>
    </w:p>
    <w:p w14:paraId="00000020"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[Lot 1 – Internal commercial advertising - static, digital, large and small format]</w:t>
      </w:r>
    </w:p>
    <w:p w14:paraId="00000021" w14:textId="77777777" w:rsidR="003277BB" w:rsidRDefault="003277BB">
      <w:pPr>
        <w:spacing w:after="0" w:line="259" w:lineRule="auto"/>
        <w:rPr>
          <w:rFonts w:ascii="Arial" w:eastAsia="Arial" w:hAnsi="Arial" w:cs="Arial"/>
          <w:sz w:val="24"/>
          <w:szCs w:val="24"/>
        </w:rPr>
      </w:pPr>
    </w:p>
    <w:p w14:paraId="00000022"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[Lot 2 – External commercial advertising - static, digital, large and small format]</w:t>
      </w:r>
    </w:p>
    <w:p w14:paraId="00000023" w14:textId="77777777" w:rsidR="003277BB" w:rsidRDefault="003277BB">
      <w:pPr>
        <w:spacing w:after="0" w:line="259" w:lineRule="auto"/>
        <w:rPr>
          <w:rFonts w:ascii="Arial" w:eastAsia="Arial" w:hAnsi="Arial" w:cs="Arial"/>
          <w:sz w:val="24"/>
          <w:szCs w:val="24"/>
        </w:rPr>
      </w:pPr>
    </w:p>
    <w:p w14:paraId="00000024"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[Lot 3 – Commercial experiential advertising – including exhibitions, sampling and promotions]</w:t>
      </w:r>
    </w:p>
    <w:p w14:paraId="00000025" w14:textId="77777777" w:rsidR="003277BB" w:rsidRDefault="003277BB">
      <w:pPr>
        <w:spacing w:after="0" w:line="259" w:lineRule="auto"/>
        <w:rPr>
          <w:rFonts w:ascii="Arial" w:eastAsia="Arial" w:hAnsi="Arial" w:cs="Arial"/>
          <w:sz w:val="24"/>
          <w:szCs w:val="24"/>
        </w:rPr>
      </w:pPr>
    </w:p>
    <w:p w14:paraId="00000026"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[Lot 4 – Commercial advertising - Combined Lots 1, 2 and 3, involving a combination of Services that fall within the scope of Lots [1] and [2] and [3] [</w:t>
      </w:r>
      <w:r>
        <w:rPr>
          <w:rFonts w:ascii="Arial" w:eastAsia="Arial" w:hAnsi="Arial" w:cs="Arial"/>
          <w:b/>
          <w:sz w:val="24"/>
          <w:szCs w:val="24"/>
          <w:highlight w:val="yellow"/>
        </w:rPr>
        <w:t>Insert</w:t>
      </w:r>
      <w:r>
        <w:rPr>
          <w:rFonts w:ascii="Arial" w:eastAsia="Arial" w:hAnsi="Arial" w:cs="Arial"/>
          <w:sz w:val="24"/>
          <w:szCs w:val="24"/>
        </w:rPr>
        <w:t xml:space="preserve"> the Lot numbers that are covered under the scope of the Call-Off Contract]</w:t>
      </w:r>
    </w:p>
    <w:p w14:paraId="00000027" w14:textId="77777777" w:rsidR="003277BB" w:rsidRDefault="003277BB">
      <w:pPr>
        <w:spacing w:after="0" w:line="259" w:lineRule="auto"/>
        <w:rPr>
          <w:rFonts w:ascii="Arial" w:eastAsia="Arial" w:hAnsi="Arial" w:cs="Arial"/>
          <w:sz w:val="24"/>
          <w:szCs w:val="24"/>
        </w:rPr>
      </w:pPr>
    </w:p>
    <w:p w14:paraId="00000028" w14:textId="77777777" w:rsidR="003277BB" w:rsidRDefault="00F63F3D">
      <w:pPr>
        <w:spacing w:after="0" w:line="259" w:lineRule="auto"/>
        <w:rPr>
          <w:rFonts w:ascii="Arial" w:eastAsia="Arial" w:hAnsi="Arial" w:cs="Arial"/>
          <w:b/>
          <w:sz w:val="24"/>
          <w:szCs w:val="24"/>
        </w:rPr>
      </w:pPr>
      <w:r>
        <w:rPr>
          <w:rFonts w:ascii="Arial" w:eastAsia="Arial" w:hAnsi="Arial" w:cs="Arial"/>
          <w:sz w:val="24"/>
          <w:szCs w:val="24"/>
        </w:rPr>
        <w:t>[Lot 5 – End to end car parking management]</w:t>
      </w:r>
      <w:r>
        <w:br w:type="page"/>
      </w:r>
    </w:p>
    <w:p w14:paraId="00000029" w14:textId="77777777" w:rsidR="003277BB" w:rsidRDefault="00F63F3D">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0000002A" w14:textId="77777777" w:rsidR="003277BB" w:rsidRDefault="00F63F3D">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000002B" w14:textId="77777777" w:rsidR="003277BB" w:rsidRDefault="00F63F3D">
      <w:pPr>
        <w:numPr>
          <w:ilvl w:val="0"/>
          <w:numId w:val="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2C" w14:textId="07FEB9E2" w:rsidR="003277BB" w:rsidRDefault="00617DA6">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w:t>
      </w:r>
      <w:r w:rsidR="00F63F3D">
        <w:rPr>
          <w:rFonts w:ascii="Arial" w:eastAsia="Arial" w:hAnsi="Arial" w:cs="Arial"/>
          <w:color w:val="000000"/>
          <w:sz w:val="24"/>
          <w:szCs w:val="24"/>
        </w:rPr>
        <w:t>[</w:t>
      </w:r>
      <w:r w:rsidR="00F63F3D">
        <w:rPr>
          <w:rFonts w:ascii="Arial" w:eastAsia="Arial" w:hAnsi="Arial" w:cs="Arial"/>
          <w:color w:val="000000"/>
        </w:rPr>
        <w:t>RM6349]</w:t>
      </w:r>
    </w:p>
    <w:p w14:paraId="0000002D" w14:textId="77777777" w:rsidR="003277BB" w:rsidRDefault="00F63F3D">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000002E" w14:textId="77777777" w:rsidR="003277BB" w:rsidRDefault="00F63F3D">
      <w:pPr>
        <w:keepNext/>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2F" w14:textId="77777777" w:rsidR="003277BB" w:rsidRDefault="003277B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30" w14:textId="77777777" w:rsidR="003277BB" w:rsidRDefault="00F63F3D">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0000031" w14:textId="77777777" w:rsidR="003277BB" w:rsidRDefault="003277B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32" w14:textId="77777777" w:rsidR="003277BB" w:rsidRDefault="00F63F3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color w:val="000000"/>
        </w:rPr>
        <w:t>RM6349</w:t>
      </w:r>
    </w:p>
    <w:p w14:paraId="00000033"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34"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35"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36"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7"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8"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9"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3A"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B"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3C"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14:paraId="0000003D" w14:textId="77777777" w:rsidR="003277BB" w:rsidRDefault="003277B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0000003E" w14:textId="77777777" w:rsidR="003277BB" w:rsidRDefault="00F63F3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3F"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40"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41"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42"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p>
    <w:p w14:paraId="00000043"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4"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5"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p>
    <w:p w14:paraId="00000046"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 </w:t>
      </w:r>
    </w:p>
    <w:p w14:paraId="00000047"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14:paraId="00000048" w14:textId="7161313C" w:rsidR="003277BB" w:rsidRPr="00E63D67"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sidRPr="00E63D67">
        <w:rPr>
          <w:rFonts w:ascii="Arial" w:eastAsia="Arial" w:hAnsi="Arial" w:cs="Arial"/>
          <w:color w:val="000000"/>
          <w:sz w:val="24"/>
          <w:szCs w:val="24"/>
        </w:rPr>
        <w:t>Call-Off Schedule 1</w:t>
      </w:r>
      <w:r w:rsidR="00E63D67" w:rsidRPr="00E63D67">
        <w:rPr>
          <w:rFonts w:ascii="Arial" w:eastAsia="Arial" w:hAnsi="Arial" w:cs="Arial"/>
          <w:color w:val="000000"/>
          <w:sz w:val="24"/>
          <w:szCs w:val="24"/>
        </w:rPr>
        <w:t xml:space="preserve">1 Not used </w:t>
      </w:r>
      <w:r w:rsidR="00E63D67" w:rsidRPr="00E63D67">
        <w:rPr>
          <w:rFonts w:ascii="Arial" w:eastAsia="Arial" w:hAnsi="Arial" w:cs="Arial"/>
          <w:color w:val="000000"/>
          <w:sz w:val="24"/>
          <w:szCs w:val="24"/>
        </w:rPr>
        <w:tab/>
      </w:r>
      <w:r w:rsidR="00E63D67" w:rsidRPr="00E63D67">
        <w:rPr>
          <w:rFonts w:ascii="Arial" w:eastAsia="Arial" w:hAnsi="Arial" w:cs="Arial"/>
          <w:color w:val="000000"/>
          <w:sz w:val="24"/>
          <w:szCs w:val="24"/>
        </w:rPr>
        <w:tab/>
      </w:r>
      <w:r w:rsidR="00E63D67" w:rsidRPr="00E63D67">
        <w:rPr>
          <w:rFonts w:ascii="Arial" w:eastAsia="Arial" w:hAnsi="Arial" w:cs="Arial"/>
          <w:color w:val="000000"/>
          <w:sz w:val="24"/>
          <w:szCs w:val="24"/>
        </w:rPr>
        <w:tab/>
        <w:t xml:space="preserve">  </w:t>
      </w:r>
      <w:r w:rsidR="00E63D67" w:rsidRPr="00E63D67">
        <w:rPr>
          <w:rFonts w:ascii="Arial" w:eastAsia="Arial" w:hAnsi="Arial" w:cs="Arial"/>
          <w:color w:val="000000"/>
          <w:sz w:val="24"/>
          <w:szCs w:val="24"/>
        </w:rPr>
        <w:tab/>
        <w:t xml:space="preserve">  </w:t>
      </w:r>
    </w:p>
    <w:p w14:paraId="00000049"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A"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B"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C"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D"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16 Not used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4E"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F"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0"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1"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00000052"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3" w14:textId="7889CC34"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22 Not </w:t>
      </w:r>
      <w:r w:rsidR="00E63D67">
        <w:rPr>
          <w:rFonts w:ascii="Arial" w:eastAsia="Arial" w:hAnsi="Arial" w:cs="Arial"/>
          <w:color w:val="000000"/>
          <w:sz w:val="24"/>
          <w:szCs w:val="24"/>
        </w:rPr>
        <w:t>u</w:t>
      </w:r>
      <w:r>
        <w:rPr>
          <w:rFonts w:ascii="Arial" w:eastAsia="Arial" w:hAnsi="Arial" w:cs="Arial"/>
          <w:color w:val="000000"/>
          <w:sz w:val="24"/>
          <w:szCs w:val="24"/>
        </w:rPr>
        <w:t>sed</w:t>
      </w:r>
    </w:p>
    <w:p w14:paraId="00000054"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ab/>
        <w:t xml:space="preserve"> </w:t>
      </w:r>
      <w:r>
        <w:rPr>
          <w:rFonts w:ascii="Arial" w:eastAsia="Arial" w:hAnsi="Arial" w:cs="Arial"/>
          <w:color w:val="000000"/>
          <w:sz w:val="24"/>
          <w:szCs w:val="24"/>
          <w:highlight w:val="yellow"/>
        </w:rPr>
        <w:t>]</w:t>
      </w:r>
    </w:p>
    <w:p w14:paraId="00000055"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24 (Corporate Resolution Planning                  ]</w:t>
      </w:r>
    </w:p>
    <w:p w14:paraId="00000056" w14:textId="77777777" w:rsidR="003277BB" w:rsidRDefault="003277BB">
      <w:pPr>
        <w:pBdr>
          <w:top w:val="nil"/>
          <w:left w:val="nil"/>
          <w:bottom w:val="nil"/>
          <w:right w:val="nil"/>
          <w:between w:val="nil"/>
        </w:pBdr>
        <w:spacing w:after="0" w:line="259" w:lineRule="auto"/>
        <w:ind w:left="1440"/>
        <w:rPr>
          <w:rFonts w:ascii="Arial" w:eastAsia="Arial" w:hAnsi="Arial" w:cs="Arial"/>
          <w:sz w:val="24"/>
          <w:szCs w:val="24"/>
          <w:highlight w:val="yellow"/>
        </w:rPr>
      </w:pPr>
    </w:p>
    <w:p w14:paraId="00000057" w14:textId="77777777" w:rsidR="003277BB" w:rsidRDefault="00F63F3D">
      <w:pPr>
        <w:pBdr>
          <w:top w:val="nil"/>
          <w:left w:val="nil"/>
          <w:bottom w:val="nil"/>
          <w:right w:val="nil"/>
          <w:between w:val="nil"/>
        </w:pBdr>
        <w:spacing w:after="0" w:line="259" w:lineRule="auto"/>
        <w:ind w:left="1440"/>
        <w:rPr>
          <w:rFonts w:ascii="Arial" w:eastAsia="Arial" w:hAnsi="Arial" w:cs="Arial"/>
          <w:sz w:val="24"/>
          <w:szCs w:val="24"/>
          <w:highlight w:val="yellow"/>
        </w:rPr>
      </w:pPr>
      <w:r>
        <w:rPr>
          <w:rFonts w:ascii="Arial" w:eastAsia="Arial" w:hAnsi="Arial" w:cs="Arial"/>
          <w:sz w:val="24"/>
          <w:szCs w:val="24"/>
          <w:highlight w:val="yellow"/>
        </w:rPr>
        <w:t xml:space="preserve">[Insert </w:t>
      </w:r>
      <w:r>
        <w:rPr>
          <w:rFonts w:ascii="Arial" w:eastAsia="Arial" w:hAnsi="Arial" w:cs="Arial"/>
          <w:sz w:val="24"/>
          <w:szCs w:val="24"/>
        </w:rPr>
        <w:t>one of the following options depending on whether the Call-Off Contract is being awarded under Lots 1 to 4 or Lot 5]</w:t>
      </w:r>
      <w:r>
        <w:rPr>
          <w:rFonts w:ascii="Arial" w:eastAsia="Arial" w:hAnsi="Arial" w:cs="Arial"/>
          <w:sz w:val="24"/>
          <w:szCs w:val="24"/>
          <w:highlight w:val="yellow"/>
        </w:rPr>
        <w:t xml:space="preserve"> </w:t>
      </w:r>
    </w:p>
    <w:p w14:paraId="00000058" w14:textId="77777777" w:rsidR="003277BB" w:rsidRDefault="003277BB">
      <w:pPr>
        <w:pBdr>
          <w:top w:val="nil"/>
          <w:left w:val="nil"/>
          <w:bottom w:val="nil"/>
          <w:right w:val="nil"/>
          <w:between w:val="nil"/>
        </w:pBdr>
        <w:spacing w:after="0" w:line="259" w:lineRule="auto"/>
        <w:ind w:left="1440"/>
        <w:rPr>
          <w:rFonts w:ascii="Arial" w:eastAsia="Arial" w:hAnsi="Arial" w:cs="Arial"/>
          <w:sz w:val="24"/>
          <w:szCs w:val="24"/>
          <w:highlight w:val="yellow"/>
        </w:rPr>
      </w:pPr>
    </w:p>
    <w:p w14:paraId="00000059"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25 (Special Schedule – Lots 1 to 4)]</w:t>
      </w:r>
    </w:p>
    <w:p w14:paraId="0000005A" w14:textId="77777777" w:rsidR="003277BB" w:rsidRDefault="00F63F3D">
      <w:pPr>
        <w:numPr>
          <w:ilvl w:val="1"/>
          <w:numId w:val="1"/>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26 (Special Schedule – Lot 5)]</w:t>
      </w:r>
    </w:p>
    <w:p w14:paraId="0000005B" w14:textId="77777777" w:rsidR="003277BB" w:rsidRDefault="003277BB">
      <w:pPr>
        <w:pBdr>
          <w:top w:val="nil"/>
          <w:left w:val="nil"/>
          <w:bottom w:val="nil"/>
          <w:right w:val="nil"/>
          <w:between w:val="nil"/>
        </w:pBdr>
        <w:spacing w:after="0" w:line="259" w:lineRule="auto"/>
        <w:ind w:left="1440"/>
        <w:rPr>
          <w:rFonts w:ascii="Arial" w:eastAsia="Arial" w:hAnsi="Arial" w:cs="Arial"/>
          <w:sz w:val="24"/>
          <w:szCs w:val="24"/>
          <w:highlight w:val="yellow"/>
        </w:rPr>
      </w:pPr>
    </w:p>
    <w:p w14:paraId="0000005C" w14:textId="77777777" w:rsidR="003277BB" w:rsidRDefault="00F63F3D">
      <w:pPr>
        <w:keepNext/>
        <w:pBdr>
          <w:top w:val="nil"/>
          <w:left w:val="nil"/>
          <w:bottom w:val="nil"/>
          <w:right w:val="nil"/>
          <w:between w:val="nil"/>
        </w:pBdr>
        <w:spacing w:after="0" w:line="259" w:lineRule="auto"/>
        <w:ind w:left="144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please note that Call-Off Schedule 25 or Call-Off Schedule 26 (as applicable) will need to be reviewed and populated/updated by the Buyer to reflect the Buyer's specific requirements, in particular in relation to the points that are highlighted by way of guidance notes within the relevant Call-Off Schedule.]</w:t>
      </w:r>
    </w:p>
    <w:p w14:paraId="0000005D" w14:textId="77777777" w:rsidR="003277BB" w:rsidRDefault="003277BB">
      <w:pPr>
        <w:pBdr>
          <w:top w:val="nil"/>
          <w:left w:val="nil"/>
          <w:bottom w:val="nil"/>
          <w:right w:val="nil"/>
          <w:between w:val="nil"/>
        </w:pBdr>
        <w:spacing w:after="0" w:line="259" w:lineRule="auto"/>
        <w:ind w:left="1440"/>
        <w:rPr>
          <w:rFonts w:ascii="Arial" w:eastAsia="Arial" w:hAnsi="Arial" w:cs="Arial"/>
          <w:sz w:val="24"/>
          <w:szCs w:val="24"/>
          <w:highlight w:val="yellow"/>
        </w:rPr>
      </w:pPr>
    </w:p>
    <w:p w14:paraId="0000005E" w14:textId="77777777" w:rsidR="003277BB" w:rsidRDefault="00F63F3D">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5F" w14:textId="77777777" w:rsidR="003277BB" w:rsidRDefault="00F63F3D">
      <w:pPr>
        <w:numPr>
          <w:ilvl w:val="0"/>
          <w:numId w:val="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Pr>
          <w:rFonts w:ascii="Arial" w:eastAsia="Arial" w:hAnsi="Arial" w:cs="Arial"/>
          <w:color w:val="000000"/>
        </w:rPr>
        <w:t>RM6349</w:t>
      </w:r>
    </w:p>
    <w:p w14:paraId="00000060" w14:textId="77777777" w:rsidR="003277BB" w:rsidRDefault="00F63F3D">
      <w:pPr>
        <w:numPr>
          <w:ilvl w:val="0"/>
          <w:numId w:val="6"/>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14:paraId="00000061" w14:textId="77777777" w:rsidR="003277BB" w:rsidRDefault="003277BB">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62"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63" w14:textId="77777777" w:rsidR="003277BB" w:rsidRDefault="003277BB">
      <w:pPr>
        <w:tabs>
          <w:tab w:val="left" w:pos="2257"/>
        </w:tabs>
        <w:spacing w:after="0" w:line="259" w:lineRule="auto"/>
        <w:rPr>
          <w:rFonts w:ascii="Arial" w:eastAsia="Arial" w:hAnsi="Arial" w:cs="Arial"/>
          <w:sz w:val="24"/>
          <w:szCs w:val="24"/>
        </w:rPr>
      </w:pPr>
    </w:p>
    <w:p w14:paraId="00000064"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000065"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0000066"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w:t>
      </w:r>
      <w:proofErr w:type="gramStart"/>
      <w:r>
        <w:rPr>
          <w:rFonts w:ascii="Arial" w:eastAsia="Arial" w:hAnsi="Arial" w:cs="Arial"/>
          <w:sz w:val="24"/>
          <w:szCs w:val="24"/>
        </w:rPr>
        <w:t>Off</w:t>
      </w:r>
      <w:proofErr w:type="gramEnd"/>
      <w:r>
        <w:rPr>
          <w:rFonts w:ascii="Arial" w:eastAsia="Arial" w:hAnsi="Arial" w:cs="Arial"/>
          <w:sz w:val="24"/>
          <w:szCs w:val="24"/>
        </w:rPr>
        <w:t xml:space="preserve"> Schedule</w:t>
      </w:r>
      <w:bookmarkStart w:id="2" w:name="bookmark=id.30j0zll" w:colFirst="0" w:colLast="0"/>
      <w:bookmarkEnd w:id="2"/>
      <w:r>
        <w:rPr>
          <w:rFonts w:ascii="Arial" w:eastAsia="Arial" w:hAnsi="Arial" w:cs="Arial"/>
          <w:sz w:val="24"/>
          <w:szCs w:val="24"/>
        </w:rPr>
        <w:t>s; or none]</w:t>
      </w:r>
    </w:p>
    <w:p w14:paraId="00000067"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68"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69" w14:textId="77777777" w:rsidR="003277BB" w:rsidRDefault="00F63F3D">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000006A" w14:textId="77777777" w:rsidR="003277BB" w:rsidRDefault="00F63F3D">
      <w:pPr>
        <w:spacing w:after="0"/>
        <w:ind w:right="936"/>
        <w:rPr>
          <w:rFonts w:ascii="Arial" w:eastAsia="Arial" w:hAnsi="Arial" w:cs="Arial"/>
          <w:sz w:val="24"/>
          <w:szCs w:val="24"/>
        </w:rPr>
      </w:pPr>
      <w:r>
        <w:rPr>
          <w:rFonts w:ascii="Arial" w:eastAsia="Arial" w:hAnsi="Arial" w:cs="Arial"/>
          <w:sz w:val="24"/>
          <w:szCs w:val="24"/>
        </w:rPr>
        <w:t>[None]</w:t>
      </w:r>
    </w:p>
    <w:p w14:paraId="0000006B" w14:textId="77777777" w:rsidR="003277BB" w:rsidRDefault="003277BB">
      <w:pPr>
        <w:spacing w:after="0" w:line="259" w:lineRule="auto"/>
        <w:rPr>
          <w:rFonts w:ascii="Arial" w:eastAsia="Arial" w:hAnsi="Arial" w:cs="Arial"/>
          <w:b/>
          <w:sz w:val="24"/>
          <w:szCs w:val="24"/>
        </w:rPr>
      </w:pPr>
    </w:p>
    <w:p w14:paraId="0000006C"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Day Month Year]</w:t>
      </w:r>
    </w:p>
    <w:p w14:paraId="0000006D" w14:textId="77777777" w:rsidR="003277BB" w:rsidRDefault="003277BB">
      <w:pPr>
        <w:spacing w:after="0" w:line="259" w:lineRule="auto"/>
        <w:rPr>
          <w:rFonts w:ascii="Arial" w:eastAsia="Arial" w:hAnsi="Arial" w:cs="Arial"/>
          <w:sz w:val="24"/>
          <w:szCs w:val="24"/>
        </w:rPr>
      </w:pPr>
    </w:p>
    <w:p w14:paraId="0000006E"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Day Month Year]</w:t>
      </w:r>
    </w:p>
    <w:p w14:paraId="0000006F" w14:textId="77777777" w:rsidR="003277BB" w:rsidRDefault="003277BB">
      <w:pPr>
        <w:spacing w:after="0" w:line="259" w:lineRule="auto"/>
        <w:rPr>
          <w:rFonts w:ascii="Arial" w:eastAsia="Arial" w:hAnsi="Arial" w:cs="Arial"/>
          <w:sz w:val="24"/>
          <w:szCs w:val="24"/>
        </w:rPr>
      </w:pPr>
    </w:p>
    <w:p w14:paraId="00000070"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14:paraId="00000071" w14:textId="77777777" w:rsidR="003277BB" w:rsidRDefault="003277BB">
      <w:pPr>
        <w:spacing w:after="0" w:line="259" w:lineRule="auto"/>
        <w:rPr>
          <w:rFonts w:ascii="Arial" w:eastAsia="Arial" w:hAnsi="Arial" w:cs="Arial"/>
          <w:sz w:val="24"/>
          <w:szCs w:val="24"/>
        </w:rPr>
      </w:pPr>
    </w:p>
    <w:p w14:paraId="00000072"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73" w14:textId="77777777" w:rsidR="003277BB" w:rsidRDefault="00F63F3D">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00000074" w14:textId="77777777" w:rsidR="003277BB" w:rsidRDefault="003277BB">
      <w:pPr>
        <w:tabs>
          <w:tab w:val="left" w:pos="2257"/>
        </w:tabs>
        <w:spacing w:after="0" w:line="259" w:lineRule="auto"/>
        <w:rPr>
          <w:rFonts w:ascii="Arial" w:eastAsia="Arial" w:hAnsi="Arial" w:cs="Arial"/>
          <w:b/>
          <w:sz w:val="24"/>
          <w:szCs w:val="24"/>
        </w:rPr>
      </w:pPr>
    </w:p>
    <w:p w14:paraId="00000075" w14:textId="47B50A56"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0000076"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77"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14:paraId="00000078" w14:textId="77777777" w:rsidR="003277BB" w:rsidRDefault="003277BB">
      <w:pPr>
        <w:tabs>
          <w:tab w:val="left" w:pos="2257"/>
        </w:tabs>
        <w:spacing w:after="0" w:line="259" w:lineRule="auto"/>
        <w:rPr>
          <w:rFonts w:ascii="Arial" w:eastAsia="Arial" w:hAnsi="Arial" w:cs="Arial"/>
          <w:sz w:val="24"/>
          <w:szCs w:val="24"/>
        </w:rPr>
      </w:pPr>
    </w:p>
    <w:p w14:paraId="00000079" w14:textId="77777777" w:rsidR="003277BB" w:rsidRDefault="00F63F3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w:t>
      </w:r>
    </w:p>
    <w:p w14:paraId="0000007A" w14:textId="77777777" w:rsidR="003277BB" w:rsidRDefault="003277BB">
      <w:pPr>
        <w:tabs>
          <w:tab w:val="left" w:pos="2257"/>
        </w:tabs>
        <w:spacing w:after="0" w:line="259" w:lineRule="auto"/>
        <w:rPr>
          <w:rFonts w:ascii="Arial" w:eastAsia="Arial" w:hAnsi="Arial" w:cs="Arial"/>
          <w:b/>
          <w:sz w:val="24"/>
          <w:szCs w:val="24"/>
        </w:rPr>
      </w:pPr>
    </w:p>
    <w:p w14:paraId="0000007B" w14:textId="77777777" w:rsidR="003277BB" w:rsidRDefault="00F63F3D">
      <w:pPr>
        <w:numPr>
          <w:ilvl w:val="0"/>
          <w:numId w:val="5"/>
        </w:num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r>
        <w:rPr>
          <w:rFonts w:ascii="Arial" w:eastAsia="Arial" w:hAnsi="Arial" w:cs="Arial"/>
          <w:color w:val="000000"/>
          <w:sz w:val="24"/>
          <w:szCs w:val="24"/>
        </w:rPr>
        <w:t>for</w:t>
      </w:r>
      <w:r>
        <w:rPr>
          <w:rFonts w:ascii="Arial" w:eastAsia="Arial" w:hAnsi="Arial" w:cs="Arial"/>
          <w:b/>
          <w:color w:val="000000"/>
          <w:sz w:val="24"/>
          <w:szCs w:val="24"/>
        </w:rPr>
        <w:t xml:space="preserve"> </w:t>
      </w:r>
      <w:r>
        <w:rPr>
          <w:rFonts w:ascii="Arial" w:eastAsia="Arial" w:hAnsi="Arial" w:cs="Arial"/>
          <w:color w:val="000000"/>
          <w:sz w:val="24"/>
          <w:szCs w:val="24"/>
        </w:rPr>
        <w:t xml:space="preserve">Call-Off Contracts under Lots 1 to 4, the estimated Supplier Amount (i.e. the estimated Gross Income less the estimated amount that will be payable by the Supplier to the Buyer) for the first 12 months of the Contract; or </w:t>
      </w:r>
    </w:p>
    <w:p w14:paraId="0000007C" w14:textId="77777777" w:rsidR="003277BB" w:rsidRDefault="00F63F3D">
      <w:pPr>
        <w:numPr>
          <w:ilvl w:val="0"/>
          <w:numId w:val="5"/>
        </w:numPr>
        <w:pBdr>
          <w:top w:val="nil"/>
          <w:left w:val="nil"/>
          <w:bottom w:val="nil"/>
          <w:right w:val="nil"/>
          <w:between w:val="nil"/>
        </w:pBdr>
        <w:tabs>
          <w:tab w:val="left" w:pos="2257"/>
        </w:tabs>
        <w:spacing w:after="0" w:line="259" w:lineRule="auto"/>
        <w:rPr>
          <w:rFonts w:ascii="Arial" w:eastAsia="Arial" w:hAnsi="Arial" w:cs="Arial"/>
          <w:b/>
          <w:color w:val="000000"/>
          <w:sz w:val="24"/>
          <w:szCs w:val="24"/>
        </w:rPr>
      </w:pPr>
      <w:proofErr w:type="gramStart"/>
      <w:r>
        <w:rPr>
          <w:rFonts w:ascii="Arial" w:eastAsia="Arial" w:hAnsi="Arial" w:cs="Arial"/>
          <w:color w:val="000000"/>
          <w:sz w:val="24"/>
          <w:szCs w:val="24"/>
        </w:rPr>
        <w:t>for</w:t>
      </w:r>
      <w:proofErr w:type="gramEnd"/>
      <w:r>
        <w:rPr>
          <w:rFonts w:ascii="Arial" w:eastAsia="Arial" w:hAnsi="Arial" w:cs="Arial"/>
          <w:color w:val="000000"/>
          <w:sz w:val="24"/>
          <w:szCs w:val="24"/>
        </w:rPr>
        <w:t xml:space="preserve"> Call-Off Contracts under Lot 5, the estimated Charges (i.e. Management Fee or Profit Share Fee plus Agreed Operating Costs) in the first 12 months of the Contract. </w:t>
      </w:r>
    </w:p>
    <w:p w14:paraId="0000007D" w14:textId="77777777" w:rsidR="003277BB" w:rsidRDefault="00F63F3D">
      <w:pPr>
        <w:tabs>
          <w:tab w:val="left" w:pos="2257"/>
        </w:tabs>
        <w:spacing w:after="0" w:line="259" w:lineRule="auto"/>
        <w:rPr>
          <w:rFonts w:ascii="Arial" w:eastAsia="Arial" w:hAnsi="Arial" w:cs="Arial"/>
          <w:b/>
          <w:sz w:val="24"/>
          <w:szCs w:val="24"/>
        </w:rPr>
      </w:pPr>
      <w:r>
        <w:rPr>
          <w:rFonts w:ascii="Arial" w:eastAsia="Arial" w:hAnsi="Arial" w:cs="Arial"/>
          <w:sz w:val="24"/>
          <w:szCs w:val="24"/>
        </w:rPr>
        <w:t>The Buyer must always provide a figure here]</w:t>
      </w:r>
    </w:p>
    <w:p w14:paraId="0000007E" w14:textId="77777777" w:rsidR="003277BB" w:rsidRDefault="003277BB">
      <w:pPr>
        <w:tabs>
          <w:tab w:val="left" w:pos="2257"/>
        </w:tabs>
        <w:spacing w:after="0" w:line="259" w:lineRule="auto"/>
        <w:rPr>
          <w:rFonts w:ascii="Arial" w:eastAsia="Arial" w:hAnsi="Arial" w:cs="Arial"/>
          <w:b/>
          <w:sz w:val="24"/>
          <w:szCs w:val="24"/>
        </w:rPr>
      </w:pPr>
    </w:p>
    <w:p w14:paraId="0000007F"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FINANCIAL ARRANGEMENTS (INCLUDING INCOME AND/OR CALL-OFF CHARGES)</w:t>
      </w:r>
    </w:p>
    <w:p w14:paraId="00000080" w14:textId="77777777" w:rsidR="003277BB" w:rsidRDefault="00F63F3D">
      <w:pPr>
        <w:tabs>
          <w:tab w:val="left" w:pos="2257"/>
        </w:tabs>
        <w:spacing w:after="0" w:line="259" w:lineRule="auto"/>
        <w:rPr>
          <w:rFonts w:ascii="Arial" w:eastAsia="Arial" w:hAnsi="Arial" w:cs="Arial"/>
          <w:sz w:val="24"/>
          <w:szCs w:val="24"/>
        </w:rPr>
      </w:pPr>
      <w:bookmarkStart w:id="3" w:name="_heading=h.3znysh7" w:colFirst="0" w:colLast="0"/>
      <w:bookmarkEnd w:id="3"/>
      <w:r>
        <w:rPr>
          <w:rFonts w:ascii="Arial" w:eastAsia="Arial" w:hAnsi="Arial" w:cs="Arial"/>
          <w:b/>
          <w:sz w:val="24"/>
          <w:szCs w:val="24"/>
          <w:highlight w:val="yellow"/>
        </w:rPr>
        <w:t>[Buyer guidance:</w:t>
      </w:r>
      <w:r>
        <w:rPr>
          <w:rFonts w:ascii="Arial" w:eastAsia="Arial" w:hAnsi="Arial" w:cs="Arial"/>
          <w:sz w:val="24"/>
          <w:szCs w:val="24"/>
        </w:rPr>
        <w:t xml:space="preserve"> Complete Call-Off Schedule 5 to reflect the financial arrangements, which should be based on: </w:t>
      </w:r>
    </w:p>
    <w:p w14:paraId="00000081" w14:textId="77777777" w:rsidR="003277BB" w:rsidRDefault="00F63F3D">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for Call-Off Contracts under Lots 1 to 4, the terms of Annex A to Framework Schedule 3 (Framework Prices); or</w:t>
      </w:r>
    </w:p>
    <w:p w14:paraId="00000082" w14:textId="77777777" w:rsidR="003277BB" w:rsidRDefault="00F63F3D">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proofErr w:type="gramStart"/>
      <w:r>
        <w:rPr>
          <w:rFonts w:ascii="Arial" w:eastAsia="Arial" w:hAnsi="Arial" w:cs="Arial"/>
          <w:color w:val="000000"/>
          <w:sz w:val="24"/>
          <w:szCs w:val="24"/>
        </w:rPr>
        <w:t>for</w:t>
      </w:r>
      <w:proofErr w:type="gramEnd"/>
      <w:r>
        <w:rPr>
          <w:rFonts w:ascii="Arial" w:eastAsia="Arial" w:hAnsi="Arial" w:cs="Arial"/>
          <w:color w:val="000000"/>
          <w:sz w:val="24"/>
          <w:szCs w:val="24"/>
        </w:rPr>
        <w:t xml:space="preserve"> Call-Off Contracts under Lot 5, the terms of Annex B to Framework Schedule 3 (Framework Prices)]. </w:t>
      </w:r>
    </w:p>
    <w:p w14:paraId="00000083"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A summary of the key financial details are set out below. These details should be read in conjunction with the terms of Call-Off Schedule 5 (Pricing Details).</w:t>
      </w:r>
    </w:p>
    <w:p w14:paraId="00000084" w14:textId="77777777" w:rsidR="003277BB" w:rsidRDefault="003277BB">
      <w:pPr>
        <w:tabs>
          <w:tab w:val="left" w:pos="2257"/>
        </w:tabs>
        <w:spacing w:after="0" w:line="259" w:lineRule="auto"/>
        <w:rPr>
          <w:rFonts w:ascii="Arial" w:eastAsia="Arial" w:hAnsi="Arial" w:cs="Arial"/>
          <w:sz w:val="24"/>
          <w:szCs w:val="24"/>
        </w:rPr>
      </w:pPr>
    </w:p>
    <w:p w14:paraId="00000085"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Call-Off Contracts under Lots 1 to 4, </w:t>
      </w:r>
      <w:r>
        <w:rPr>
          <w:rFonts w:ascii="Arial" w:eastAsia="Arial" w:hAnsi="Arial" w:cs="Arial"/>
          <w:b/>
          <w:sz w:val="24"/>
          <w:szCs w:val="24"/>
          <w:highlight w:val="yellow"/>
        </w:rPr>
        <w:t>Insert</w:t>
      </w:r>
      <w:r>
        <w:rPr>
          <w:rFonts w:ascii="Arial" w:eastAsia="Arial" w:hAnsi="Arial" w:cs="Arial"/>
          <w:sz w:val="24"/>
          <w:szCs w:val="24"/>
        </w:rPr>
        <w:t xml:space="preserve"> the summary details below:</w:t>
      </w:r>
    </w:p>
    <w:p w14:paraId="00000086" w14:textId="77777777" w:rsidR="003277BB" w:rsidRDefault="003277BB">
      <w:pPr>
        <w:tabs>
          <w:tab w:val="left" w:pos="2257"/>
        </w:tabs>
        <w:spacing w:after="0" w:line="259" w:lineRule="auto"/>
        <w:rPr>
          <w:rFonts w:ascii="Arial" w:eastAsia="Arial" w:hAnsi="Arial" w:cs="Arial"/>
          <w:sz w:val="24"/>
          <w:szCs w:val="24"/>
        </w:rPr>
      </w:pPr>
    </w:p>
    <w:p w14:paraId="00000087" w14:textId="77777777" w:rsidR="003277BB" w:rsidRDefault="00F63F3D">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Payment mechanism: [</w:t>
      </w:r>
      <w:r>
        <w:rPr>
          <w:rFonts w:ascii="Arial" w:eastAsia="Arial" w:hAnsi="Arial" w:cs="Arial"/>
          <w:color w:val="000000"/>
          <w:sz w:val="24"/>
          <w:szCs w:val="24"/>
          <w:highlight w:val="yellow"/>
        </w:rPr>
        <w:t>Select</w:t>
      </w:r>
      <w:r>
        <w:rPr>
          <w:rFonts w:ascii="Arial" w:eastAsia="Arial" w:hAnsi="Arial" w:cs="Arial"/>
          <w:color w:val="000000"/>
          <w:sz w:val="24"/>
          <w:szCs w:val="24"/>
        </w:rPr>
        <w:t xml:space="preserve"> </w:t>
      </w:r>
      <w:r>
        <w:rPr>
          <w:rFonts w:ascii="Arial" w:eastAsia="Arial" w:hAnsi="Arial" w:cs="Arial"/>
          <w:b/>
          <w:color w:val="000000"/>
          <w:sz w:val="24"/>
          <w:szCs w:val="24"/>
        </w:rPr>
        <w:t>one</w:t>
      </w:r>
      <w:r>
        <w:rPr>
          <w:rFonts w:ascii="Arial" w:eastAsia="Arial" w:hAnsi="Arial" w:cs="Arial"/>
          <w:color w:val="000000"/>
          <w:sz w:val="24"/>
          <w:szCs w:val="24"/>
        </w:rPr>
        <w:t xml:space="preserve"> of the options below and populate with relevant details]:</w:t>
      </w:r>
    </w:p>
    <w:p w14:paraId="00000088" w14:textId="77777777" w:rsidR="003277BB" w:rsidRDefault="00F63F3D">
      <w:pPr>
        <w:numPr>
          <w:ilvl w:val="1"/>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[a Fixed Payment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for each period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during the Contract Period]</w:t>
      </w:r>
    </w:p>
    <w:p w14:paraId="00000089" w14:textId="77777777" w:rsidR="003277BB" w:rsidRDefault="00F63F3D">
      <w:pPr>
        <w:numPr>
          <w:ilvl w:val="1"/>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[a Minimum Guaranteed Payment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for each period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during the Contract Period, together with a Top-Up Payment based on a Net Profit Share percentage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w:t>
      </w:r>
    </w:p>
    <w:p w14:paraId="0000008A" w14:textId="77777777" w:rsidR="003277BB" w:rsidRDefault="00F63F3D">
      <w:pPr>
        <w:numPr>
          <w:ilvl w:val="1"/>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[a Net Profit Share Payment based on a Net Profit Share percentage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w:t>
      </w:r>
    </w:p>
    <w:p w14:paraId="0000008B" w14:textId="77777777" w:rsidR="003277BB" w:rsidRDefault="00F63F3D">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Frequency of payments by the Supplier to the Buyer: </w:t>
      </w:r>
    </w:p>
    <w:p w14:paraId="0000008C" w14:textId="77777777" w:rsidR="003277BB" w:rsidRDefault="00F63F3D">
      <w:pPr>
        <w:numPr>
          <w:ilvl w:val="1"/>
          <w:numId w:val="2"/>
        </w:numPr>
        <w:pBdr>
          <w:top w:val="nil"/>
          <w:left w:val="nil"/>
          <w:bottom w:val="nil"/>
          <w:right w:val="nil"/>
          <w:between w:val="nil"/>
        </w:pBdr>
        <w:tabs>
          <w:tab w:val="left" w:pos="2257"/>
        </w:tabs>
        <w:spacing w:after="0" w:line="259" w:lineRule="auto"/>
        <w:rPr>
          <w:color w:val="000000"/>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frequency that the payments above will be made to Buyer, e.g. monthly, quarterly, annually]</w:t>
      </w:r>
    </w:p>
    <w:p w14:paraId="0000008D" w14:textId="77777777" w:rsidR="003277BB" w:rsidRDefault="00F63F3D">
      <w:pPr>
        <w:numPr>
          <w:ilvl w:val="0"/>
          <w:numId w:val="2"/>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Periodic review of the payment amounts/percentages (if applicable): [</w:t>
      </w:r>
      <w:r>
        <w:rPr>
          <w:rFonts w:ascii="Arial" w:eastAsia="Arial" w:hAnsi="Arial" w:cs="Arial"/>
          <w:color w:val="000000"/>
          <w:sz w:val="24"/>
          <w:szCs w:val="24"/>
          <w:highlight w:val="yellow"/>
        </w:rPr>
        <w:t>Select</w:t>
      </w:r>
      <w:r>
        <w:rPr>
          <w:rFonts w:ascii="Arial" w:eastAsia="Arial" w:hAnsi="Arial" w:cs="Arial"/>
          <w:color w:val="000000"/>
          <w:sz w:val="24"/>
          <w:szCs w:val="24"/>
        </w:rPr>
        <w:t xml:space="preserve"> one of the options below and, if applicable, populate with relevant details]:</w:t>
      </w:r>
    </w:p>
    <w:p w14:paraId="0000008E" w14:textId="77777777" w:rsidR="003277BB" w:rsidRDefault="00F63F3D">
      <w:pPr>
        <w:numPr>
          <w:ilvl w:val="1"/>
          <w:numId w:val="2"/>
        </w:numPr>
        <w:pBdr>
          <w:top w:val="nil"/>
          <w:left w:val="nil"/>
          <w:bottom w:val="nil"/>
          <w:right w:val="nil"/>
          <w:between w:val="nil"/>
        </w:pBdr>
        <w:tabs>
          <w:tab w:val="left" w:pos="2257"/>
        </w:tabs>
        <w:spacing w:after="0" w:line="259" w:lineRule="auto"/>
        <w:rPr>
          <w:color w:val="000000"/>
        </w:rPr>
      </w:pPr>
      <w:r>
        <w:rPr>
          <w:rFonts w:ascii="Arial" w:eastAsia="Arial" w:hAnsi="Arial" w:cs="Arial"/>
          <w:color w:val="000000"/>
          <w:sz w:val="24"/>
          <w:szCs w:val="24"/>
        </w:rPr>
        <w:t>[Not applicable]</w:t>
      </w:r>
    </w:p>
    <w:p w14:paraId="0000008F" w14:textId="77777777" w:rsidR="003277BB" w:rsidRDefault="00F63F3D">
      <w:pPr>
        <w:numPr>
          <w:ilvl w:val="1"/>
          <w:numId w:val="2"/>
        </w:numPr>
        <w:pBdr>
          <w:top w:val="nil"/>
          <w:left w:val="nil"/>
          <w:bottom w:val="nil"/>
          <w:right w:val="nil"/>
          <w:between w:val="nil"/>
        </w:pBdr>
        <w:tabs>
          <w:tab w:val="left" w:pos="2257"/>
        </w:tabs>
        <w:spacing w:after="0" w:line="259" w:lineRule="auto"/>
        <w:rPr>
          <w:color w:val="000000"/>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details of periodic review mechanism]</w:t>
      </w:r>
    </w:p>
    <w:p w14:paraId="00000090" w14:textId="77777777" w:rsidR="003277BB" w:rsidRDefault="003277BB">
      <w:pPr>
        <w:tabs>
          <w:tab w:val="left" w:pos="2257"/>
        </w:tabs>
        <w:spacing w:after="0" w:line="259" w:lineRule="auto"/>
        <w:rPr>
          <w:rFonts w:ascii="Arial" w:eastAsia="Arial" w:hAnsi="Arial" w:cs="Arial"/>
          <w:sz w:val="24"/>
          <w:szCs w:val="24"/>
        </w:rPr>
      </w:pPr>
    </w:p>
    <w:p w14:paraId="00000091"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Call-Off Contracts under Lot 5, </w:t>
      </w:r>
      <w:r>
        <w:rPr>
          <w:rFonts w:ascii="Arial" w:eastAsia="Arial" w:hAnsi="Arial" w:cs="Arial"/>
          <w:b/>
          <w:sz w:val="24"/>
          <w:szCs w:val="24"/>
          <w:highlight w:val="yellow"/>
        </w:rPr>
        <w:t>Insert</w:t>
      </w:r>
      <w:r>
        <w:rPr>
          <w:rFonts w:ascii="Arial" w:eastAsia="Arial" w:hAnsi="Arial" w:cs="Arial"/>
          <w:sz w:val="24"/>
          <w:szCs w:val="24"/>
        </w:rPr>
        <w:t xml:space="preserve"> the summary details below:</w:t>
      </w:r>
    </w:p>
    <w:p w14:paraId="00000092" w14:textId="77777777" w:rsidR="003277BB" w:rsidRDefault="003277BB">
      <w:pPr>
        <w:tabs>
          <w:tab w:val="left" w:pos="2257"/>
        </w:tabs>
        <w:spacing w:after="0" w:line="259" w:lineRule="auto"/>
        <w:rPr>
          <w:rFonts w:ascii="Arial" w:eastAsia="Arial" w:hAnsi="Arial" w:cs="Arial"/>
          <w:sz w:val="24"/>
          <w:szCs w:val="24"/>
        </w:rPr>
      </w:pPr>
    </w:p>
    <w:p w14:paraId="00000093" w14:textId="77777777" w:rsidR="003277BB" w:rsidRDefault="00F63F3D">
      <w:pPr>
        <w:numPr>
          <w:ilvl w:val="0"/>
          <w:numId w:val="3"/>
        </w:numPr>
        <w:tabs>
          <w:tab w:val="left" w:pos="2257"/>
        </w:tabs>
        <w:spacing w:after="0" w:line="259" w:lineRule="auto"/>
        <w:rPr>
          <w:color w:val="000000"/>
        </w:rPr>
      </w:pPr>
      <w:r>
        <w:rPr>
          <w:rFonts w:ascii="Arial" w:eastAsia="Arial" w:hAnsi="Arial" w:cs="Arial"/>
          <w:sz w:val="24"/>
          <w:szCs w:val="24"/>
          <w:highlight w:val="yellow"/>
        </w:rPr>
        <w:t xml:space="preserve">Payment mechanism: </w:t>
      </w:r>
      <w:r>
        <w:rPr>
          <w:rFonts w:ascii="Arial" w:eastAsia="Arial" w:hAnsi="Arial" w:cs="Arial"/>
          <w:sz w:val="24"/>
          <w:szCs w:val="24"/>
        </w:rPr>
        <w:t>[</w:t>
      </w:r>
      <w:r>
        <w:rPr>
          <w:rFonts w:ascii="Arial" w:eastAsia="Arial" w:hAnsi="Arial" w:cs="Arial"/>
          <w:sz w:val="24"/>
          <w:szCs w:val="24"/>
          <w:highlight w:val="yellow"/>
        </w:rPr>
        <w:t>Select</w:t>
      </w:r>
      <w:r>
        <w:rPr>
          <w:rFonts w:ascii="Arial" w:eastAsia="Arial" w:hAnsi="Arial" w:cs="Arial"/>
          <w:sz w:val="24"/>
          <w:szCs w:val="24"/>
        </w:rPr>
        <w:t xml:space="preserve"> </w:t>
      </w:r>
      <w:r>
        <w:rPr>
          <w:rFonts w:ascii="Arial" w:eastAsia="Arial" w:hAnsi="Arial" w:cs="Arial"/>
          <w:b/>
          <w:sz w:val="24"/>
          <w:szCs w:val="24"/>
        </w:rPr>
        <w:t>one</w:t>
      </w:r>
      <w:r>
        <w:rPr>
          <w:rFonts w:ascii="Arial" w:eastAsia="Arial" w:hAnsi="Arial" w:cs="Arial"/>
          <w:sz w:val="24"/>
          <w:szCs w:val="24"/>
        </w:rPr>
        <w:t xml:space="preserve"> of the options below and populate with relevant details]:</w:t>
      </w:r>
    </w:p>
    <w:p w14:paraId="00000094" w14:textId="77777777" w:rsidR="003277BB" w:rsidRDefault="00F63F3D">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[a Fixed Management Fee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in respect of each period of </w:t>
      </w:r>
      <w:r>
        <w:rPr>
          <w:rFonts w:ascii="Arial" w:eastAsia="Arial" w:hAnsi="Arial" w:cs="Arial"/>
          <w:color w:val="000000"/>
          <w:sz w:val="24"/>
          <w:szCs w:val="24"/>
          <w:highlight w:val="yellow"/>
        </w:rPr>
        <w:t>[     ]</w:t>
      </w:r>
      <w:r>
        <w:rPr>
          <w:rFonts w:ascii="Arial" w:eastAsia="Arial" w:hAnsi="Arial" w:cs="Arial"/>
          <w:color w:val="000000"/>
          <w:sz w:val="24"/>
          <w:szCs w:val="24"/>
        </w:rPr>
        <w:t xml:space="preserve"> during the Contract Period, together with any Agreed Operating Costs (as defined in Call-Off Schedule 5)]. </w:t>
      </w:r>
    </w:p>
    <w:p w14:paraId="00000095" w14:textId="77777777" w:rsidR="003277BB" w:rsidRDefault="00F63F3D">
      <w:pPr>
        <w:numPr>
          <w:ilvl w:val="1"/>
          <w:numId w:val="3"/>
        </w:numPr>
        <w:tabs>
          <w:tab w:val="left" w:pos="2257"/>
        </w:tabs>
        <w:spacing w:after="0" w:line="259" w:lineRule="auto"/>
        <w:rPr>
          <w:color w:val="000000"/>
        </w:rPr>
      </w:pPr>
      <w:r>
        <w:rPr>
          <w:rFonts w:ascii="Arial" w:eastAsia="Arial" w:hAnsi="Arial" w:cs="Arial"/>
          <w:sz w:val="24"/>
          <w:szCs w:val="24"/>
        </w:rPr>
        <w:t>[a Profit Share Fee of [     ]% of Net Profit, together with any Agreed Operating Costs (as defined in Call-Off Schedule 5)].</w:t>
      </w:r>
    </w:p>
    <w:p w14:paraId="00000096" w14:textId="77777777" w:rsidR="003277BB" w:rsidRDefault="00F63F3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Frequency of payment of Car Park Income by Supplier to Buyer:</w:t>
      </w:r>
    </w:p>
    <w:p w14:paraId="00000097" w14:textId="77777777" w:rsidR="003277BB" w:rsidRDefault="00F63F3D">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frequency that payments of Car Park Income will be made to Buyer, e.g. weekly, monthly, quarterly, annually]</w:t>
      </w:r>
    </w:p>
    <w:p w14:paraId="00000098" w14:textId="77777777" w:rsidR="003277BB" w:rsidRDefault="00F63F3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Frequency of payment of Charges and any Agreed Operating Costs by Buyer to Supplier: </w:t>
      </w:r>
    </w:p>
    <w:p w14:paraId="00000099" w14:textId="77777777" w:rsidR="003277BB" w:rsidRDefault="00F63F3D">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frequency that payments of Charges and Agreed Operating Costs will be made to Supplier, e.g. monthly, quarterly, annually]</w:t>
      </w:r>
    </w:p>
    <w:p w14:paraId="0000009A" w14:textId="77777777" w:rsidR="003277BB" w:rsidRDefault="00F63F3D">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Periodic review of the payment amounts/percentages (if applicable): [</w:t>
      </w:r>
      <w:r>
        <w:rPr>
          <w:rFonts w:ascii="Arial" w:eastAsia="Arial" w:hAnsi="Arial" w:cs="Arial"/>
          <w:color w:val="000000"/>
          <w:sz w:val="24"/>
          <w:szCs w:val="24"/>
          <w:highlight w:val="yellow"/>
        </w:rPr>
        <w:t>Select</w:t>
      </w:r>
      <w:r>
        <w:rPr>
          <w:rFonts w:ascii="Arial" w:eastAsia="Arial" w:hAnsi="Arial" w:cs="Arial"/>
          <w:color w:val="000000"/>
          <w:sz w:val="24"/>
          <w:szCs w:val="24"/>
        </w:rPr>
        <w:t xml:space="preserve"> one of the options below and, if applicable, populate with relevant details]:</w:t>
      </w:r>
    </w:p>
    <w:p w14:paraId="0000009B" w14:textId="77777777" w:rsidR="003277BB" w:rsidRDefault="00F63F3D">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[Not applicable]</w:t>
      </w:r>
    </w:p>
    <w:p w14:paraId="0000009C" w14:textId="77777777" w:rsidR="003277BB" w:rsidRDefault="00F63F3D">
      <w:pPr>
        <w:numPr>
          <w:ilvl w:val="1"/>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highlight w:val="yellow"/>
        </w:rPr>
        <w:t>Insert</w:t>
      </w:r>
      <w:r>
        <w:rPr>
          <w:rFonts w:ascii="Arial" w:eastAsia="Arial" w:hAnsi="Arial" w:cs="Arial"/>
          <w:color w:val="000000"/>
          <w:sz w:val="24"/>
          <w:szCs w:val="24"/>
        </w:rPr>
        <w:t xml:space="preserve"> details of periodic review mechanism]</w:t>
      </w:r>
    </w:p>
    <w:p w14:paraId="0000009D" w14:textId="77777777" w:rsidR="003277BB" w:rsidRDefault="00F63F3D">
      <w:pPr>
        <w:numPr>
          <w:ilvl w:val="0"/>
          <w:numId w:val="3"/>
        </w:numPr>
        <w:tabs>
          <w:tab w:val="left" w:pos="2257"/>
        </w:tabs>
        <w:spacing w:after="0" w:line="259" w:lineRule="auto"/>
        <w:rPr>
          <w:color w:val="000000"/>
        </w:rPr>
      </w:pPr>
      <w:r>
        <w:rPr>
          <w:rFonts w:ascii="Arial" w:eastAsia="Arial" w:hAnsi="Arial" w:cs="Arial"/>
          <w:sz w:val="24"/>
          <w:szCs w:val="24"/>
        </w:rPr>
        <w:t>Incentive Fee mechanism (if applicable): [</w:t>
      </w:r>
      <w:r>
        <w:rPr>
          <w:rFonts w:ascii="Arial" w:eastAsia="Arial" w:hAnsi="Arial" w:cs="Arial"/>
          <w:sz w:val="24"/>
          <w:szCs w:val="24"/>
          <w:highlight w:val="yellow"/>
        </w:rPr>
        <w:t>Select</w:t>
      </w:r>
      <w:r>
        <w:rPr>
          <w:rFonts w:ascii="Arial" w:eastAsia="Arial" w:hAnsi="Arial" w:cs="Arial"/>
          <w:sz w:val="24"/>
          <w:szCs w:val="24"/>
        </w:rPr>
        <w:t xml:space="preserve"> one of the options below and, if applicable, populate with relevant details]:</w:t>
      </w:r>
    </w:p>
    <w:p w14:paraId="0000009E" w14:textId="77777777" w:rsidR="003277BB" w:rsidRDefault="00F63F3D">
      <w:pPr>
        <w:numPr>
          <w:ilvl w:val="1"/>
          <w:numId w:val="3"/>
        </w:numPr>
        <w:tabs>
          <w:tab w:val="left" w:pos="2257"/>
        </w:tabs>
        <w:spacing w:after="0" w:line="259" w:lineRule="auto"/>
        <w:rPr>
          <w:color w:val="000000"/>
        </w:rPr>
      </w:pPr>
      <w:r>
        <w:rPr>
          <w:rFonts w:ascii="Arial" w:eastAsia="Arial" w:hAnsi="Arial" w:cs="Arial"/>
          <w:sz w:val="24"/>
          <w:szCs w:val="24"/>
        </w:rPr>
        <w:t>[Not Applicable]</w:t>
      </w:r>
    </w:p>
    <w:p w14:paraId="0000009F" w14:textId="77777777" w:rsidR="003277BB" w:rsidRDefault="00F63F3D">
      <w:pPr>
        <w:numPr>
          <w:ilvl w:val="1"/>
          <w:numId w:val="3"/>
        </w:numPr>
        <w:tabs>
          <w:tab w:val="left" w:pos="2257"/>
        </w:tabs>
        <w:spacing w:after="0" w:line="259" w:lineRule="auto"/>
        <w:rPr>
          <w:color w:val="000000"/>
        </w:rPr>
      </w:pPr>
      <w:r>
        <w:rPr>
          <w:rFonts w:ascii="Arial" w:eastAsia="Arial" w:hAnsi="Arial" w:cs="Arial"/>
          <w:sz w:val="24"/>
          <w:szCs w:val="24"/>
        </w:rPr>
        <w:t>[Incentive Fee applies as follows:</w:t>
      </w:r>
    </w:p>
    <w:p w14:paraId="000000A0" w14:textId="77777777" w:rsidR="003277BB" w:rsidRDefault="00F63F3D">
      <w:pPr>
        <w:numPr>
          <w:ilvl w:val="2"/>
          <w:numId w:val="3"/>
        </w:numPr>
        <w:tabs>
          <w:tab w:val="left" w:pos="2257"/>
        </w:tabs>
        <w:spacing w:after="0" w:line="259" w:lineRule="auto"/>
        <w:rPr>
          <w:color w:val="000000"/>
        </w:rPr>
      </w:pPr>
      <w:r>
        <w:rPr>
          <w:rFonts w:ascii="Arial" w:eastAsia="Arial" w:hAnsi="Arial" w:cs="Arial"/>
          <w:sz w:val="24"/>
          <w:szCs w:val="24"/>
        </w:rPr>
        <w:t>[Incentive Fee measurement period: [</w:t>
      </w:r>
      <w:r>
        <w:rPr>
          <w:rFonts w:ascii="Arial" w:eastAsia="Arial" w:hAnsi="Arial" w:cs="Arial"/>
          <w:sz w:val="24"/>
          <w:szCs w:val="24"/>
          <w:highlight w:val="yellow"/>
        </w:rPr>
        <w:t>Insert</w:t>
      </w:r>
      <w:r>
        <w:rPr>
          <w:rFonts w:ascii="Arial" w:eastAsia="Arial" w:hAnsi="Arial" w:cs="Arial"/>
          <w:sz w:val="24"/>
          <w:szCs w:val="24"/>
        </w:rPr>
        <w:t xml:space="preserve"> period over which Incentive Fee will be measured, e.g. monthly, six-monthly, annually]</w:t>
      </w:r>
    </w:p>
    <w:p w14:paraId="000000A1" w14:textId="77777777" w:rsidR="003277BB" w:rsidRDefault="00F63F3D">
      <w:pPr>
        <w:numPr>
          <w:ilvl w:val="2"/>
          <w:numId w:val="3"/>
        </w:numPr>
        <w:tabs>
          <w:tab w:val="left" w:pos="2257"/>
        </w:tabs>
        <w:spacing w:after="0" w:line="259" w:lineRule="auto"/>
        <w:rPr>
          <w:color w:val="000000"/>
        </w:rPr>
      </w:pPr>
      <w:r>
        <w:rPr>
          <w:rFonts w:ascii="Arial" w:eastAsia="Arial" w:hAnsi="Arial" w:cs="Arial"/>
          <w:sz w:val="24"/>
          <w:szCs w:val="24"/>
        </w:rPr>
        <w:t>[Incentive Fee Threshold: [</w:t>
      </w:r>
      <w:r>
        <w:rPr>
          <w:rFonts w:ascii="Arial" w:eastAsia="Arial" w:hAnsi="Arial" w:cs="Arial"/>
          <w:sz w:val="24"/>
          <w:szCs w:val="24"/>
          <w:highlight w:val="yellow"/>
        </w:rPr>
        <w:t>Insert</w:t>
      </w:r>
      <w:r>
        <w:rPr>
          <w:rFonts w:ascii="Arial" w:eastAsia="Arial" w:hAnsi="Arial" w:cs="Arial"/>
          <w:sz w:val="24"/>
          <w:szCs w:val="24"/>
        </w:rPr>
        <w:t xml:space="preserve"> threshold level of Car Park Income above which an Incentive Fee will be payable, i.e. above £</w:t>
      </w:r>
      <w:r>
        <w:rPr>
          <w:rFonts w:ascii="Arial" w:eastAsia="Arial" w:hAnsi="Arial" w:cs="Arial"/>
          <w:sz w:val="24"/>
          <w:szCs w:val="24"/>
          <w:highlight w:val="yellow"/>
        </w:rPr>
        <w:t>[       ]</w:t>
      </w:r>
      <w:r>
        <w:rPr>
          <w:rFonts w:ascii="Arial" w:eastAsia="Arial" w:hAnsi="Arial" w:cs="Arial"/>
          <w:sz w:val="24"/>
          <w:szCs w:val="24"/>
        </w:rPr>
        <w:t xml:space="preserve"> of Car Park Income in measurement period]</w:t>
      </w:r>
    </w:p>
    <w:p w14:paraId="000000A2" w14:textId="77777777" w:rsidR="003277BB" w:rsidRDefault="00F63F3D">
      <w:pPr>
        <w:numPr>
          <w:ilvl w:val="2"/>
          <w:numId w:val="3"/>
        </w:numPr>
        <w:tabs>
          <w:tab w:val="left" w:pos="2257"/>
        </w:tabs>
        <w:spacing w:after="0" w:line="259" w:lineRule="auto"/>
        <w:rPr>
          <w:rFonts w:ascii="Arial" w:eastAsia="Arial" w:hAnsi="Arial" w:cs="Arial"/>
          <w:color w:val="000000"/>
          <w:sz w:val="24"/>
          <w:szCs w:val="24"/>
        </w:rPr>
      </w:pPr>
      <w:r>
        <w:rPr>
          <w:rFonts w:ascii="Arial" w:eastAsia="Arial" w:hAnsi="Arial" w:cs="Arial"/>
          <w:sz w:val="24"/>
          <w:szCs w:val="24"/>
        </w:rPr>
        <w:t xml:space="preserve">[Incentive Fee rate: [    </w:t>
      </w:r>
      <w:proofErr w:type="gramStart"/>
      <w:r>
        <w:rPr>
          <w:rFonts w:ascii="Arial" w:eastAsia="Arial" w:hAnsi="Arial" w:cs="Arial"/>
          <w:sz w:val="24"/>
          <w:szCs w:val="24"/>
        </w:rPr>
        <w:t>]%</w:t>
      </w:r>
      <w:proofErr w:type="gramEnd"/>
      <w:r>
        <w:rPr>
          <w:rFonts w:ascii="Arial" w:eastAsia="Arial" w:hAnsi="Arial" w:cs="Arial"/>
          <w:sz w:val="24"/>
          <w:szCs w:val="24"/>
        </w:rPr>
        <w:t xml:space="preserve"> of the excess amount of the Car Park Income above the Incentive Fee Threshold for the relevant measurement period.</w:t>
      </w:r>
    </w:p>
    <w:p w14:paraId="000000A3" w14:textId="77777777" w:rsidR="003277BB" w:rsidRDefault="003277BB">
      <w:pPr>
        <w:tabs>
          <w:tab w:val="left" w:pos="2257"/>
        </w:tabs>
        <w:spacing w:after="0" w:line="259" w:lineRule="auto"/>
        <w:rPr>
          <w:rFonts w:ascii="Arial" w:eastAsia="Arial" w:hAnsi="Arial" w:cs="Arial"/>
          <w:sz w:val="24"/>
          <w:szCs w:val="24"/>
          <w:highlight w:val="yellow"/>
        </w:rPr>
      </w:pPr>
    </w:p>
    <w:p w14:paraId="000000A4"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 COSTS</w:t>
      </w:r>
    </w:p>
    <w:p w14:paraId="000000A5"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The Supplier is entitled to retain or recover certain costs solely in accordance with the terms of Call-Off Schedule 5 (Pricing Details).</w:t>
      </w:r>
    </w:p>
    <w:p w14:paraId="000000A6" w14:textId="77777777" w:rsidR="003277BB" w:rsidRDefault="003277BB">
      <w:pPr>
        <w:tabs>
          <w:tab w:val="left" w:pos="2257"/>
        </w:tabs>
        <w:spacing w:after="0" w:line="259" w:lineRule="auto"/>
        <w:rPr>
          <w:rFonts w:ascii="Arial" w:eastAsia="Arial" w:hAnsi="Arial" w:cs="Arial"/>
          <w:b/>
          <w:sz w:val="24"/>
          <w:szCs w:val="24"/>
        </w:rPr>
      </w:pPr>
    </w:p>
    <w:p w14:paraId="000000A7"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A8"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Payments will be made by the relevant Party or Parties in accordance with the terms of Call-Off Schedule 5 (Pricing Details).</w:t>
      </w:r>
    </w:p>
    <w:p w14:paraId="000000A9" w14:textId="77777777" w:rsidR="003277BB" w:rsidRDefault="003277BB">
      <w:pPr>
        <w:tabs>
          <w:tab w:val="left" w:pos="2257"/>
        </w:tabs>
        <w:spacing w:after="0" w:line="259" w:lineRule="auto"/>
        <w:rPr>
          <w:rFonts w:ascii="Arial" w:eastAsia="Arial" w:hAnsi="Arial" w:cs="Arial"/>
          <w:b/>
          <w:sz w:val="24"/>
          <w:szCs w:val="24"/>
        </w:rPr>
      </w:pPr>
    </w:p>
    <w:p w14:paraId="000000AA"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00000AB"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AC"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AD"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AE"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AF" w14:textId="77777777" w:rsidR="003277BB" w:rsidRDefault="003277BB">
      <w:pPr>
        <w:tabs>
          <w:tab w:val="left" w:pos="2257"/>
        </w:tabs>
        <w:spacing w:after="0" w:line="259" w:lineRule="auto"/>
        <w:rPr>
          <w:rFonts w:ascii="Arial" w:eastAsia="Arial" w:hAnsi="Arial" w:cs="Arial"/>
          <w:sz w:val="24"/>
          <w:szCs w:val="24"/>
        </w:rPr>
      </w:pPr>
    </w:p>
    <w:p w14:paraId="000000B0"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B1"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B2"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B3"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B4"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B5" w14:textId="77777777" w:rsidR="003277BB" w:rsidRDefault="003277BB">
      <w:pPr>
        <w:tabs>
          <w:tab w:val="left" w:pos="2257"/>
        </w:tabs>
        <w:spacing w:after="0" w:line="259" w:lineRule="auto"/>
        <w:rPr>
          <w:rFonts w:ascii="Arial" w:eastAsia="Arial" w:hAnsi="Arial" w:cs="Arial"/>
          <w:sz w:val="24"/>
          <w:szCs w:val="24"/>
        </w:rPr>
      </w:pPr>
    </w:p>
    <w:p w14:paraId="000000B6"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B7"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B8" w14:textId="77777777" w:rsidR="003277BB" w:rsidRDefault="00F63F3D">
      <w:pPr>
        <w:tabs>
          <w:tab w:val="left" w:pos="2257"/>
        </w:tabs>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00000B9" w14:textId="77777777" w:rsidR="003277BB" w:rsidRDefault="003277BB">
      <w:pPr>
        <w:tabs>
          <w:tab w:val="left" w:pos="2257"/>
        </w:tabs>
        <w:spacing w:after="0" w:line="259" w:lineRule="auto"/>
        <w:rPr>
          <w:rFonts w:ascii="Arial" w:eastAsia="Arial" w:hAnsi="Arial" w:cs="Arial"/>
          <w:sz w:val="24"/>
          <w:szCs w:val="24"/>
        </w:rPr>
      </w:pPr>
    </w:p>
    <w:p w14:paraId="000000BA"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0000BB"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BC" w14:textId="77777777" w:rsidR="003277BB" w:rsidRDefault="00F63F3D">
      <w:pPr>
        <w:tabs>
          <w:tab w:val="left" w:pos="2257"/>
        </w:tabs>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00000BD" w14:textId="77777777" w:rsidR="003277BB" w:rsidRDefault="003277BB">
      <w:pPr>
        <w:tabs>
          <w:tab w:val="left" w:pos="2257"/>
        </w:tabs>
        <w:spacing w:after="0" w:line="259" w:lineRule="auto"/>
        <w:rPr>
          <w:rFonts w:ascii="Arial" w:eastAsia="Arial" w:hAnsi="Arial" w:cs="Arial"/>
          <w:sz w:val="24"/>
          <w:szCs w:val="24"/>
        </w:rPr>
      </w:pPr>
    </w:p>
    <w:p w14:paraId="000000BE"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0000BF"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C0"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1"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2"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C3" w14:textId="77777777" w:rsidR="003277BB" w:rsidRDefault="003277BB">
      <w:pPr>
        <w:tabs>
          <w:tab w:val="left" w:pos="2257"/>
        </w:tabs>
        <w:spacing w:after="0" w:line="259" w:lineRule="auto"/>
        <w:rPr>
          <w:rFonts w:ascii="Arial" w:eastAsia="Arial" w:hAnsi="Arial" w:cs="Arial"/>
          <w:sz w:val="24"/>
          <w:szCs w:val="24"/>
        </w:rPr>
      </w:pPr>
    </w:p>
    <w:p w14:paraId="000000C4"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00000C5"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C6"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7"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8"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C9" w14:textId="77777777" w:rsidR="003277BB" w:rsidRDefault="003277BB">
      <w:pPr>
        <w:tabs>
          <w:tab w:val="left" w:pos="2257"/>
        </w:tabs>
        <w:spacing w:after="0" w:line="259" w:lineRule="auto"/>
        <w:rPr>
          <w:rFonts w:ascii="Arial" w:eastAsia="Arial" w:hAnsi="Arial" w:cs="Arial"/>
          <w:sz w:val="24"/>
          <w:szCs w:val="24"/>
        </w:rPr>
      </w:pPr>
    </w:p>
    <w:p w14:paraId="000000CA"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INVOICE ADDRESS (IF APPLICABLE): </w:t>
      </w:r>
    </w:p>
    <w:p w14:paraId="000000CB"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CC"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D"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E"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CF" w14:textId="77777777" w:rsidR="003277BB" w:rsidRDefault="003277BB">
      <w:pPr>
        <w:tabs>
          <w:tab w:val="left" w:pos="2257"/>
        </w:tabs>
        <w:spacing w:after="0" w:line="259" w:lineRule="auto"/>
        <w:rPr>
          <w:rFonts w:ascii="Arial" w:eastAsia="Arial" w:hAnsi="Arial" w:cs="Arial"/>
          <w:sz w:val="24"/>
          <w:szCs w:val="24"/>
        </w:rPr>
      </w:pPr>
    </w:p>
    <w:p w14:paraId="000000D0"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00000D1"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 or as otherwise required by the Buyer]</w:t>
      </w:r>
    </w:p>
    <w:p w14:paraId="000000D2" w14:textId="77777777" w:rsidR="003277BB" w:rsidRDefault="003277BB">
      <w:pPr>
        <w:tabs>
          <w:tab w:val="left" w:pos="2257"/>
        </w:tabs>
        <w:spacing w:after="0" w:line="259" w:lineRule="auto"/>
        <w:rPr>
          <w:rFonts w:ascii="Arial" w:eastAsia="Arial" w:hAnsi="Arial" w:cs="Arial"/>
          <w:b/>
          <w:sz w:val="24"/>
          <w:szCs w:val="24"/>
        </w:rPr>
      </w:pPr>
    </w:p>
    <w:p w14:paraId="000000D3"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00000D4"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 or as otherwise required by the Buyer]</w:t>
      </w:r>
    </w:p>
    <w:p w14:paraId="000000D5" w14:textId="77777777" w:rsidR="003277BB" w:rsidRDefault="003277BB">
      <w:pPr>
        <w:tabs>
          <w:tab w:val="left" w:pos="2257"/>
        </w:tabs>
        <w:spacing w:after="0" w:line="259" w:lineRule="auto"/>
        <w:rPr>
          <w:rFonts w:ascii="Arial" w:eastAsia="Arial" w:hAnsi="Arial" w:cs="Arial"/>
          <w:b/>
          <w:sz w:val="24"/>
          <w:szCs w:val="24"/>
        </w:rPr>
      </w:pPr>
    </w:p>
    <w:p w14:paraId="000000D6"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00000D7"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D8"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D9" w14:textId="77777777" w:rsidR="003277BB" w:rsidRDefault="00F63F3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DA"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DB"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14:paraId="000000DC" w14:textId="77777777" w:rsidR="003277BB" w:rsidRDefault="003277BB">
      <w:pPr>
        <w:tabs>
          <w:tab w:val="left" w:pos="2257"/>
        </w:tabs>
        <w:spacing w:after="0" w:line="259" w:lineRule="auto"/>
        <w:rPr>
          <w:rFonts w:ascii="Arial" w:eastAsia="Arial" w:hAnsi="Arial" w:cs="Arial"/>
          <w:sz w:val="24"/>
          <w:szCs w:val="24"/>
        </w:rPr>
      </w:pPr>
    </w:p>
    <w:p w14:paraId="000000DD"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DE"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000000DF" w14:textId="77777777" w:rsidR="003277BB" w:rsidRDefault="003277BB">
      <w:pPr>
        <w:tabs>
          <w:tab w:val="left" w:pos="2257"/>
        </w:tabs>
        <w:spacing w:after="0" w:line="259" w:lineRule="auto"/>
        <w:rPr>
          <w:rFonts w:ascii="Arial" w:eastAsia="Arial" w:hAnsi="Arial" w:cs="Arial"/>
          <w:b/>
          <w:sz w:val="24"/>
          <w:szCs w:val="24"/>
        </w:rPr>
      </w:pPr>
    </w:p>
    <w:p w14:paraId="000000E0"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E1"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000000E2" w14:textId="77777777" w:rsidR="003277BB" w:rsidRDefault="003277BB">
      <w:pPr>
        <w:tabs>
          <w:tab w:val="left" w:pos="2257"/>
        </w:tabs>
        <w:spacing w:after="0" w:line="259" w:lineRule="auto"/>
        <w:rPr>
          <w:rFonts w:ascii="Arial" w:eastAsia="Arial" w:hAnsi="Arial" w:cs="Arial"/>
          <w:b/>
          <w:sz w:val="24"/>
          <w:szCs w:val="24"/>
        </w:rPr>
      </w:pPr>
    </w:p>
    <w:p w14:paraId="000000E3"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E4"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E5"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Service Credits will accrue in accordance with Call-Off Schedule 14 (Service Levels). </w:t>
      </w:r>
    </w:p>
    <w:p w14:paraId="000000E6"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000000E7"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 or as otherwise required by the Buyer]</w:t>
      </w:r>
    </w:p>
    <w:p w14:paraId="000000E8" w14:textId="77777777" w:rsidR="003277BB" w:rsidRDefault="00F63F3D">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000000E9" w14:textId="77777777" w:rsidR="003277BB" w:rsidRDefault="003277BB">
      <w:pPr>
        <w:tabs>
          <w:tab w:val="left" w:pos="2257"/>
        </w:tabs>
        <w:spacing w:after="0" w:line="259" w:lineRule="auto"/>
        <w:rPr>
          <w:rFonts w:ascii="Arial" w:eastAsia="Arial" w:hAnsi="Arial" w:cs="Arial"/>
          <w:b/>
          <w:sz w:val="24"/>
          <w:szCs w:val="24"/>
        </w:rPr>
      </w:pPr>
    </w:p>
    <w:p w14:paraId="000000EA" w14:textId="77777777" w:rsidR="003277BB" w:rsidRDefault="003277BB">
      <w:pPr>
        <w:tabs>
          <w:tab w:val="left" w:pos="2257"/>
        </w:tabs>
        <w:spacing w:after="0" w:line="259" w:lineRule="auto"/>
        <w:rPr>
          <w:rFonts w:ascii="Arial" w:eastAsia="Arial" w:hAnsi="Arial" w:cs="Arial"/>
          <w:b/>
          <w:sz w:val="24"/>
          <w:szCs w:val="24"/>
        </w:rPr>
      </w:pPr>
    </w:p>
    <w:p w14:paraId="000000EB" w14:textId="77777777" w:rsidR="003277BB" w:rsidRDefault="00F63F3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 (IF APPLICABLE)</w:t>
      </w:r>
    </w:p>
    <w:p w14:paraId="000000EC" w14:textId="77777777" w:rsidR="003277BB" w:rsidRDefault="00F63F3D">
      <w:pPr>
        <w:spacing w:after="0" w:line="259" w:lineRule="auto"/>
        <w:rPr>
          <w:highlight w:val="yellow"/>
        </w:rPr>
      </w:pPr>
      <w:r>
        <w:rPr>
          <w:rFonts w:ascii="Arial" w:eastAsia="Arial" w:hAnsi="Arial" w:cs="Arial"/>
          <w:b/>
          <w:sz w:val="24"/>
          <w:szCs w:val="24"/>
          <w:highlight w:val="yellow"/>
        </w:rPr>
        <w:t xml:space="preserve">[Buyer guidance: </w:t>
      </w:r>
      <w:r>
        <w:rPr>
          <w:rFonts w:ascii="Arial" w:eastAsia="Arial" w:hAnsi="Arial" w:cs="Arial"/>
          <w:sz w:val="24"/>
          <w:szCs w:val="24"/>
        </w:rPr>
        <w:t>if the Supplier will be responsible for taking ou</w:t>
      </w:r>
      <w:r>
        <w:rPr>
          <w:sz w:val="24"/>
          <w:szCs w:val="24"/>
        </w:rPr>
        <w:t>t</w:t>
      </w:r>
      <w:r>
        <w:rPr>
          <w:rFonts w:ascii="Arial" w:eastAsia="Arial" w:hAnsi="Arial" w:cs="Arial"/>
          <w:sz w:val="24"/>
          <w:szCs w:val="24"/>
        </w:rPr>
        <w:t xml:space="preserve"> and maintaining, or procuring the taking out and maintenance, of additional insurance cover, the Buyer should specify the insurance cover required below.</w:t>
      </w:r>
      <w:r>
        <w:rPr>
          <w:rFonts w:ascii="Arial" w:eastAsia="Arial" w:hAnsi="Arial" w:cs="Arial"/>
          <w:b/>
          <w:sz w:val="24"/>
          <w:szCs w:val="24"/>
        </w:rPr>
        <w:t xml:space="preserve">] </w:t>
      </w:r>
      <w:r>
        <w:t xml:space="preserve"> </w:t>
      </w:r>
    </w:p>
    <w:p w14:paraId="000000ED" w14:textId="77777777" w:rsidR="003277BB" w:rsidRDefault="003277BB">
      <w:pPr>
        <w:spacing w:after="0" w:line="259" w:lineRule="auto"/>
        <w:rPr>
          <w:highlight w:val="yellow"/>
        </w:rPr>
      </w:pPr>
    </w:p>
    <w:p w14:paraId="000000EE"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EF" w14:textId="25424FA2" w:rsidR="003277BB" w:rsidRDefault="00F63F3D">
      <w:pPr>
        <w:spacing w:after="0" w:line="240" w:lineRule="auto"/>
        <w:jc w:val="both"/>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details of Additional Insurances required in accordance with Joint Sche</w:t>
      </w:r>
      <w:r w:rsidR="00247977">
        <w:rPr>
          <w:rFonts w:ascii="Arial" w:eastAsia="Arial" w:hAnsi="Arial" w:cs="Arial"/>
          <w:sz w:val="24"/>
          <w:szCs w:val="24"/>
        </w:rPr>
        <w:t>dule 3 (Insurance Requirements)</w:t>
      </w:r>
      <w:r>
        <w:rPr>
          <w:rFonts w:ascii="Arial" w:eastAsia="Arial" w:hAnsi="Arial" w:cs="Arial"/>
          <w:sz w:val="24"/>
          <w:szCs w:val="24"/>
        </w:rPr>
        <w:t>]</w:t>
      </w:r>
    </w:p>
    <w:p w14:paraId="000000F0" w14:textId="77777777" w:rsidR="003277BB" w:rsidRDefault="003277BB">
      <w:pPr>
        <w:spacing w:after="0" w:line="240" w:lineRule="auto"/>
        <w:jc w:val="both"/>
        <w:rPr>
          <w:rFonts w:ascii="Arial" w:eastAsia="Arial" w:hAnsi="Arial" w:cs="Arial"/>
          <w:sz w:val="24"/>
          <w:szCs w:val="24"/>
        </w:rPr>
      </w:pPr>
    </w:p>
    <w:p w14:paraId="000000F1" w14:textId="77777777" w:rsidR="003277BB" w:rsidRDefault="00F63F3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F2" w14:textId="77777777" w:rsidR="003277BB" w:rsidRDefault="00F63F3D">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F3" w14:textId="77777777" w:rsidR="003277BB" w:rsidRDefault="00F63F3D">
      <w:pPr>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The Supplier must have a Call-Off Guarantor to guarantee their performance using the form in Joint Schedule 8 (Guarantee)</w:t>
      </w:r>
    </w:p>
    <w:p w14:paraId="000000F4" w14:textId="77777777" w:rsidR="003277BB" w:rsidRDefault="00F63F3D">
      <w:pPr>
        <w:tabs>
          <w:tab w:val="left" w:pos="2257"/>
        </w:tabs>
        <w:spacing w:after="0" w:line="259" w:lineRule="auto"/>
        <w:rPr>
          <w:rFonts w:ascii="Arial" w:eastAsia="Arial" w:hAnsi="Arial" w:cs="Arial"/>
          <w:sz w:val="24"/>
          <w:szCs w:val="24"/>
        </w:rPr>
      </w:pPr>
      <w:proofErr w:type="gramStart"/>
      <w:r>
        <w:rPr>
          <w:rFonts w:ascii="Arial" w:eastAsia="Arial" w:hAnsi="Arial" w:cs="Arial"/>
          <w:b/>
          <w:sz w:val="24"/>
          <w:szCs w:val="24"/>
          <w:highlight w:val="yellow"/>
        </w:rPr>
        <w:t>or</w:t>
      </w:r>
      <w:proofErr w:type="gramEnd"/>
      <w:r>
        <w:rPr>
          <w:rFonts w:ascii="Arial" w:eastAsia="Arial" w:hAnsi="Arial" w:cs="Arial"/>
          <w:b/>
          <w:sz w:val="24"/>
          <w:szCs w:val="24"/>
          <w:highlight w:val="yellow"/>
        </w:rPr>
        <w:t xml:space="preserve"> insert</w:t>
      </w:r>
      <w:r>
        <w:rPr>
          <w:rFonts w:ascii="Arial" w:eastAsia="Arial" w:hAnsi="Arial" w:cs="Arial"/>
          <w:sz w:val="24"/>
          <w:szCs w:val="24"/>
        </w:rPr>
        <w:t xml:space="preserve"> There is a guarantee of the Supplier's performance provided for all Call-Off Contracts entered under the Framework Contract]</w:t>
      </w:r>
    </w:p>
    <w:p w14:paraId="000000F5" w14:textId="77777777" w:rsidR="003277BB" w:rsidRDefault="003277BB">
      <w:pPr>
        <w:spacing w:after="0" w:line="259" w:lineRule="auto"/>
        <w:rPr>
          <w:rFonts w:ascii="Arial" w:eastAsia="Arial" w:hAnsi="Arial" w:cs="Arial"/>
          <w:b/>
          <w:sz w:val="24"/>
          <w:szCs w:val="24"/>
          <w:highlight w:val="yellow"/>
        </w:rPr>
      </w:pPr>
    </w:p>
    <w:p w14:paraId="000000F6" w14:textId="77777777" w:rsidR="003277BB" w:rsidRDefault="00F63F3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0F7" w14:textId="77777777" w:rsidR="003277BB" w:rsidRDefault="00F63F3D">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14:paraId="000000F8" w14:textId="77777777" w:rsidR="003277BB" w:rsidRDefault="003277BB">
      <w:pPr>
        <w:spacing w:after="0" w:line="240" w:lineRule="auto"/>
        <w:jc w:val="both"/>
        <w:rPr>
          <w:rFonts w:ascii="Arial" w:eastAsia="Arial" w:hAnsi="Arial" w:cs="Arial"/>
          <w:sz w:val="24"/>
          <w:szCs w:val="24"/>
        </w:rPr>
      </w:pPr>
    </w:p>
    <w:p w14:paraId="000000F9" w14:textId="77777777" w:rsidR="003277BB" w:rsidRDefault="00F63F3D">
      <w:pPr>
        <w:spacing w:after="0" w:line="240" w:lineRule="auto"/>
        <w:jc w:val="both"/>
        <w:rPr>
          <w:rFonts w:ascii="Arial" w:eastAsia="Arial" w:hAnsi="Arial" w:cs="Arial"/>
          <w:sz w:val="24"/>
          <w:szCs w:val="24"/>
        </w:rPr>
      </w:pPr>
      <w:r>
        <w:rPr>
          <w:rFonts w:ascii="Arial" w:eastAsia="Arial" w:hAnsi="Arial" w:cs="Arial"/>
          <w:sz w:val="24"/>
          <w:szCs w:val="24"/>
        </w:rPr>
        <w:t>CYBER ESSENTIALS</w:t>
      </w:r>
    </w:p>
    <w:p w14:paraId="000000FA" w14:textId="77777777" w:rsidR="003277BB" w:rsidRDefault="003277BB">
      <w:pPr>
        <w:spacing w:after="0" w:line="240" w:lineRule="auto"/>
        <w:jc w:val="both"/>
        <w:rPr>
          <w:rFonts w:ascii="Arial" w:eastAsia="Arial" w:hAnsi="Arial" w:cs="Arial"/>
          <w:sz w:val="24"/>
          <w:szCs w:val="24"/>
        </w:rPr>
      </w:pPr>
    </w:p>
    <w:p w14:paraId="000000FB" w14:textId="0314A3D6" w:rsidR="003277BB" w:rsidRDefault="00F63F3D">
      <w:pPr>
        <w:spacing w:after="0" w:line="240" w:lineRule="auto"/>
        <w:jc w:val="both"/>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Buyer to consider whether it requires </w:t>
      </w:r>
      <w:r>
        <w:rPr>
          <w:rFonts w:ascii="Arial" w:eastAsia="Arial" w:hAnsi="Arial" w:cs="Arial"/>
          <w:color w:val="000000"/>
          <w:sz w:val="24"/>
          <w:szCs w:val="24"/>
        </w:rPr>
        <w:t>Cyber Essentials Scheme</w:t>
      </w:r>
      <w:r w:rsidR="00E63D67">
        <w:rPr>
          <w:rFonts w:ascii="Arial" w:eastAsia="Arial" w:hAnsi="Arial" w:cs="Arial"/>
          <w:color w:val="000000"/>
          <w:sz w:val="24"/>
          <w:szCs w:val="24"/>
        </w:rPr>
        <w:t xml:space="preserve">, </w:t>
      </w:r>
      <w:r w:rsidRPr="00F63F3D">
        <w:rPr>
          <w:rFonts w:ascii="Arial" w:eastAsia="Arial" w:hAnsi="Arial" w:cs="Arial"/>
          <w:color w:val="000000"/>
          <w:sz w:val="24"/>
          <w:szCs w:val="24"/>
        </w:rPr>
        <w:t xml:space="preserve">IASME certified equivalents or </w:t>
      </w:r>
      <w:r w:rsidR="00E63D67">
        <w:rPr>
          <w:rFonts w:ascii="Arial" w:eastAsia="Arial" w:hAnsi="Arial" w:cs="Arial"/>
          <w:color w:val="000000"/>
          <w:sz w:val="24"/>
          <w:szCs w:val="24"/>
        </w:rPr>
        <w:t xml:space="preserve">any </w:t>
      </w:r>
      <w:r w:rsidRPr="00F63F3D">
        <w:rPr>
          <w:rFonts w:ascii="Arial" w:eastAsia="Arial" w:hAnsi="Arial" w:cs="Arial"/>
          <w:color w:val="000000"/>
          <w:sz w:val="24"/>
          <w:szCs w:val="24"/>
        </w:rPr>
        <w:t xml:space="preserve">additional </w:t>
      </w:r>
      <w:r w:rsidR="00E63D67">
        <w:rPr>
          <w:rFonts w:ascii="Arial" w:eastAsia="Arial" w:hAnsi="Arial" w:cs="Arial"/>
          <w:color w:val="000000"/>
          <w:sz w:val="24"/>
          <w:szCs w:val="24"/>
        </w:rPr>
        <w:t xml:space="preserve">Cyber Essentials requirements, </w:t>
      </w:r>
      <w:r w:rsidRPr="00F63F3D">
        <w:rPr>
          <w:rFonts w:ascii="Arial" w:eastAsia="Arial" w:hAnsi="Arial" w:cs="Arial"/>
          <w:color w:val="000000"/>
          <w:sz w:val="24"/>
          <w:szCs w:val="24"/>
        </w:rPr>
        <w:t>as required by the Buyer</w:t>
      </w:r>
      <w:r>
        <w:rPr>
          <w:rFonts w:ascii="Arial" w:eastAsia="Arial" w:hAnsi="Arial" w:cs="Arial"/>
          <w:color w:val="000000"/>
          <w:sz w:val="24"/>
          <w:szCs w:val="24"/>
        </w:rPr>
        <w:t>.]</w:t>
      </w:r>
    </w:p>
    <w:p w14:paraId="000000FC" w14:textId="77777777" w:rsidR="003277BB" w:rsidRDefault="00F63F3D">
      <w:pPr>
        <w:spacing w:after="0" w:line="240" w:lineRule="auto"/>
        <w:jc w:val="both"/>
        <w:rPr>
          <w:rFonts w:ascii="Arial" w:eastAsia="Arial" w:hAnsi="Arial" w:cs="Arial"/>
          <w:sz w:val="24"/>
          <w:szCs w:val="24"/>
        </w:rPr>
      </w:pPr>
      <w:r>
        <w:rPr>
          <w:rFonts w:ascii="Arial" w:eastAsia="Arial" w:hAnsi="Arial" w:cs="Arial"/>
          <w:b/>
          <w:sz w:val="24"/>
          <w:szCs w:val="24"/>
          <w:highlight w:val="yellow"/>
        </w:rPr>
        <w:t xml:space="preserve">      </w:t>
      </w:r>
    </w:p>
    <w:p w14:paraId="000000FD" w14:textId="77777777" w:rsidR="003277BB" w:rsidRDefault="00F63F3D">
      <w:pPr>
        <w:spacing w:after="0" w:line="240" w:lineRule="auto"/>
        <w:jc w:val="both"/>
        <w:rPr>
          <w:rFonts w:ascii="Arial" w:eastAsia="Arial" w:hAnsi="Arial" w:cs="Arial"/>
          <w:sz w:val="24"/>
          <w:szCs w:val="24"/>
        </w:rPr>
      </w:pPr>
      <w:r>
        <w:rPr>
          <w:rFonts w:ascii="Arial" w:eastAsia="Arial" w:hAnsi="Arial" w:cs="Arial"/>
          <w:sz w:val="24"/>
          <w:szCs w:val="24"/>
        </w:rPr>
        <w:t>CODE OF ACCEPTANCE (LOTS 1 TO 4, AND LOT 5 ONLY WHERE APPLICABLE)</w:t>
      </w:r>
    </w:p>
    <w:p w14:paraId="000000FE" w14:textId="77777777" w:rsidR="003277BB" w:rsidRDefault="003277BB">
      <w:pPr>
        <w:spacing w:after="0" w:line="240" w:lineRule="auto"/>
        <w:jc w:val="both"/>
        <w:rPr>
          <w:rFonts w:ascii="Arial" w:eastAsia="Arial" w:hAnsi="Arial" w:cs="Arial"/>
          <w:sz w:val="24"/>
          <w:szCs w:val="24"/>
        </w:rPr>
      </w:pPr>
    </w:p>
    <w:p w14:paraId="000000FF" w14:textId="77777777" w:rsidR="003277BB" w:rsidRDefault="00F63F3D">
      <w:pPr>
        <w:spacing w:after="0" w:line="240" w:lineRule="auto"/>
        <w:jc w:val="both"/>
        <w:rPr>
          <w:rFonts w:ascii="Arial" w:eastAsia="Arial" w:hAnsi="Arial" w:cs="Arial"/>
          <w:b/>
          <w:sz w:val="24"/>
          <w:szCs w:val="24"/>
        </w:rPr>
      </w:pPr>
      <w:r>
        <w:rPr>
          <w:rFonts w:ascii="Arial" w:eastAsia="Arial" w:hAnsi="Arial" w:cs="Arial"/>
          <w:b/>
          <w:sz w:val="24"/>
          <w:szCs w:val="24"/>
          <w:highlight w:val="yellow"/>
        </w:rPr>
        <w:t>[Buyer Guidance:</w:t>
      </w:r>
      <w:r>
        <w:rPr>
          <w:rFonts w:ascii="Arial" w:eastAsia="Arial" w:hAnsi="Arial" w:cs="Arial"/>
          <w:b/>
          <w:i/>
          <w:sz w:val="24"/>
          <w:szCs w:val="24"/>
          <w:highlight w:val="yellow"/>
        </w:rPr>
        <w:t xml:space="preserve"> </w:t>
      </w:r>
      <w:r>
        <w:rPr>
          <w:rFonts w:ascii="Arial" w:eastAsia="Arial" w:hAnsi="Arial" w:cs="Arial"/>
          <w:sz w:val="24"/>
          <w:szCs w:val="24"/>
        </w:rPr>
        <w:t>Buyer to include reference to any relevant Code(s) of Acceptance in relation to advertising content/materials in accordance with the terms of the relevant Call-Off Special Schedule.</w:t>
      </w:r>
      <w:r>
        <w:rPr>
          <w:rFonts w:ascii="Arial" w:eastAsia="Arial" w:hAnsi="Arial" w:cs="Arial"/>
          <w:b/>
          <w:sz w:val="24"/>
          <w:szCs w:val="24"/>
        </w:rPr>
        <w:t>]</w:t>
      </w:r>
    </w:p>
    <w:p w14:paraId="00000100" w14:textId="77777777" w:rsidR="003277BB" w:rsidRDefault="003277BB">
      <w:pPr>
        <w:spacing w:after="0" w:line="240" w:lineRule="auto"/>
        <w:jc w:val="both"/>
        <w:rPr>
          <w:rFonts w:ascii="Arial" w:eastAsia="Arial" w:hAnsi="Arial" w:cs="Arial"/>
          <w:b/>
          <w:sz w:val="24"/>
          <w:szCs w:val="24"/>
        </w:rPr>
      </w:pPr>
    </w:p>
    <w:p w14:paraId="00000101" w14:textId="77777777" w:rsidR="003277BB" w:rsidRDefault="00F63F3D">
      <w:pPr>
        <w:spacing w:after="0" w:line="240" w:lineRule="auto"/>
        <w:jc w:val="both"/>
        <w:rPr>
          <w:rFonts w:ascii="Arial" w:eastAsia="Arial" w:hAnsi="Arial" w:cs="Arial"/>
          <w:sz w:val="24"/>
          <w:szCs w:val="24"/>
        </w:rPr>
      </w:pPr>
      <w:r>
        <w:rPr>
          <w:rFonts w:ascii="Arial" w:eastAsia="Arial" w:hAnsi="Arial" w:cs="Arial"/>
          <w:sz w:val="24"/>
          <w:szCs w:val="24"/>
        </w:rPr>
        <w:t>LIST OF APPROVED SITES (LOTS 1 TO 4 ONLY)</w:t>
      </w:r>
    </w:p>
    <w:p w14:paraId="00000102" w14:textId="77777777" w:rsidR="003277BB" w:rsidRDefault="003277BB">
      <w:pPr>
        <w:spacing w:after="0" w:line="240" w:lineRule="auto"/>
        <w:jc w:val="both"/>
        <w:rPr>
          <w:rFonts w:ascii="Arial" w:eastAsia="Arial" w:hAnsi="Arial" w:cs="Arial"/>
          <w:sz w:val="24"/>
          <w:szCs w:val="24"/>
        </w:rPr>
      </w:pPr>
    </w:p>
    <w:p w14:paraId="00000103" w14:textId="633DAC2B" w:rsidR="003277BB" w:rsidRDefault="00F63F3D">
      <w:pPr>
        <w:spacing w:after="0" w:line="240" w:lineRule="auto"/>
        <w:jc w:val="both"/>
        <w:rPr>
          <w:rFonts w:ascii="Arial" w:eastAsia="Arial" w:hAnsi="Arial" w:cs="Arial"/>
          <w:sz w:val="24"/>
          <w:szCs w:val="24"/>
        </w:rPr>
      </w:pPr>
      <w:bookmarkStart w:id="4" w:name="_heading=h.1fob9te" w:colFirst="0" w:colLast="0"/>
      <w:bookmarkEnd w:id="4"/>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sz w:val="24"/>
          <w:szCs w:val="24"/>
          <w:highlight w:val="yellow"/>
        </w:rPr>
        <w:t>Insert</w:t>
      </w:r>
      <w:r>
        <w:rPr>
          <w:rFonts w:ascii="Arial" w:eastAsia="Arial" w:hAnsi="Arial" w:cs="Arial"/>
          <w:sz w:val="24"/>
          <w:szCs w:val="24"/>
        </w:rPr>
        <w:t xml:space="preserve"> list of locations at which Advertising may be displayed or Experiential Advertising delivered that have been approved by the Buyer as at the commencement of the Call-Off Contract. If the list of approved sites/assets is set out in the Buyer's Specification, then insert "Please refer to the Specification"]</w:t>
      </w:r>
    </w:p>
    <w:p w14:paraId="00000104" w14:textId="77777777" w:rsidR="003277BB" w:rsidRDefault="00F63F3D">
      <w:pPr>
        <w:spacing w:after="0" w:line="240" w:lineRule="auto"/>
        <w:jc w:val="both"/>
        <w:rPr>
          <w:rFonts w:ascii="Arial" w:eastAsia="Arial" w:hAnsi="Arial" w:cs="Arial"/>
          <w:b/>
          <w:i/>
          <w:sz w:val="24"/>
          <w:szCs w:val="24"/>
        </w:rPr>
      </w:pPr>
      <w:r>
        <w:rPr>
          <w:rFonts w:ascii="Arial" w:eastAsia="Arial" w:hAnsi="Arial" w:cs="Arial"/>
          <w:b/>
          <w:i/>
          <w:sz w:val="24"/>
          <w:szCs w:val="24"/>
        </w:rPr>
        <w:t xml:space="preserve"> </w:t>
      </w:r>
    </w:p>
    <w:p w14:paraId="00000105" w14:textId="77777777" w:rsidR="003277BB" w:rsidRDefault="003277BB">
      <w:pPr>
        <w:spacing w:after="240"/>
        <w:jc w:val="both"/>
        <w:rPr>
          <w:rFonts w:ascii="Arial" w:eastAsia="Arial" w:hAnsi="Arial" w:cs="Arial"/>
          <w:sz w:val="24"/>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277BB" w14:paraId="00B84AF1" w14:textId="77777777" w:rsidTr="003277B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06" w14:textId="77777777" w:rsidR="003277BB" w:rsidRDefault="00F63F3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8" w14:textId="77777777" w:rsidR="003277BB" w:rsidRDefault="00F63F3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277BB" w14:paraId="391FA3AB" w14:textId="77777777" w:rsidTr="003277B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0A" w14:textId="77777777" w:rsidR="003277BB" w:rsidRDefault="00F63F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B" w14:textId="77777777" w:rsidR="003277BB" w:rsidRDefault="003277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0C" w14:textId="77777777" w:rsidR="003277BB" w:rsidRDefault="00F63F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10D" w14:textId="77777777" w:rsidR="003277BB" w:rsidRDefault="003277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277BB" w14:paraId="0DD69FBB" w14:textId="77777777" w:rsidTr="003277B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0E" w14:textId="77777777" w:rsidR="003277BB" w:rsidRDefault="00F63F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F" w14:textId="77777777" w:rsidR="003277BB" w:rsidRDefault="003277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10" w14:textId="77777777" w:rsidR="003277BB" w:rsidRDefault="00F63F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111" w14:textId="77777777" w:rsidR="003277BB" w:rsidRDefault="003277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3277BB" w14:paraId="7DBA883F" w14:textId="77777777" w:rsidTr="003277B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12" w14:textId="77777777" w:rsidR="003277BB" w:rsidRDefault="00F63F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113" w14:textId="77777777" w:rsidR="003277BB" w:rsidRDefault="003277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14" w14:textId="77777777" w:rsidR="003277BB" w:rsidRDefault="00F63F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115" w14:textId="77777777" w:rsidR="003277BB" w:rsidRDefault="003277B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277BB" w14:paraId="7809C561" w14:textId="77777777" w:rsidTr="003277B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16" w14:textId="77777777" w:rsidR="003277BB" w:rsidRDefault="00F63F3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7" w14:textId="77777777" w:rsidR="003277BB" w:rsidRDefault="003277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18" w14:textId="77777777" w:rsidR="003277BB" w:rsidRDefault="00F63F3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119" w14:textId="77777777" w:rsidR="003277BB" w:rsidRDefault="003277B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11A" w14:textId="77777777" w:rsidR="003277BB" w:rsidRDefault="003277BB">
      <w:pPr>
        <w:rPr>
          <w:rFonts w:ascii="Arial" w:eastAsia="Arial" w:hAnsi="Arial" w:cs="Arial"/>
          <w:color w:val="1F497D"/>
          <w:sz w:val="24"/>
          <w:szCs w:val="24"/>
          <w:highlight w:val="yellow"/>
        </w:rPr>
      </w:pPr>
    </w:p>
    <w:p w14:paraId="0000011B" w14:textId="77777777" w:rsidR="003277BB" w:rsidRDefault="00F63F3D">
      <w:pPr>
        <w:rPr>
          <w:rFonts w:ascii="Arial" w:eastAsia="Arial" w:hAnsi="Arial" w:cs="Arial"/>
          <w:color w:val="1F497D"/>
          <w:sz w:val="24"/>
          <w:szCs w:val="24"/>
        </w:rPr>
      </w:pPr>
      <w:bookmarkStart w:id="5" w:name="_heading=h.2et92p0" w:colFirst="0" w:colLast="0"/>
      <w:bookmarkEnd w:id="5"/>
      <w:r>
        <w:rPr>
          <w:rFonts w:ascii="Arial" w:eastAsia="Arial" w:hAnsi="Arial" w:cs="Arial"/>
          <w:sz w:val="24"/>
          <w:szCs w:val="24"/>
          <w:highlight w:val="yellow"/>
        </w:rPr>
        <w:t>[</w:t>
      </w:r>
      <w:r>
        <w:rPr>
          <w:rFonts w:ascii="Arial" w:eastAsia="Arial" w:hAnsi="Arial" w:cs="Arial"/>
          <w:b/>
          <w:sz w:val="24"/>
          <w:szCs w:val="24"/>
          <w:highlight w:val="yellow"/>
        </w:rPr>
        <w:t>Buyer guid</w:t>
      </w:r>
      <w:bookmarkStart w:id="6" w:name="_GoBack"/>
      <w:bookmarkEnd w:id="6"/>
      <w:r>
        <w:rPr>
          <w:rFonts w:ascii="Arial" w:eastAsia="Arial" w:hAnsi="Arial" w:cs="Arial"/>
          <w:b/>
          <w:sz w:val="24"/>
          <w:szCs w:val="24"/>
          <w:highlight w:val="yellow"/>
        </w:rPr>
        <w:t xml:space="preserve">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p>
    <w:sectPr w:rsidR="003277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359E4" w14:textId="77777777" w:rsidR="0098762D" w:rsidRDefault="00F63F3D">
      <w:pPr>
        <w:spacing w:after="0" w:line="240" w:lineRule="auto"/>
      </w:pPr>
      <w:r>
        <w:separator/>
      </w:r>
    </w:p>
  </w:endnote>
  <w:endnote w:type="continuationSeparator" w:id="0">
    <w:p w14:paraId="77F6813A" w14:textId="77777777" w:rsidR="0098762D" w:rsidRDefault="00F6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1" w14:textId="77777777" w:rsidR="003277BB" w:rsidRDefault="003277B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2" w14:textId="77777777" w:rsidR="003277BB" w:rsidRDefault="003277BB">
    <w:pPr>
      <w:tabs>
        <w:tab w:val="left" w:pos="2404"/>
        <w:tab w:val="center" w:pos="4513"/>
        <w:tab w:val="right" w:pos="9026"/>
      </w:tabs>
      <w:spacing w:after="0" w:line="240" w:lineRule="auto"/>
    </w:pPr>
  </w:p>
  <w:p w14:paraId="00000123" w14:textId="77777777" w:rsidR="003277BB" w:rsidRDefault="00F63F3D">
    <w:pPr>
      <w:tabs>
        <w:tab w:val="left" w:pos="2404"/>
        <w:tab w:val="center" w:pos="4513"/>
        <w:tab w:val="right" w:pos="9026"/>
      </w:tabs>
      <w:spacing w:after="0" w:line="240" w:lineRule="auto"/>
      <w:ind w:right="-850"/>
      <w:rPr>
        <w:rFonts w:ascii="Arial" w:eastAsia="Arial" w:hAnsi="Arial" w:cs="Arial"/>
        <w:sz w:val="20"/>
        <w:szCs w:val="20"/>
      </w:rPr>
    </w:pPr>
    <w:r>
      <w:rPr>
        <w:rFonts w:ascii="Arial" w:eastAsia="Arial" w:hAnsi="Arial" w:cs="Arial"/>
        <w:sz w:val="20"/>
        <w:szCs w:val="20"/>
      </w:rPr>
      <w:t>RM6349 – Income Generation from Estates &amp; Assets                                                         </w:t>
    </w:r>
    <w:r>
      <w:rPr>
        <w:rFonts w:ascii="Arial" w:eastAsia="Arial" w:hAnsi="Arial" w:cs="Arial"/>
        <w:sz w:val="20"/>
        <w:szCs w:val="20"/>
      </w:rPr>
      <w:tab/>
      <w:t xml:space="preserve">                                           </w:t>
    </w:r>
  </w:p>
  <w:p w14:paraId="00000124" w14:textId="3F9F3D59" w:rsidR="003277BB" w:rsidRDefault="00F63F3D">
    <w:pPr>
      <w:pBdr>
        <w:top w:val="nil"/>
        <w:left w:val="nil"/>
        <w:bottom w:val="nil"/>
        <w:right w:val="nil"/>
        <w:between w:val="nil"/>
      </w:pBdr>
      <w:tabs>
        <w:tab w:val="center" w:pos="4513"/>
        <w:tab w:val="right" w:pos="9026"/>
      </w:tabs>
      <w:spacing w:after="0" w:line="240" w:lineRule="auto"/>
      <w:ind w:right="-624"/>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tab/>
      <w:t xml:space="preserve"> </w:t>
    </w:r>
  </w:p>
  <w:p w14:paraId="00000125" w14:textId="65BD319D" w:rsidR="003277BB" w:rsidRPr="00266893" w:rsidRDefault="00F63F3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4"/>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E6463">
      <w:rPr>
        <w:rFonts w:ascii="Arial" w:eastAsia="Arial" w:hAnsi="Arial" w:cs="Arial"/>
        <w:noProof/>
        <w:color w:val="000000"/>
        <w:sz w:val="20"/>
        <w:szCs w:val="20"/>
      </w:rPr>
      <w:t>9</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27" w14:textId="77777777" w:rsidR="003277BB" w:rsidRDefault="003277BB">
    <w:pPr>
      <w:tabs>
        <w:tab w:val="center" w:pos="4513"/>
        <w:tab w:val="right" w:pos="9026"/>
      </w:tabs>
      <w:spacing w:after="0"/>
      <w:jc w:val="both"/>
      <w:rPr>
        <w:color w:val="A6A6A6"/>
      </w:rPr>
    </w:pPr>
  </w:p>
  <w:p w14:paraId="00000128" w14:textId="77777777" w:rsidR="003277BB" w:rsidRDefault="00F63F3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29" w14:textId="092E48B3" w:rsidR="003277BB" w:rsidRDefault="00F63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17DA6">
      <w:rPr>
        <w:rFonts w:ascii="Arial" w:eastAsia="Arial" w:hAnsi="Arial" w:cs="Arial"/>
        <w:noProof/>
        <w:color w:val="000000"/>
        <w:sz w:val="20"/>
        <w:szCs w:val="20"/>
      </w:rPr>
      <w:t>3</w:t>
    </w:r>
    <w:r>
      <w:rPr>
        <w:rFonts w:ascii="Arial" w:eastAsia="Arial" w:hAnsi="Arial" w:cs="Arial"/>
        <w:color w:val="000000"/>
        <w:sz w:val="20"/>
        <w:szCs w:val="20"/>
      </w:rPr>
      <w:fldChar w:fldCharType="end"/>
    </w:r>
  </w:p>
  <w:p w14:paraId="0000012A" w14:textId="77777777" w:rsidR="003277BB" w:rsidRDefault="00F63F3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C26EC" w14:textId="77777777" w:rsidR="0098762D" w:rsidRDefault="00F63F3D">
      <w:pPr>
        <w:spacing w:after="0" w:line="240" w:lineRule="auto"/>
      </w:pPr>
      <w:r>
        <w:separator/>
      </w:r>
    </w:p>
  </w:footnote>
  <w:footnote w:type="continuationSeparator" w:id="0">
    <w:p w14:paraId="73C0D5D9" w14:textId="77777777" w:rsidR="0098762D" w:rsidRDefault="00F63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C" w14:textId="77777777" w:rsidR="003277BB" w:rsidRDefault="003277B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D" w14:textId="77777777" w:rsidR="003277BB" w:rsidRDefault="00F63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1E" w14:textId="77777777" w:rsidR="003277BB" w:rsidRDefault="00F63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F" w14:textId="77777777" w:rsidR="003277BB" w:rsidRDefault="00F63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20" w14:textId="77777777" w:rsidR="003277BB" w:rsidRDefault="00F63F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326D"/>
    <w:multiLevelType w:val="multilevel"/>
    <w:tmpl w:val="79A05860"/>
    <w:lvl w:ilvl="0">
      <w:start w:val="1"/>
      <w:numFmt w:val="bullet"/>
      <w:pStyle w:val="GPSL1SCHEDULEHeading"/>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40462EF"/>
    <w:multiLevelType w:val="multilevel"/>
    <w:tmpl w:val="50DC7F2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703655"/>
    <w:multiLevelType w:val="multilevel"/>
    <w:tmpl w:val="42844F88"/>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F704E2"/>
    <w:multiLevelType w:val="multilevel"/>
    <w:tmpl w:val="231E8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4DF5FBF"/>
    <w:multiLevelType w:val="multilevel"/>
    <w:tmpl w:val="E93E9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4A4D3F"/>
    <w:multiLevelType w:val="multilevel"/>
    <w:tmpl w:val="468A6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7BB"/>
    <w:rsid w:val="0003019E"/>
    <w:rsid w:val="00247977"/>
    <w:rsid w:val="00266893"/>
    <w:rsid w:val="002D13ED"/>
    <w:rsid w:val="002E6463"/>
    <w:rsid w:val="003277BB"/>
    <w:rsid w:val="003F068D"/>
    <w:rsid w:val="00617DA6"/>
    <w:rsid w:val="0098762D"/>
    <w:rsid w:val="00BD7C1F"/>
    <w:rsid w:val="00E63D67"/>
    <w:rsid w:val="00ED4FB5"/>
    <w:rsid w:val="00F63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62C803"/>
  <w15:docId w15:val="{CBB646AB-3397-4AFF-A8F8-27A04B6B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vFfgTW1PJbVqH9D92JMBLH6ABw==">CgMxLjAaJwoBMBIiCiAIBCocCgtBQUFCT05sZmVDNBAIGgtBQUFCT05sZmVDNBonCgExEiIKIAgEKhwKC0FBQUJPT2UtY0lBEAgaC0FBQUJPT2UtY0lBGhoKATISFQoTCAQqDwoLQUFBQk9PZS1jSUkQASKrBQoLQUFBQk9ObGZlQzQS+wQKC0FBQUJPTmxmZUM0EgtBQUFCT05sZmVDNBpDCgl0ZXh0L2h0bWwSNlRvIHJldmlldyBmb3IgY29uc2lzdGVuY3kgb25jZSBhZ3JlZWQgYWNyb3NzIHRoZSBib2FyZCJECgp0ZXh0L3BsYWluEjZUbyByZXZpZXcgZm9yIGNvbnNpc3RlbmN5IG9uY2UgYWdyZWVkIGFjcm9zcyB0aGUgYm9hcmQqGyIVMTAwMDEzNzg3Nzc4MjU2MTAxMDMzKAA4ADCg8PTXhDI4oPD014QyStACCgp0ZXh0L3BsYWluEsECTUFYSU1VTSBMSUFCSUxJVFkgClRoZSBsaW1pdGF0aW9uIG9mIGxpYWJpbGl0eSBmb3IgdGhpcyBDYWxsLU9mZiBDb250cmFjdCBpcyBzdGF0ZWQgaW4gQ2xhdXNlIDExLjIgb2YgdGhlIENvcmUgVGVybXMuCltCdXllciBndWlkYW5jZTogeW91IGNhbiBjaGFuZ2UgdGhlIGNhcCBvbiBsaWFiaWxpdHkgaW4gQ2xhdXNlIDExLjIgd2hlcmUgeW91IGhhdmUgbWFkZSBhbiBhcHByb3ByaWF0ZSByaXNrIGFzc2Vzc21lbnQgYW5kIHNvdWdodCB0aGUgbmVjZXNzYXJ5IG1hbmFnZW1lbnQgYXBwcm92YWxzLiBVbmxpbWl0ZWQgbGlhYmlsaXR5IGlzIG5vdCBwZXJtaXR0ZWRdWgxuN2RhZXFmaWVqZXdyAiAAeACaAQYIABAAGACqATgSNlRvIHJldmlldyBmb3IgY29uc2lzdGVuY3kgb25jZSBhZ3JlZWQgYWNyb3NzIHRoZSBib2FyZBig8PTXhDIgoPD014QyQhBraXgua2c2a2RkbmEzaXBpItwGCgtBQUFCT09lLWNJQRKqBgoLQUFBQk9PZS1jSUESC0FBQUJPT2UtY0lBGtIBCgl0ZXh0L2h0bWwSxAFJIHRoaW5rIEJ1eWVyIHNob3VsZCBkZWZpbml0ZWx5IHJlcXVpcmUgQ3liZXIgRXNzZW50aWFscyBvciBJQVNNRSBjZXJ0aWZpZWQgZXF1aXZhbGVudCAtIGNhbiB3ZSBjaGFuZ2UgdG8gc2F5IEN5YmVyIEVzc2VudGlhbHMgb3IgSUFTTUUgY2VydGlmaWVkIGVxdWl2YWxlbnRzIG9yIGFkZGl0aW9uYWwgYXMgcmVxdWlyZWQgYnkgdGhlIEJ1eWVyItMBCgp0ZXh0L3BsYWluEsQBSSB0aGluayBCdXllciBzaG91bGQgZGVmaW5pdGVseSByZXF1aXJlIEN5YmVyIEVzc2VudGlhbHMgb3IgSUFTTUUgY2VydGlmaWVkIGVxdWl2YWxlbnQgLSBjYW4gd2UgY2hhbmdlIHRvIHNheSBDeWJlciBFc3NlbnRpYWxzIG9yIElBU01FIGNlcnRpZmllZCBlcXVpdmFsZW50cyBvciBhZGRpdGlvbmFsIGFzIHJlcXVpcmVkIGJ5IHRoZSBCdXllciobIhUxMDAwMTM3ODc3NzgyNTYxMDEwMzMoADgAMOiD49WEMjj6sfvXhDJKSwoKdGV4dC9wbGFpbhI9QnV5ZXIgdG8gY29uc2lkZXIgd2hldGhlciBpdCByZXF1aXJlcyBDeWJlciBFc3NlbnRpYWxzIFNjaGVtZVoLYW13a3Vsdzk5NTdyAiAAeACaAQYIABAAGACqAccBEsQBSSB0aGluayBCdXllciBzaG91bGQgZGVmaW5pdGVseSByZXF1aXJlIEN5YmVyIEVzc2VudGlhbHMgb3IgSUFTTUUgY2VydGlmaWVkIGVxdWl2YWxlbnQgLSBjYW4gd2UgY2hhbmdlIHRvIHNheSBDeWJlciBFc3NlbnRpYWxzIG9yIElBU01FIGNlcnRpZmllZCBlcXVpdmFsZW50cyBvciBhZGRpdGlvbmFsIGFzIHJlcXVpcmVkIGJ5IHRoZSBCdXllcrABALgBABjog+PVhDIg+rH714QyMABCEGtpeC4zYXp5Y2oxeTgyaGwitQIKC0FBQUJPT2UtY0lJEv8BCgtBQUFCT09lLWNJSRILQUFBQk9PZS1jSUkaDQoJdGV4dC9odG1sEgAiDgoKdGV4dC9wbGFpbhIAKhsiFTEwMDAxMzc4Nzc3ODI1NjEwMTAzMygAOAAwubPm1YQyOLun59WEMkpfCiRhcHBsaWNhdGlvbi92bmQuZ29vZ2xlLWFwcHMuZG9jcy5tZHMaN8LX2uQBMRovCisKJW9yIEV4cGVyaWVudGlhbCBBZHZlcnRpc2luZyBkZWxpdmVyZWQQARgAEAFaDHBmOHRoczFxMGhqOHICIAB4AIIBFHN1Z2dlc3QuNXVxbjg2Y2IzeWJhmgEGCAAQABgAsAEAuAEAGLmz5tWEMiC7p+fVhDIwAEIUc3VnZ2VzdC41dXFuODZjYjN5YmEyCWguMzBqMHpsbDIIaC5namRneHMyCmlkLjMwajB6bGwyCWguM3pueXNoNzIJaC4xZm9iOXRlMgloLjJldDkycDA4AGopChRzdWdnZXN0LjV1cW44NmNiM3liYRIRQnJpZGdldCBTYW50YW5kZXJyITFuTE90SDlTLUF1dnZNckVqeEpPX1pqcW1KNnhUMjZU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2134</Words>
  <Characters>11870</Characters>
  <Application>Microsoft Office Word</Application>
  <DocSecurity>0</DocSecurity>
  <PresentationFormat/>
  <Lines>276</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4</cp:revision>
  <dcterms:created xsi:type="dcterms:W3CDTF">2024-06-26T10:06:00Z</dcterms:created>
  <dcterms:modified xsi:type="dcterms:W3CDTF">2024-06-26T20:09:00Z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90247667-2</vt:lpwstr>
  </property>
</Properties>
</file>