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FBA" w:rsidRDefault="00292BF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2E4FBA" w:rsidRDefault="002E4FBA">
      <w:pPr>
        <w:pBdr>
          <w:top w:val="nil"/>
          <w:left w:val="nil"/>
          <w:bottom w:val="nil"/>
          <w:right w:val="nil"/>
          <w:between w:val="nil"/>
        </w:pBdr>
        <w:spacing w:after="0" w:line="240" w:lineRule="auto"/>
        <w:rPr>
          <w:rFonts w:ascii="Arial" w:eastAsia="Arial" w:hAnsi="Arial" w:cs="Arial"/>
          <w:color w:val="000000"/>
          <w:sz w:val="24"/>
          <w:szCs w:val="24"/>
        </w:rPr>
      </w:pPr>
    </w:p>
    <w:p w:rsidR="002E4FBA" w:rsidRDefault="00292BF9">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292BF9" w:rsidRDefault="00292BF9" w:rsidP="00292BF9">
      <w:pPr>
        <w:pBdr>
          <w:top w:val="nil"/>
          <w:left w:val="nil"/>
          <w:bottom w:val="nil"/>
          <w:right w:val="nil"/>
          <w:between w:val="nil"/>
        </w:pBdr>
        <w:tabs>
          <w:tab w:val="center" w:pos="4513"/>
          <w:tab w:val="right" w:pos="9026"/>
        </w:tabs>
        <w:spacing w:after="0" w:line="240" w:lineRule="auto"/>
        <w:rPr>
          <w:rFonts w:ascii="Arial" w:eastAsia="Arial" w:hAnsi="Arial" w:cs="Arial"/>
          <w:i/>
          <w:sz w:val="24"/>
          <w:szCs w:val="24"/>
        </w:rPr>
      </w:pPr>
      <w:r w:rsidRPr="00292BF9">
        <w:rPr>
          <w:rFonts w:ascii="Arial" w:eastAsia="Arial" w:hAnsi="Arial" w:cs="Arial"/>
          <w:i/>
          <w:sz w:val="24"/>
          <w:szCs w:val="24"/>
          <w:highlight w:val="yellow"/>
        </w:rPr>
        <w:t>[</w:t>
      </w:r>
      <w:r w:rsidRPr="00292BF9">
        <w:rPr>
          <w:rFonts w:ascii="Arial" w:eastAsia="Arial" w:hAnsi="Arial" w:cs="Arial"/>
          <w:b/>
          <w:i/>
          <w:sz w:val="24"/>
          <w:szCs w:val="24"/>
          <w:highlight w:val="yellow"/>
        </w:rPr>
        <w:t>Guidance Note:</w:t>
      </w:r>
      <w:r w:rsidRPr="00292BF9">
        <w:rPr>
          <w:rFonts w:ascii="Arial" w:eastAsia="Arial" w:hAnsi="Arial" w:cs="Arial"/>
          <w:i/>
          <w:sz w:val="24"/>
          <w:szCs w:val="24"/>
          <w:highlight w:val="yellow"/>
        </w:rPr>
        <w:t xml:space="preserve"> please note that Joint Schedule 11 (Processing Data) is issued in draft form, and it will be populated on contract award. The intended data processing roles of the parties will also be confirmed on contract award, and Annex 1 (Processing Personal Data) will be populated accordingly.]</w:t>
      </w:r>
    </w:p>
    <w:p w:rsidR="00292BF9" w:rsidRDefault="00292BF9">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p>
    <w:p w:rsidR="00292BF9" w:rsidRDefault="00292BF9">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p>
    <w:p w:rsidR="002E4FBA" w:rsidRPr="00CE361F" w:rsidRDefault="00292BF9">
      <w:pPr>
        <w:pBdr>
          <w:top w:val="nil"/>
          <w:left w:val="nil"/>
          <w:bottom w:val="nil"/>
          <w:right w:val="nil"/>
          <w:between w:val="nil"/>
        </w:pBdr>
        <w:tabs>
          <w:tab w:val="center" w:pos="4513"/>
          <w:tab w:val="right" w:pos="9026"/>
        </w:tabs>
        <w:spacing w:after="0" w:line="240" w:lineRule="auto"/>
        <w:rPr>
          <w:rFonts w:ascii="Arial" w:eastAsia="Arial" w:hAnsi="Arial" w:cs="Arial"/>
          <w:i/>
          <w:sz w:val="24"/>
          <w:szCs w:val="24"/>
        </w:rPr>
      </w:pPr>
      <w:r w:rsidRPr="00CE361F">
        <w:rPr>
          <w:rFonts w:ascii="Arial" w:eastAsia="Arial" w:hAnsi="Arial" w:cs="Arial"/>
          <w:b/>
          <w:i/>
          <w:sz w:val="24"/>
          <w:szCs w:val="24"/>
          <w:highlight w:val="yellow"/>
        </w:rPr>
        <w:t>[Buyer Guidance:</w:t>
      </w:r>
      <w:r w:rsidRPr="00CE361F">
        <w:rPr>
          <w:rFonts w:ascii="Arial" w:eastAsia="Arial" w:hAnsi="Arial" w:cs="Arial"/>
          <w:i/>
          <w:sz w:val="24"/>
          <w:szCs w:val="24"/>
          <w:highlight w:val="yellow"/>
        </w:rPr>
        <w:t xml:space="preserve"> Buyers should consider including Call Off Schedule 9 (Security) to ensure their Call-Off Contract contains adequate security measures in order to protect Personal Data in compliance with Annex B of the GDPR PPN 03/22]</w:t>
      </w:r>
    </w:p>
    <w:p w:rsidR="002E4FBA" w:rsidRDefault="002E4FB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2E4FBA" w:rsidRDefault="00292BF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2E4FBA">
        <w:tc>
          <w:tcPr>
            <w:tcW w:w="2263" w:type="dxa"/>
          </w:tcPr>
          <w:p w:rsidR="002E4FBA" w:rsidRDefault="00292BF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“EU GDPR”</w:t>
            </w:r>
          </w:p>
        </w:tc>
        <w:tc>
          <w:tcPr>
            <w:tcW w:w="6753" w:type="dxa"/>
          </w:tcPr>
          <w:p w:rsidR="002E4FBA" w:rsidRDefault="00292BF9">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the General Data Protection Regulation ((EU) 2016/679);</w:t>
            </w:r>
          </w:p>
        </w:tc>
      </w:tr>
      <w:tr w:rsidR="002E4FBA">
        <w:tc>
          <w:tcPr>
            <w:tcW w:w="2263" w:type="dxa"/>
          </w:tcPr>
          <w:p w:rsidR="002E4FBA" w:rsidRDefault="00292BF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“Joint Control”</w:t>
            </w:r>
          </w:p>
        </w:tc>
        <w:tc>
          <w:tcPr>
            <w:tcW w:w="6753" w:type="dxa"/>
          </w:tcPr>
          <w:p w:rsidR="002E4FBA" w:rsidRDefault="00292BF9">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where two or more Controllers jointly determine the purposes and means of Processing;</w:t>
            </w:r>
          </w:p>
        </w:tc>
      </w:tr>
      <w:tr w:rsidR="002E4FBA">
        <w:tc>
          <w:tcPr>
            <w:tcW w:w="2263" w:type="dxa"/>
          </w:tcPr>
          <w:p w:rsidR="002E4FBA" w:rsidRDefault="00292BF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2E4FBA" w:rsidRDefault="00292BF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2E4FBA" w:rsidRDefault="00292BF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t>
      </w:r>
      <w:bookmarkStart w:id="0" w:name="_GoBack"/>
      <w:bookmarkEnd w:id="0"/>
      <w:r>
        <w:rPr>
          <w:rFonts w:ascii="Arial" w:eastAsia="Arial" w:hAnsi="Arial" w:cs="Arial"/>
          <w:sz w:val="24"/>
          <w:szCs w:val="24"/>
        </w:rPr>
        <w:t>Processor” in respect of the other Party who is “Controller”;</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2E4FBA" w:rsidRDefault="00292BF9">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2E4FBA" w:rsidRDefault="00292BF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Where one Party is Controller and the other Party its Processor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 or further provided in writing by the Controller and may not be determined by the Processor.</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2" w:name="bookmark=id.gjdgxs" w:colFirst="0" w:colLast="0"/>
      <w:bookmarkEnd w:id="2"/>
      <w:r>
        <w:rPr>
          <w:rFonts w:ascii="Arial" w:eastAsia="Arial" w:hAnsi="Arial" w:cs="Arial"/>
          <w:sz w:val="24"/>
          <w:szCs w:val="24"/>
        </w:rPr>
        <w:t>The Processor shall, in relation to any Personal Data Processed in connection with its obligations under the Contract:</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0j0zll" w:colFirst="0" w:colLast="0"/>
      <w:bookmarkEnd w:id="3"/>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or as further provided in writing by the Controller, unless the Processor is required to do otherwise by Law. If it is so required the Processor shall promptly notify the Controller before Processing the Personal Data unless prohibited by Law;</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1fob9te" w:colFirst="0" w:colLast="0"/>
      <w:bookmarkEnd w:id="4"/>
      <w:proofErr w:type="gramStart"/>
      <w:r>
        <w:rPr>
          <w:rFonts w:ascii="Arial" w:eastAsia="Arial" w:hAnsi="Arial" w:cs="Arial"/>
          <w:sz w:val="24"/>
          <w:szCs w:val="24"/>
        </w:rPr>
        <w:t>ensure</w:t>
      </w:r>
      <w:proofErr w:type="gramEnd"/>
      <w:r>
        <w:rPr>
          <w:rFonts w:ascii="Arial" w:eastAsia="Arial" w:hAnsi="Arial" w:cs="Arial"/>
          <w:sz w:val="24"/>
          <w:szCs w:val="24"/>
        </w:rPr>
        <w:t xml:space="preserve"> that it has in place Protective Measures, which are appropriate to protect against Personal Data Breach,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5" w:name="bookmark=id.3znysh7" w:colFirst="0" w:colLast="0"/>
      <w:bookmarkEnd w:id="5"/>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state of technological development; </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2E4FBA" w:rsidRDefault="00292BF9">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and which shall be maintained in accordance with Data Protection Legislation and Good Industry Practice;</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2et92p0" w:colFirst="0" w:colLast="0"/>
      <w:bookmarkEnd w:id="6"/>
      <w:r>
        <w:rPr>
          <w:rFonts w:ascii="Arial" w:eastAsia="Arial" w:hAnsi="Arial" w:cs="Arial"/>
          <w:sz w:val="24"/>
          <w:szCs w:val="24"/>
        </w:rPr>
        <w:t>ensure that:</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 and the Controller’s further written instructions;</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uses  all reasonable endeavours  to ensure the reliability and integrity of any Processor Personnel who have access to the Personal Data and ensure that they:</w:t>
      </w:r>
    </w:p>
    <w:p w:rsidR="002E4FBA" w:rsidRDefault="00292BF9" w:rsidP="00917A4F">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2E4FBA" w:rsidRDefault="00292BF9">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2E4FBA" w:rsidRDefault="00292BF9">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2E4FBA" w:rsidRDefault="00292BF9">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tyjcwt" w:colFirst="0" w:colLast="0"/>
      <w:bookmarkEnd w:id="7"/>
      <w:r>
        <w:rPr>
          <w:rFonts w:ascii="Arial" w:eastAsia="Arial" w:hAnsi="Arial" w:cs="Arial"/>
          <w:sz w:val="24"/>
          <w:szCs w:val="24"/>
        </w:rPr>
        <w:t>not transfer Personal Data outside of the UK  unless the prior written consent of the Controller has been obtained and the following conditions are fulfilled:</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3dy6vkm" w:colFirst="0" w:colLast="0"/>
      <w:bookmarkEnd w:id="8"/>
      <w:r>
        <w:rPr>
          <w:rFonts w:ascii="Arial" w:eastAsia="Arial" w:hAnsi="Arial" w:cs="Arial"/>
          <w:sz w:val="24"/>
          <w:szCs w:val="24"/>
        </w:rPr>
        <w:t>the destination country has been recognised as adequate by the UK government in accordance with Article 45 of the UK GDPR (or section 74 of the DPA 2018); or</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under section 119A(1) of the DPA 2018, as well as any additional measures determined by the Controller;</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1t3h5sf" w:colFirst="0" w:colLast="0"/>
      <w:bookmarkEnd w:id="9"/>
      <w:r>
        <w:rPr>
          <w:rFonts w:ascii="Arial" w:eastAsia="Arial" w:hAnsi="Arial" w:cs="Arial"/>
          <w:sz w:val="24"/>
          <w:szCs w:val="24"/>
        </w:rPr>
        <w:t>the Data Subject has enforceable rights and effective legal remedies;</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4d34og8" w:colFirst="0" w:colLast="0"/>
      <w:bookmarkEnd w:id="10"/>
      <w:r>
        <w:rPr>
          <w:rFonts w:ascii="Arial" w:eastAsia="Arial" w:hAnsi="Arial" w:cs="Arial"/>
          <w:sz w:val="24"/>
          <w:szCs w:val="24"/>
        </w:rPr>
        <w:t>the Processor complies with its obligations under  Data Protection Legislation by providing an adequate level of protection to any Personal Data that is transferred (or, if it is not so bound, uses its best endeavours to assist the Controller in meeting its obligations); and</w:t>
      </w:r>
    </w:p>
    <w:p w:rsidR="002E4FBA" w:rsidRDefault="00292BF9">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1" w:name="bookmark=id.2s8eyo1" w:colFirst="0" w:colLast="0"/>
      <w:bookmarkEnd w:id="11"/>
      <w:r>
        <w:rPr>
          <w:rFonts w:ascii="Arial" w:eastAsia="Arial" w:hAnsi="Arial" w:cs="Arial"/>
          <w:sz w:val="24"/>
          <w:szCs w:val="24"/>
        </w:rPr>
        <w:t xml:space="preserve">the Processor complies with any reasonable instructions notified to it in advance by the Controller with respect to the Processing of the Personal Data;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2" w:name="bookmark=id.17dp8vu" w:colFirst="0" w:colLast="0"/>
      <w:bookmarkEnd w:id="12"/>
      <w:r>
        <w:rPr>
          <w:rFonts w:ascii="Arial" w:eastAsia="Arial" w:hAnsi="Arial" w:cs="Arial"/>
          <w:sz w:val="24"/>
          <w:szCs w:val="24"/>
        </w:rPr>
        <w:t>where the Personal Data is subject to EU GDPR, not transfer Personal Data outside of the EU unless the prior written consent of the Controller has been obtained and the following conditions are fulfilled:</w:t>
      </w:r>
    </w:p>
    <w:p w:rsidR="002E4FBA" w:rsidRDefault="00292BF9">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2E4FBA" w:rsidRDefault="00292BF9">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2E4FBA" w:rsidRDefault="00292BF9">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2E4FBA" w:rsidRDefault="00292BF9">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2E4FBA" w:rsidRDefault="00292BF9">
      <w:pPr>
        <w:numPr>
          <w:ilvl w:val="3"/>
          <w:numId w:val="13"/>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any reasonable instructions notified to it in advance by the Controller with respect to the processing of the Personal Data; and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3rdcrjn" w:colFirst="0" w:colLast="0"/>
      <w:bookmarkEnd w:id="13"/>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  providing:</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the Controller  to comply with a Data Subject Access Request within the relevant timescales set out in the Data Protection Legislation;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4" w:name="_heading=h.26in1rg" w:colFirst="0" w:colLast="0"/>
      <w:bookmarkEnd w:id="14"/>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lnxbz9" w:colFirst="0" w:colLast="0"/>
      <w:bookmarkEnd w:id="15"/>
      <w:r>
        <w:rPr>
          <w:rFonts w:ascii="Arial" w:eastAsia="Arial" w:hAnsi="Arial" w:cs="Arial"/>
          <w:sz w:val="24"/>
          <w:szCs w:val="24"/>
        </w:rPr>
        <w:t>The Processor shall allow for audits of its Data Processing activity by the Controller or the Controller’s designated auditor.</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2E4FBA" w:rsidRDefault="00292BF9">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6" w:name="bookmark=id.35nkun2" w:colFirst="0" w:colLast="0"/>
      <w:bookmarkEnd w:id="16"/>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rsidR="002E4FBA" w:rsidRDefault="00292BF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2E4FBA" w:rsidRDefault="00292BF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rsidR="002E4FBA" w:rsidRDefault="00292BF9">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2E4FBA" w:rsidRDefault="00292BF9">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2E4FBA" w:rsidRDefault="00292BF9">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2E4FBA" w:rsidRDefault="002E4FBA">
      <w:pPr>
        <w:pBdr>
          <w:top w:val="nil"/>
          <w:left w:val="nil"/>
          <w:bottom w:val="nil"/>
          <w:right w:val="nil"/>
          <w:between w:val="nil"/>
        </w:pBdr>
        <w:spacing w:before="280" w:after="120"/>
        <w:ind w:left="709"/>
        <w:rPr>
          <w:rFonts w:ascii="Arial" w:eastAsia="Arial" w:hAnsi="Arial" w:cs="Arial"/>
          <w:sz w:val="24"/>
          <w:szCs w:val="24"/>
        </w:rPr>
      </w:pPr>
    </w:p>
    <w:p w:rsidR="002E4FBA" w:rsidRDefault="00292BF9">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t>Annex 1 - Processing Personal Data</w:t>
      </w:r>
    </w:p>
    <w:p w:rsidR="002E4FBA" w:rsidRDefault="00292BF9">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BD0149" w:rsidRPr="00CE361F" w:rsidRDefault="00292BF9" w:rsidP="00BD0149">
      <w:pPr>
        <w:pStyle w:val="NormalWeb"/>
        <w:spacing w:before="0" w:beforeAutospacing="0" w:after="0" w:afterAutospacing="0"/>
        <w:ind w:left="720"/>
        <w:jc w:val="both"/>
        <w:rPr>
          <w:rFonts w:eastAsia="Times New Roman"/>
          <w:highlight w:val="yellow"/>
        </w:rPr>
      </w:pPr>
      <w:r>
        <w:rPr>
          <w:rFonts w:ascii="Arial" w:eastAsia="Arial" w:hAnsi="Arial" w:cs="Arial"/>
        </w:rPr>
        <w:t xml:space="preserve">The contact details of the Relevant Authority’s Data Protection Officer are: </w:t>
      </w:r>
      <w:r w:rsidR="00BD0149" w:rsidRPr="00CE361F">
        <w:rPr>
          <w:rFonts w:ascii="Arial" w:eastAsia="Times New Roman" w:hAnsi="Arial" w:cs="Arial"/>
          <w:color w:val="000000"/>
          <w:highlight w:val="yellow"/>
          <w:shd w:val="clear" w:color="auto" w:fill="00FF00"/>
        </w:rPr>
        <w:t>Carmel Sutcliffe</w:t>
      </w:r>
    </w:p>
    <w:p w:rsidR="00BD0149" w:rsidRPr="00CE361F" w:rsidRDefault="00BD0149" w:rsidP="00BD0149">
      <w:pPr>
        <w:spacing w:after="0" w:line="240" w:lineRule="auto"/>
        <w:ind w:left="720"/>
        <w:jc w:val="both"/>
        <w:rPr>
          <w:rFonts w:ascii="Times New Roman" w:eastAsia="Times New Roman" w:hAnsi="Times New Roman" w:cs="Times New Roman"/>
          <w:sz w:val="24"/>
          <w:szCs w:val="24"/>
          <w:highlight w:val="yellow"/>
        </w:rPr>
      </w:pPr>
      <w:r w:rsidRPr="00CE361F">
        <w:rPr>
          <w:rFonts w:ascii="Arial" w:eastAsia="Times New Roman" w:hAnsi="Arial" w:cs="Arial"/>
          <w:color w:val="000000"/>
          <w:sz w:val="24"/>
          <w:szCs w:val="24"/>
          <w:highlight w:val="yellow"/>
          <w:shd w:val="clear" w:color="auto" w:fill="00FF00"/>
        </w:rPr>
        <w:t>Head of Privacy and Data Protection</w:t>
      </w:r>
    </w:p>
    <w:p w:rsidR="00BD0149" w:rsidRPr="00CE361F" w:rsidRDefault="00BD0149" w:rsidP="00BD0149">
      <w:pPr>
        <w:spacing w:after="0" w:line="240" w:lineRule="auto"/>
        <w:ind w:left="720"/>
        <w:jc w:val="both"/>
        <w:rPr>
          <w:rFonts w:ascii="Times New Roman" w:eastAsia="Times New Roman" w:hAnsi="Times New Roman" w:cs="Times New Roman"/>
          <w:sz w:val="24"/>
          <w:szCs w:val="24"/>
          <w:highlight w:val="yellow"/>
        </w:rPr>
      </w:pPr>
      <w:r w:rsidRPr="00CE361F">
        <w:rPr>
          <w:rFonts w:ascii="Arial" w:eastAsia="Times New Roman" w:hAnsi="Arial" w:cs="Arial"/>
          <w:color w:val="000000"/>
          <w:sz w:val="24"/>
          <w:szCs w:val="24"/>
          <w:highlight w:val="yellow"/>
          <w:shd w:val="clear" w:color="auto" w:fill="00FF00"/>
        </w:rPr>
        <w:t>Crown Commercial Service</w:t>
      </w:r>
    </w:p>
    <w:p w:rsidR="00BD0149" w:rsidRPr="00CE361F" w:rsidRDefault="00BD0149" w:rsidP="00BD0149">
      <w:pPr>
        <w:spacing w:after="0" w:line="240" w:lineRule="auto"/>
        <w:ind w:left="720"/>
        <w:jc w:val="both"/>
        <w:rPr>
          <w:rFonts w:ascii="Times New Roman" w:eastAsia="Times New Roman" w:hAnsi="Times New Roman" w:cs="Times New Roman"/>
          <w:sz w:val="24"/>
          <w:szCs w:val="24"/>
          <w:highlight w:val="yellow"/>
        </w:rPr>
      </w:pPr>
      <w:r w:rsidRPr="00CE361F">
        <w:rPr>
          <w:rFonts w:ascii="Arial" w:eastAsia="Times New Roman" w:hAnsi="Arial" w:cs="Arial"/>
          <w:color w:val="000000"/>
          <w:sz w:val="24"/>
          <w:szCs w:val="24"/>
          <w:highlight w:val="yellow"/>
          <w:shd w:val="clear" w:color="auto" w:fill="00FF00"/>
        </w:rPr>
        <w:t>The Capital, Old Hall Street</w:t>
      </w:r>
    </w:p>
    <w:p w:rsidR="00BD0149" w:rsidRPr="00CE361F" w:rsidRDefault="00BD0149" w:rsidP="00BD0149">
      <w:pPr>
        <w:spacing w:after="0" w:line="240" w:lineRule="auto"/>
        <w:ind w:left="720"/>
        <w:jc w:val="both"/>
        <w:rPr>
          <w:rFonts w:ascii="Times New Roman" w:eastAsia="Times New Roman" w:hAnsi="Times New Roman" w:cs="Times New Roman"/>
          <w:sz w:val="24"/>
          <w:szCs w:val="24"/>
          <w:highlight w:val="yellow"/>
        </w:rPr>
      </w:pPr>
      <w:r w:rsidRPr="00CE361F">
        <w:rPr>
          <w:rFonts w:ascii="Arial" w:eastAsia="Times New Roman" w:hAnsi="Arial" w:cs="Arial"/>
          <w:color w:val="000000"/>
          <w:sz w:val="24"/>
          <w:szCs w:val="24"/>
          <w:highlight w:val="yellow"/>
          <w:shd w:val="clear" w:color="auto" w:fill="00FF00"/>
        </w:rPr>
        <w:t>Liverpool</w:t>
      </w:r>
    </w:p>
    <w:p w:rsidR="00BD0149" w:rsidRPr="00BD0149" w:rsidRDefault="00BD0149" w:rsidP="00BD0149">
      <w:pPr>
        <w:spacing w:after="0" w:line="240" w:lineRule="auto"/>
        <w:ind w:left="720"/>
        <w:jc w:val="both"/>
        <w:rPr>
          <w:rFonts w:ascii="Times New Roman" w:eastAsia="Times New Roman" w:hAnsi="Times New Roman" w:cs="Times New Roman"/>
          <w:sz w:val="24"/>
          <w:szCs w:val="24"/>
        </w:rPr>
      </w:pPr>
      <w:r w:rsidRPr="00CE361F">
        <w:rPr>
          <w:rFonts w:ascii="Arial" w:eastAsia="Times New Roman" w:hAnsi="Arial" w:cs="Arial"/>
          <w:color w:val="000000"/>
          <w:sz w:val="24"/>
          <w:szCs w:val="24"/>
          <w:highlight w:val="yellow"/>
          <w:shd w:val="clear" w:color="auto" w:fill="00FF00"/>
        </w:rPr>
        <w:t>L3 9PP</w:t>
      </w:r>
    </w:p>
    <w:p w:rsidR="00BD0149" w:rsidRPr="00BD0149" w:rsidRDefault="00BD0149" w:rsidP="00BD0149">
      <w:pPr>
        <w:spacing w:after="0" w:line="240" w:lineRule="auto"/>
        <w:rPr>
          <w:rFonts w:ascii="Times New Roman" w:eastAsia="Times New Roman" w:hAnsi="Times New Roman" w:cs="Times New Roman"/>
          <w:sz w:val="24"/>
          <w:szCs w:val="24"/>
        </w:rPr>
      </w:pPr>
    </w:p>
    <w:p w:rsidR="002E4FBA" w:rsidRDefault="00292BF9">
      <w:pPr>
        <w:keepNext/>
        <w:numPr>
          <w:ilvl w:val="3"/>
          <w:numId w:val="6"/>
        </w:numPr>
        <w:spacing w:after="0" w:line="240" w:lineRule="auto"/>
        <w:jc w:val="both"/>
        <w:rPr>
          <w:rFonts w:ascii="Arial" w:eastAsia="Arial" w:hAnsi="Arial" w:cs="Arial"/>
          <w:sz w:val="24"/>
          <w:szCs w:val="24"/>
        </w:rPr>
      </w:pPr>
      <w:r w:rsidRPr="00292BF9">
        <w:rPr>
          <w:rFonts w:ascii="Arial" w:eastAsia="Arial" w:hAnsi="Arial" w:cs="Arial"/>
          <w:b/>
          <w:sz w:val="24"/>
          <w:szCs w:val="24"/>
          <w:highlight w:val="yellow"/>
        </w:rPr>
        <w:t>Insert</w:t>
      </w:r>
      <w:r w:rsidRPr="00CE361F">
        <w:rPr>
          <w:rFonts w:ascii="Arial" w:eastAsia="Arial" w:hAnsi="Arial" w:cs="Arial"/>
          <w:sz w:val="24"/>
          <w:szCs w:val="24"/>
          <w:highlight w:val="yellow"/>
        </w:rPr>
        <w:t xml:space="preserve"> Contact details]</w:t>
      </w:r>
    </w:p>
    <w:p w:rsidR="002E4FBA" w:rsidRDefault="00292BF9">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w:t>
      </w:r>
      <w:r w:rsidRPr="00292BF9">
        <w:rPr>
          <w:rFonts w:ascii="Arial" w:eastAsia="Arial" w:hAnsi="Arial" w:cs="Arial"/>
          <w:b/>
          <w:sz w:val="24"/>
          <w:szCs w:val="24"/>
          <w:highlight w:val="yellow"/>
        </w:rPr>
        <w:t>ert</w:t>
      </w:r>
      <w:r w:rsidRPr="00CE361F">
        <w:rPr>
          <w:rFonts w:ascii="Arial" w:eastAsia="Arial" w:hAnsi="Arial" w:cs="Arial"/>
          <w:sz w:val="24"/>
          <w:szCs w:val="24"/>
          <w:highlight w:val="yellow"/>
        </w:rPr>
        <w:t xml:space="preserve"> Contact details]</w:t>
      </w:r>
    </w:p>
    <w:p w:rsidR="002E4FBA" w:rsidRDefault="00292BF9">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2E4FBA" w:rsidRDefault="00292BF9">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2E4FBA" w:rsidRDefault="002E4FBA">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E4FBA">
        <w:trPr>
          <w:trHeight w:val="700"/>
        </w:trPr>
        <w:tc>
          <w:tcPr>
            <w:tcW w:w="2263" w:type="dxa"/>
            <w:shd w:val="clear" w:color="auto" w:fill="BFBFBF"/>
            <w:vAlign w:val="center"/>
          </w:tcPr>
          <w:p w:rsidR="002E4FBA" w:rsidRDefault="00292BF9">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2E4FBA" w:rsidRDefault="00292BF9">
            <w:pPr>
              <w:jc w:val="center"/>
              <w:rPr>
                <w:rFonts w:ascii="Arial" w:eastAsia="Arial" w:hAnsi="Arial" w:cs="Arial"/>
                <w:b/>
                <w:sz w:val="24"/>
                <w:szCs w:val="24"/>
              </w:rPr>
            </w:pPr>
            <w:r>
              <w:rPr>
                <w:rFonts w:ascii="Arial" w:eastAsia="Arial" w:hAnsi="Arial" w:cs="Arial"/>
                <w:b/>
                <w:sz w:val="24"/>
                <w:szCs w:val="24"/>
              </w:rPr>
              <w:t>Details</w:t>
            </w:r>
          </w:p>
        </w:tc>
      </w:tr>
      <w:tr w:rsidR="002E4FBA">
        <w:trPr>
          <w:trHeight w:val="1620"/>
        </w:trPr>
        <w:tc>
          <w:tcPr>
            <w:tcW w:w="2263" w:type="dxa"/>
            <w:shd w:val="clear" w:color="auto" w:fill="auto"/>
          </w:tcPr>
          <w:p w:rsidR="002E4FBA" w:rsidRDefault="00292BF9">
            <w:pPr>
              <w:rPr>
                <w:rFonts w:ascii="Arial" w:eastAsia="Arial" w:hAnsi="Arial" w:cs="Arial"/>
                <w:sz w:val="24"/>
                <w:szCs w:val="24"/>
              </w:rPr>
            </w:pPr>
            <w:r>
              <w:rPr>
                <w:rFonts w:ascii="Arial" w:eastAsia="Arial" w:hAnsi="Arial" w:cs="Arial"/>
                <w:sz w:val="24"/>
                <w:szCs w:val="24"/>
              </w:rPr>
              <w:t>Identity of Controller and Processor for each Category of Personal Data</w:t>
            </w:r>
          </w:p>
        </w:tc>
        <w:tc>
          <w:tcPr>
            <w:tcW w:w="7423" w:type="dxa"/>
            <w:shd w:val="clear" w:color="auto" w:fill="auto"/>
          </w:tcPr>
          <w:p w:rsidR="002E4FBA" w:rsidRDefault="00292BF9">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2E4FBA" w:rsidRDefault="00292BF9">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rsidR="002E4FBA" w:rsidRDefault="002E4FBA">
            <w:pPr>
              <w:rPr>
                <w:rFonts w:ascii="Arial" w:eastAsia="Arial" w:hAnsi="Arial" w:cs="Arial"/>
                <w:sz w:val="24"/>
                <w:szCs w:val="24"/>
              </w:rPr>
            </w:pPr>
          </w:p>
          <w:p w:rsidR="00BD0149" w:rsidRDefault="00BD0149" w:rsidP="00BD0149">
            <w:pPr>
              <w:pStyle w:val="NormalWeb"/>
              <w:numPr>
                <w:ilvl w:val="0"/>
                <w:numId w:val="16"/>
              </w:numPr>
              <w:spacing w:before="0" w:beforeAutospacing="0" w:after="0" w:afterAutospacing="0"/>
              <w:jc w:val="both"/>
              <w:textAlignment w:val="baseline"/>
              <w:rPr>
                <w:rFonts w:ascii="Arial" w:hAnsi="Arial" w:cs="Arial"/>
              </w:rPr>
            </w:pPr>
            <w:r>
              <w:rPr>
                <w:rFonts w:ascii="Arial" w:hAnsi="Arial" w:cs="Arial"/>
                <w:b/>
                <w:bCs/>
                <w:shd w:val="clear" w:color="auto" w:fill="FFFF00"/>
              </w:rPr>
              <w:t>Business contact details of both CCS and the business contact details of the supplier.</w:t>
            </w:r>
          </w:p>
          <w:p w:rsidR="002E4FBA" w:rsidRDefault="002E4FBA">
            <w:pPr>
              <w:rPr>
                <w:rFonts w:ascii="Arial" w:eastAsia="Arial" w:hAnsi="Arial" w:cs="Arial"/>
                <w:sz w:val="24"/>
                <w:szCs w:val="24"/>
              </w:rPr>
            </w:pPr>
          </w:p>
          <w:p w:rsidR="002E4FBA" w:rsidRDefault="00292BF9">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rsidR="002E4FBA" w:rsidRDefault="002E4FBA">
            <w:pPr>
              <w:rPr>
                <w:rFonts w:ascii="Arial" w:eastAsia="Arial" w:hAnsi="Arial" w:cs="Arial"/>
                <w:i/>
                <w:sz w:val="24"/>
                <w:szCs w:val="24"/>
              </w:rPr>
            </w:pPr>
          </w:p>
          <w:p w:rsidR="002E4FBA" w:rsidRDefault="00292BF9">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rsidR="002E4FBA" w:rsidRDefault="002E4FBA">
            <w:pPr>
              <w:rPr>
                <w:rFonts w:ascii="Arial" w:eastAsia="Arial" w:hAnsi="Arial" w:cs="Arial"/>
                <w:sz w:val="24"/>
                <w:szCs w:val="24"/>
              </w:rPr>
            </w:pPr>
          </w:p>
          <w:p w:rsidR="002E4FBA" w:rsidRPr="00CE361F" w:rsidRDefault="00292BF9">
            <w:pPr>
              <w:numPr>
                <w:ilvl w:val="0"/>
                <w:numId w:val="7"/>
              </w:numPr>
              <w:pBdr>
                <w:top w:val="nil"/>
                <w:left w:val="nil"/>
                <w:bottom w:val="nil"/>
                <w:right w:val="nil"/>
                <w:between w:val="nil"/>
              </w:pBdr>
              <w:jc w:val="both"/>
              <w:rPr>
                <w:rFonts w:ascii="Arial" w:eastAsia="Arial" w:hAnsi="Arial" w:cs="Arial"/>
                <w:i/>
                <w:sz w:val="24"/>
                <w:szCs w:val="24"/>
                <w:highlight w:val="yellow"/>
              </w:rPr>
            </w:pPr>
            <w:r w:rsidRPr="00CE361F">
              <w:rPr>
                <w:rFonts w:ascii="Arial" w:eastAsia="Arial" w:hAnsi="Arial" w:cs="Arial"/>
                <w:i/>
                <w:sz w:val="24"/>
                <w:szCs w:val="24"/>
                <w:highlight w:val="yellow"/>
              </w:rPr>
              <w:t>[Insert the scope of Personal Data which the purposes and means of the Processing by the Relevant Authority  is determined by the Supplier]</w:t>
            </w:r>
          </w:p>
          <w:p w:rsidR="002E4FBA" w:rsidRDefault="002E4FBA">
            <w:pPr>
              <w:rPr>
                <w:rFonts w:ascii="Arial" w:eastAsia="Arial" w:hAnsi="Arial" w:cs="Arial"/>
                <w:sz w:val="24"/>
                <w:szCs w:val="24"/>
                <w:highlight w:val="yellow"/>
              </w:rPr>
            </w:pPr>
          </w:p>
          <w:p w:rsidR="002E4FBA" w:rsidRDefault="00292BF9">
            <w:pPr>
              <w:rPr>
                <w:rFonts w:ascii="Arial" w:eastAsia="Arial" w:hAnsi="Arial" w:cs="Arial"/>
                <w:b/>
                <w:sz w:val="24"/>
                <w:szCs w:val="24"/>
              </w:rPr>
            </w:pPr>
            <w:r>
              <w:rPr>
                <w:rFonts w:ascii="Arial" w:eastAsia="Arial" w:hAnsi="Arial" w:cs="Arial"/>
                <w:b/>
                <w:sz w:val="24"/>
                <w:szCs w:val="24"/>
              </w:rPr>
              <w:t>The Parties are Joint Controllers</w:t>
            </w:r>
          </w:p>
          <w:p w:rsidR="002E4FBA" w:rsidRDefault="002E4FBA">
            <w:pPr>
              <w:rPr>
                <w:rFonts w:ascii="Arial" w:eastAsia="Arial" w:hAnsi="Arial" w:cs="Arial"/>
                <w:i/>
                <w:sz w:val="24"/>
                <w:szCs w:val="24"/>
              </w:rPr>
            </w:pPr>
          </w:p>
          <w:p w:rsidR="002E4FBA" w:rsidRDefault="00292BF9">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rsidR="002E4FBA" w:rsidRDefault="002E4FBA">
            <w:pPr>
              <w:rPr>
                <w:rFonts w:ascii="Arial" w:eastAsia="Arial" w:hAnsi="Arial" w:cs="Arial"/>
                <w:b/>
                <w:i/>
                <w:sz w:val="24"/>
                <w:szCs w:val="24"/>
                <w:highlight w:val="yellow"/>
              </w:rPr>
            </w:pPr>
          </w:p>
          <w:p w:rsidR="002E4FBA" w:rsidRPr="00CE361F" w:rsidRDefault="00292BF9">
            <w:pPr>
              <w:numPr>
                <w:ilvl w:val="0"/>
                <w:numId w:val="4"/>
              </w:numPr>
              <w:pBdr>
                <w:top w:val="nil"/>
                <w:left w:val="nil"/>
                <w:bottom w:val="nil"/>
                <w:right w:val="nil"/>
                <w:between w:val="nil"/>
              </w:pBdr>
              <w:jc w:val="both"/>
              <w:rPr>
                <w:rFonts w:ascii="Arial" w:eastAsia="Arial" w:hAnsi="Arial" w:cs="Arial"/>
                <w:i/>
                <w:sz w:val="24"/>
                <w:szCs w:val="24"/>
                <w:highlight w:val="yellow"/>
              </w:rPr>
            </w:pPr>
            <w:r w:rsidRPr="00CE361F">
              <w:rPr>
                <w:rFonts w:ascii="Arial" w:eastAsia="Arial" w:hAnsi="Arial" w:cs="Arial"/>
                <w:i/>
                <w:sz w:val="24"/>
                <w:szCs w:val="24"/>
                <w:highlight w:val="yellow"/>
              </w:rPr>
              <w:t>[Insert the scope of Personal Data which the purposes and means of the Processing is determined by the both Parties together]</w:t>
            </w:r>
          </w:p>
          <w:p w:rsidR="002E4FBA" w:rsidRDefault="002E4FBA">
            <w:pPr>
              <w:rPr>
                <w:rFonts w:ascii="Arial" w:eastAsia="Arial" w:hAnsi="Arial" w:cs="Arial"/>
                <w:i/>
                <w:sz w:val="24"/>
                <w:szCs w:val="24"/>
              </w:rPr>
            </w:pPr>
          </w:p>
          <w:p w:rsidR="002E4FBA" w:rsidRDefault="00292BF9">
            <w:pPr>
              <w:rPr>
                <w:rFonts w:ascii="Arial" w:eastAsia="Arial" w:hAnsi="Arial" w:cs="Arial"/>
                <w:i/>
                <w:sz w:val="24"/>
                <w:szCs w:val="24"/>
              </w:rPr>
            </w:pPr>
            <w:r>
              <w:rPr>
                <w:rFonts w:ascii="Arial" w:eastAsia="Arial" w:hAnsi="Arial" w:cs="Arial"/>
                <w:i/>
                <w:sz w:val="24"/>
                <w:szCs w:val="24"/>
              </w:rPr>
              <w:t xml:space="preserve"> </w:t>
            </w:r>
          </w:p>
          <w:p w:rsidR="002E4FBA" w:rsidRDefault="00292BF9">
            <w:pPr>
              <w:rPr>
                <w:rFonts w:ascii="Arial" w:eastAsia="Arial" w:hAnsi="Arial" w:cs="Arial"/>
                <w:b/>
                <w:sz w:val="24"/>
                <w:szCs w:val="24"/>
              </w:rPr>
            </w:pPr>
            <w:r>
              <w:rPr>
                <w:rFonts w:ascii="Arial" w:eastAsia="Arial" w:hAnsi="Arial" w:cs="Arial"/>
                <w:b/>
                <w:sz w:val="24"/>
                <w:szCs w:val="24"/>
              </w:rPr>
              <w:t>The Parties are Independent Controllers of Personal Data</w:t>
            </w:r>
          </w:p>
          <w:p w:rsidR="002E4FBA" w:rsidRDefault="002E4FBA">
            <w:pPr>
              <w:rPr>
                <w:rFonts w:ascii="Arial" w:eastAsia="Arial" w:hAnsi="Arial" w:cs="Arial"/>
                <w:b/>
                <w:i/>
                <w:sz w:val="24"/>
                <w:szCs w:val="24"/>
                <w:highlight w:val="yellow"/>
              </w:rPr>
            </w:pPr>
          </w:p>
          <w:p w:rsidR="002E4FBA" w:rsidRDefault="00292BF9">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2E4FBA" w:rsidRDefault="00292BF9">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rsidR="002E4FBA" w:rsidRDefault="00292BF9">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rsidR="002E4FBA" w:rsidRPr="00CE361F" w:rsidRDefault="00292BF9">
            <w:pPr>
              <w:numPr>
                <w:ilvl w:val="0"/>
                <w:numId w:val="3"/>
              </w:numPr>
              <w:pBdr>
                <w:top w:val="nil"/>
                <w:left w:val="nil"/>
                <w:bottom w:val="nil"/>
                <w:right w:val="nil"/>
                <w:between w:val="nil"/>
              </w:pBdr>
              <w:jc w:val="both"/>
              <w:rPr>
                <w:rFonts w:ascii="Arial" w:eastAsia="Arial" w:hAnsi="Arial" w:cs="Arial"/>
                <w:i/>
                <w:sz w:val="24"/>
                <w:szCs w:val="24"/>
                <w:highlight w:val="yellow"/>
              </w:rPr>
            </w:pPr>
            <w:r w:rsidRPr="00CE361F">
              <w:rPr>
                <w:rFonts w:ascii="Arial" w:eastAsia="Arial" w:hAnsi="Arial" w:cs="Arial"/>
                <w:i/>
                <w:sz w:val="24"/>
                <w:szCs w:val="24"/>
                <w:highlight w:val="yellow"/>
              </w:rPr>
              <w:t>[Insert</w:t>
            </w:r>
            <w:r w:rsidRPr="00CE361F">
              <w:rPr>
                <w:rFonts w:ascii="Arial" w:eastAsia="Arial" w:hAnsi="Arial" w:cs="Arial"/>
                <w:b/>
                <w:i/>
                <w:sz w:val="24"/>
                <w:szCs w:val="24"/>
                <w:highlight w:val="yellow"/>
              </w:rPr>
              <w:t xml:space="preserve"> </w:t>
            </w:r>
            <w:r w:rsidRPr="00CE361F">
              <w:rPr>
                <w:rFonts w:ascii="Arial" w:eastAsia="Arial" w:hAnsi="Arial" w:cs="Arial"/>
                <w:i/>
                <w:sz w:val="24"/>
                <w:szCs w:val="24"/>
                <w:highlight w:val="yellow"/>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rsidR="002E4FBA" w:rsidRDefault="00292BF9">
            <w:pPr>
              <w:rPr>
                <w:rFonts w:ascii="Arial" w:eastAsia="Arial" w:hAnsi="Arial" w:cs="Arial"/>
                <w:i/>
                <w:sz w:val="24"/>
                <w:szCs w:val="24"/>
              </w:rPr>
            </w:pPr>
            <w:r>
              <w:rPr>
                <w:rFonts w:ascii="Arial" w:eastAsia="Arial" w:hAnsi="Arial" w:cs="Arial"/>
                <w:i/>
                <w:sz w:val="24"/>
                <w:szCs w:val="24"/>
              </w:rPr>
              <w:t xml:space="preserve"> </w:t>
            </w:r>
          </w:p>
          <w:p w:rsidR="002E4FBA" w:rsidRDefault="00292BF9">
            <w:pPr>
              <w:rPr>
                <w:rFonts w:ascii="Arial" w:eastAsia="Arial" w:hAnsi="Arial" w:cs="Arial"/>
                <w:i/>
                <w:sz w:val="24"/>
                <w:szCs w:val="24"/>
              </w:rPr>
            </w:pPr>
            <w:r w:rsidRPr="00292BF9">
              <w:rPr>
                <w:rFonts w:ascii="Arial" w:eastAsia="Arial" w:hAnsi="Arial" w:cs="Arial"/>
                <w:b/>
                <w:i/>
                <w:sz w:val="24"/>
                <w:szCs w:val="24"/>
                <w:highlight w:val="yellow"/>
              </w:rPr>
              <w:t>[Guidance</w:t>
            </w:r>
            <w:r w:rsidRPr="00CE361F">
              <w:rPr>
                <w:rFonts w:ascii="Arial" w:eastAsia="Arial" w:hAnsi="Arial" w:cs="Arial"/>
                <w:b/>
                <w:i/>
                <w:sz w:val="24"/>
                <w:szCs w:val="24"/>
                <w:highlight w:val="yellow"/>
              </w:rPr>
              <w:t xml:space="preserve"> Note: </w:t>
            </w:r>
            <w:r w:rsidRPr="00CE361F">
              <w:rPr>
                <w:rFonts w:ascii="Arial" w:eastAsia="Arial" w:hAnsi="Arial" w:cs="Arial"/>
                <w:i/>
                <w:sz w:val="24"/>
                <w:szCs w:val="24"/>
                <w:highlight w:val="yellow"/>
              </w:rPr>
              <w:t>where multiple relationships have been identified above, please address the below rows in the table for in respect of each relationship identified]</w:t>
            </w:r>
            <w:r>
              <w:rPr>
                <w:rFonts w:ascii="Arial" w:eastAsia="Arial" w:hAnsi="Arial" w:cs="Arial"/>
                <w:i/>
                <w:sz w:val="24"/>
                <w:szCs w:val="24"/>
              </w:rPr>
              <w:t xml:space="preserve"> </w:t>
            </w:r>
          </w:p>
          <w:p w:rsidR="002E4FBA" w:rsidRDefault="002E4FBA">
            <w:pPr>
              <w:rPr>
                <w:rFonts w:ascii="Arial" w:eastAsia="Arial" w:hAnsi="Arial" w:cs="Arial"/>
                <w:sz w:val="24"/>
                <w:szCs w:val="24"/>
              </w:rPr>
            </w:pPr>
          </w:p>
        </w:tc>
      </w:tr>
      <w:tr w:rsidR="002E4FBA">
        <w:trPr>
          <w:trHeight w:val="1460"/>
        </w:trPr>
        <w:tc>
          <w:tcPr>
            <w:tcW w:w="2263" w:type="dxa"/>
            <w:shd w:val="clear" w:color="auto" w:fill="auto"/>
          </w:tcPr>
          <w:p w:rsidR="002E4FBA" w:rsidRDefault="00292BF9">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rsidR="002E4FBA" w:rsidRPr="00BD0149" w:rsidRDefault="00BD0149">
            <w:pPr>
              <w:rPr>
                <w:rFonts w:ascii="Arial" w:eastAsia="Arial" w:hAnsi="Arial" w:cs="Arial"/>
                <w:sz w:val="24"/>
                <w:szCs w:val="24"/>
              </w:rPr>
            </w:pPr>
            <w:r w:rsidRPr="00CE361F">
              <w:rPr>
                <w:rFonts w:ascii="Arial" w:hAnsi="Arial" w:cs="Arial"/>
                <w:color w:val="000000" w:themeColor="text1"/>
                <w:sz w:val="24"/>
                <w:szCs w:val="24"/>
              </w:rPr>
              <w:t>4 years + 7 years post expiry</w:t>
            </w:r>
          </w:p>
        </w:tc>
      </w:tr>
      <w:tr w:rsidR="002E4FBA">
        <w:trPr>
          <w:trHeight w:val="1520"/>
        </w:trPr>
        <w:tc>
          <w:tcPr>
            <w:tcW w:w="2263" w:type="dxa"/>
            <w:shd w:val="clear" w:color="auto" w:fill="auto"/>
          </w:tcPr>
          <w:p w:rsidR="002E4FBA" w:rsidRDefault="00292BF9">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2E4FBA" w:rsidRPr="00CE361F" w:rsidRDefault="00292BF9">
            <w:pPr>
              <w:rPr>
                <w:rFonts w:ascii="Arial" w:eastAsia="Arial" w:hAnsi="Arial" w:cs="Arial"/>
                <w:iCs/>
                <w:sz w:val="24"/>
                <w:szCs w:val="24"/>
              </w:rPr>
            </w:pPr>
            <w:r w:rsidRPr="00CE361F">
              <w:rPr>
                <w:rFonts w:ascii="Arial" w:eastAsia="Arial" w:hAnsi="Arial" w:cs="Arial"/>
                <w:iCs/>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2E4FBA" w:rsidRPr="00BD0149" w:rsidRDefault="00BD0149">
            <w:pPr>
              <w:rPr>
                <w:rFonts w:ascii="Arial" w:eastAsia="Arial" w:hAnsi="Arial" w:cs="Arial"/>
                <w:sz w:val="24"/>
                <w:szCs w:val="24"/>
              </w:rPr>
            </w:pPr>
            <w:r w:rsidRPr="00CE361F">
              <w:rPr>
                <w:rFonts w:ascii="Arial" w:hAnsi="Arial" w:cs="Arial"/>
                <w:iCs/>
                <w:sz w:val="24"/>
                <w:szCs w:val="24"/>
              </w:rPr>
              <w:t>The purpose might include: implement a framework for Income Generation from Estates and Assets.</w:t>
            </w:r>
          </w:p>
        </w:tc>
      </w:tr>
      <w:tr w:rsidR="002E4FBA">
        <w:trPr>
          <w:trHeight w:val="1400"/>
        </w:trPr>
        <w:tc>
          <w:tcPr>
            <w:tcW w:w="2263" w:type="dxa"/>
            <w:shd w:val="clear" w:color="auto" w:fill="auto"/>
          </w:tcPr>
          <w:p w:rsidR="002E4FBA" w:rsidRDefault="00292BF9">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2E4FBA" w:rsidRPr="00BD0149" w:rsidRDefault="00BD0149">
            <w:pPr>
              <w:rPr>
                <w:rFonts w:ascii="Arial" w:eastAsia="Arial" w:hAnsi="Arial" w:cs="Arial"/>
                <w:iCs/>
                <w:sz w:val="24"/>
                <w:szCs w:val="24"/>
              </w:rPr>
            </w:pPr>
            <w:r w:rsidRPr="00CE361F">
              <w:rPr>
                <w:rFonts w:ascii="Arial" w:eastAsia="Arial" w:hAnsi="Arial" w:cs="Arial"/>
                <w:iCs/>
                <w:sz w:val="24"/>
                <w:szCs w:val="24"/>
              </w:rPr>
              <w:t>Name</w:t>
            </w:r>
            <w:r w:rsidR="00292BF9" w:rsidRPr="00CE361F">
              <w:rPr>
                <w:rFonts w:ascii="Arial" w:eastAsia="Arial" w:hAnsi="Arial" w:cs="Arial"/>
                <w:iCs/>
                <w:sz w:val="24"/>
                <w:szCs w:val="24"/>
              </w:rPr>
              <w:t>, address, date of birth, NI number, telephone number, pay, images, biometric data etc</w:t>
            </w:r>
          </w:p>
        </w:tc>
      </w:tr>
      <w:tr w:rsidR="002E4FBA">
        <w:trPr>
          <w:trHeight w:val="1560"/>
        </w:trPr>
        <w:tc>
          <w:tcPr>
            <w:tcW w:w="2263" w:type="dxa"/>
            <w:shd w:val="clear" w:color="auto" w:fill="auto"/>
          </w:tcPr>
          <w:p w:rsidR="002E4FBA" w:rsidRDefault="00292BF9">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rsidR="00BD0149" w:rsidRPr="00CE361F" w:rsidRDefault="00BD0149">
            <w:pPr>
              <w:rPr>
                <w:rFonts w:ascii="Arial" w:eastAsia="Arial" w:hAnsi="Arial" w:cs="Arial"/>
                <w:iCs/>
                <w:sz w:val="24"/>
                <w:szCs w:val="24"/>
              </w:rPr>
            </w:pPr>
            <w:r w:rsidRPr="00CE361F">
              <w:rPr>
                <w:rFonts w:ascii="Arial" w:eastAsia="Arial" w:hAnsi="Arial" w:cs="Arial"/>
                <w:iCs/>
                <w:sz w:val="24"/>
                <w:szCs w:val="24"/>
              </w:rPr>
              <w:t>CCS staff and supplier staff</w:t>
            </w:r>
          </w:p>
          <w:p w:rsidR="002E4FBA" w:rsidRDefault="002E4FBA">
            <w:pPr>
              <w:rPr>
                <w:rFonts w:ascii="Arial" w:eastAsia="Arial" w:hAnsi="Arial" w:cs="Arial"/>
                <w:sz w:val="24"/>
                <w:szCs w:val="24"/>
              </w:rPr>
            </w:pPr>
          </w:p>
        </w:tc>
      </w:tr>
      <w:tr w:rsidR="002E4FBA">
        <w:trPr>
          <w:trHeight w:val="1560"/>
        </w:trPr>
        <w:tc>
          <w:tcPr>
            <w:tcW w:w="2263" w:type="dxa"/>
            <w:shd w:val="clear" w:color="auto" w:fill="auto"/>
          </w:tcPr>
          <w:p w:rsidR="002E4FBA" w:rsidRDefault="00292BF9">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rsidR="002E4FBA" w:rsidRDefault="00292BF9">
            <w:pPr>
              <w:rPr>
                <w:rFonts w:ascii="Arial" w:eastAsia="Arial" w:hAnsi="Arial" w:cs="Arial"/>
                <w:i/>
                <w:sz w:val="24"/>
                <w:szCs w:val="24"/>
              </w:rPr>
            </w:pPr>
            <w:r>
              <w:rPr>
                <w:rFonts w:ascii="Arial" w:eastAsia="Arial" w:hAnsi="Arial" w:cs="Arial"/>
                <w:i/>
                <w:sz w:val="24"/>
                <w:szCs w:val="24"/>
              </w:rPr>
              <w:t>[Explain where geographically personal data may be stored or accessed from. Explain the legal gateway you are relying on to export the data e.g. adequacy decision, EU SCCs, UK IDTA. Annex any SCCs or IDTA to this contract]</w:t>
            </w:r>
          </w:p>
        </w:tc>
      </w:tr>
      <w:tr w:rsidR="002E4FBA">
        <w:trPr>
          <w:trHeight w:val="1660"/>
        </w:trPr>
        <w:tc>
          <w:tcPr>
            <w:tcW w:w="2263" w:type="dxa"/>
            <w:shd w:val="clear" w:color="auto" w:fill="auto"/>
          </w:tcPr>
          <w:p w:rsidR="002E4FBA" w:rsidRDefault="00292BF9">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2E4FBA" w:rsidRDefault="00292BF9">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BD0149" w:rsidRPr="00CE361F" w:rsidRDefault="00BD0149">
            <w:pPr>
              <w:rPr>
                <w:rFonts w:ascii="Arial" w:eastAsia="Arial" w:hAnsi="Arial" w:cs="Arial"/>
                <w:iCs/>
                <w:color w:val="000000" w:themeColor="text1"/>
                <w:sz w:val="24"/>
                <w:szCs w:val="24"/>
              </w:rPr>
            </w:pPr>
            <w:r w:rsidRPr="00CE361F">
              <w:rPr>
                <w:rFonts w:ascii="Arial" w:eastAsia="Arial" w:hAnsi="Arial" w:cs="Arial"/>
                <w:iCs/>
                <w:color w:val="000000" w:themeColor="text1"/>
                <w:sz w:val="24"/>
                <w:szCs w:val="24"/>
              </w:rPr>
              <w:t>7 years post framework expiry.</w:t>
            </w:r>
          </w:p>
          <w:p w:rsidR="002E4FBA" w:rsidRDefault="00BD0149">
            <w:pPr>
              <w:rPr>
                <w:rFonts w:ascii="Arial" w:eastAsia="Arial" w:hAnsi="Arial" w:cs="Arial"/>
                <w:sz w:val="24"/>
                <w:szCs w:val="24"/>
              </w:rPr>
            </w:pPr>
            <w:r w:rsidRPr="00CE361F">
              <w:rPr>
                <w:rFonts w:ascii="Arial" w:eastAsia="Arial" w:hAnsi="Arial" w:cs="Arial"/>
                <w:iCs/>
                <w:color w:val="000000" w:themeColor="text1"/>
                <w:sz w:val="24"/>
                <w:szCs w:val="24"/>
              </w:rPr>
              <w:t>Destruction of data as per framework agreement.</w:t>
            </w:r>
            <w:r w:rsidRPr="00CE361F">
              <w:rPr>
                <w:rFonts w:ascii="Arial" w:eastAsia="Arial" w:hAnsi="Arial" w:cs="Arial"/>
                <w:i/>
                <w:color w:val="000000" w:themeColor="text1"/>
                <w:sz w:val="24"/>
                <w:szCs w:val="24"/>
              </w:rPr>
              <w:t xml:space="preserve"> </w:t>
            </w:r>
          </w:p>
        </w:tc>
      </w:tr>
    </w:tbl>
    <w:p w:rsidR="002E4FBA" w:rsidRDefault="002E4FBA">
      <w:pPr>
        <w:rPr>
          <w:rFonts w:ascii="Arial" w:eastAsia="Arial" w:hAnsi="Arial" w:cs="Arial"/>
          <w:b/>
          <w:sz w:val="24"/>
          <w:szCs w:val="24"/>
        </w:rPr>
      </w:pPr>
    </w:p>
    <w:p w:rsidR="002E4FBA" w:rsidRDefault="00292BF9">
      <w:pPr>
        <w:rPr>
          <w:rFonts w:ascii="Arial" w:eastAsia="Arial" w:hAnsi="Arial" w:cs="Arial"/>
          <w:b/>
          <w:sz w:val="24"/>
          <w:szCs w:val="24"/>
        </w:rPr>
      </w:pPr>
      <w:r>
        <w:br w:type="page"/>
      </w:r>
    </w:p>
    <w:p w:rsidR="002E4FBA" w:rsidRDefault="00292BF9">
      <w:pPr>
        <w:rPr>
          <w:rFonts w:ascii="Arial" w:eastAsia="Arial" w:hAnsi="Arial" w:cs="Arial"/>
          <w:sz w:val="24"/>
          <w:szCs w:val="24"/>
        </w:rPr>
      </w:pPr>
      <w:r>
        <w:rPr>
          <w:rFonts w:ascii="Arial" w:eastAsia="Arial" w:hAnsi="Arial" w:cs="Arial"/>
          <w:b/>
          <w:sz w:val="24"/>
          <w:szCs w:val="24"/>
        </w:rPr>
        <w:t>Annex 2 - Joint Controller Agreement</w:t>
      </w:r>
    </w:p>
    <w:p w:rsidR="002E4FBA" w:rsidRDefault="00292BF9">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2E4FBA" w:rsidRDefault="00292BF9">
      <w:pPr>
        <w:keepNext/>
        <w:rPr>
          <w:rFonts w:ascii="Arial" w:eastAsia="Arial" w:hAnsi="Arial" w:cs="Arial"/>
          <w:sz w:val="24"/>
          <w:szCs w:val="24"/>
        </w:rPr>
      </w:pPr>
      <w:bookmarkStart w:id="17" w:name="_heading=h.gjdgxs" w:colFirst="0" w:colLast="0"/>
      <w:bookmarkEnd w:id="17"/>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2E4FBA" w:rsidRDefault="00292BF9">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using all reasonable endeavours  to comply with the UK GDPR regarding the exercise by Data Subjects of their rights under the UK GDPR;</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2E4FBA" w:rsidRDefault="00292BF9">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rsidR="002E4FBA" w:rsidRDefault="00292BF9">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Data Subject Access Request (or purported Data Subject  Access Requests) from Data Subjects (or third parties on their behalf);</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2E4FBA" w:rsidRDefault="00917A4F" w:rsidP="00917A4F">
      <w:pPr>
        <w:ind w:left="1230" w:hanging="510"/>
        <w:rPr>
          <w:rFonts w:ascii="Arial" w:eastAsia="Arial" w:hAnsi="Arial" w:cs="Arial"/>
          <w:sz w:val="24"/>
          <w:szCs w:val="24"/>
        </w:rPr>
      </w:pPr>
      <w:r>
        <w:rPr>
          <w:rFonts w:ascii="Arial" w:eastAsia="Arial" w:hAnsi="Arial" w:cs="Arial"/>
          <w:sz w:val="24"/>
          <w:szCs w:val="24"/>
        </w:rPr>
        <w:t xml:space="preserve">       </w:t>
      </w:r>
      <w:proofErr w:type="gramStart"/>
      <w:r w:rsidR="00292BF9">
        <w:rPr>
          <w:rFonts w:ascii="Arial" w:eastAsia="Arial" w:hAnsi="Arial" w:cs="Arial"/>
          <w:sz w:val="24"/>
          <w:szCs w:val="24"/>
        </w:rPr>
        <w:t>that</w:t>
      </w:r>
      <w:proofErr w:type="gramEnd"/>
      <w:r w:rsidR="00292BF9">
        <w:rPr>
          <w:rFonts w:ascii="Arial" w:eastAsia="Arial" w:hAnsi="Arial" w:cs="Arial"/>
          <w:sz w:val="24"/>
          <w:szCs w:val="24"/>
        </w:rPr>
        <w:t xml:space="preserve"> it has received in relation to the subject matter of the Contract during </w:t>
      </w:r>
      <w:r>
        <w:rPr>
          <w:rFonts w:ascii="Arial" w:eastAsia="Arial" w:hAnsi="Arial" w:cs="Arial"/>
          <w:sz w:val="24"/>
          <w:szCs w:val="24"/>
        </w:rPr>
        <w:t xml:space="preserve">   </w:t>
      </w:r>
      <w:r w:rsidR="00292BF9">
        <w:rPr>
          <w:rFonts w:ascii="Arial" w:eastAsia="Arial" w:hAnsi="Arial" w:cs="Arial"/>
          <w:sz w:val="24"/>
          <w:szCs w:val="24"/>
        </w:rPr>
        <w:t xml:space="preserve">that period; </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2E4FBA" w:rsidRDefault="00292BF9">
      <w:pPr>
        <w:numPr>
          <w:ilvl w:val="2"/>
          <w:numId w:val="8"/>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use all reasonable endeavours  to ensure the reliability and integrity of any of its Personnel who have access to the Personal Data and ensure that its Personnel:</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UK GDPR, not transfer such Personal Data outside of the UK unless the prior written consent of the non-transferring Party has been obtained and the following conditions are fulfilled:</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destination country has been recognised as adequate by the UK government in accordance with Article 45 of the UK GDPR or DPA 2018 Section 74; or</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xml:space="preserve">”),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as well as any additional measures;</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rsidR="002E4FBA" w:rsidRDefault="00292BF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EU GDPR, not transfer such Personal Data outside of the EU unless the prior written consent of the non-transferring Party has been obtained and the following conditions are fulfilled:</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2E4FBA" w:rsidRDefault="00292BF9">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2E4FBA" w:rsidRDefault="00292BF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rsidR="002E4FBA" w:rsidRDefault="00292BF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rsidR="002E4FBA" w:rsidRDefault="00292BF9">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2E4FBA" w:rsidRDefault="00292BF9">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using such reasonable endeavours  as are directed by the other Party to assist in the investigation, mitigation and remediation of a Personal Data Breach;</w:t>
      </w:r>
    </w:p>
    <w:p w:rsidR="002E4FBA" w:rsidRDefault="00292BF9">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rsidR="002E4FBA" w:rsidRDefault="00292BF9">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2E4FBA" w:rsidRDefault="00292BF9">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2E4FBA" w:rsidRDefault="00292BF9">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2E4FBA" w:rsidRDefault="00292BF9">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rsidR="002E4FBA" w:rsidRDefault="00292BF9">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rsidR="002E4FBA" w:rsidRDefault="00292BF9">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2E4FBA" w:rsidRDefault="00292BF9">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2E4FBA" w:rsidRDefault="00292BF9">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2E4FBA" w:rsidRDefault="00292BF9">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2E4FBA" w:rsidRDefault="00292BF9">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2E4FBA" w:rsidRDefault="00292BF9">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proofErr w:type="gramStart"/>
      <w:r>
        <w:rPr>
          <w:rFonts w:ascii="Arial" w:eastAsia="Arial" w:hAnsi="Arial" w:cs="Arial"/>
          <w:sz w:val="24"/>
          <w:szCs w:val="24"/>
        </w:rPr>
        <w:t>maintain</w:t>
      </w:r>
      <w:proofErr w:type="gramEnd"/>
      <w:r>
        <w:rPr>
          <w:rFonts w:ascii="Arial" w:eastAsia="Arial" w:hAnsi="Arial" w:cs="Arial"/>
          <w:sz w:val="24"/>
          <w:szCs w:val="24"/>
        </w:rPr>
        <w:t xml:space="preserve"> full and complete records of all Processing carried out in respect of the Personal Data in connection with the Contract, in accordance with the terms of Article 30 UK GDPR.</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2E4FBA" w:rsidRDefault="00292BF9">
      <w:pPr>
        <w:ind w:left="720"/>
        <w:rPr>
          <w:rFonts w:ascii="Arial" w:eastAsia="Arial" w:hAnsi="Arial" w:cs="Arial"/>
          <w:sz w:val="24"/>
          <w:szCs w:val="24"/>
        </w:rPr>
      </w:pPr>
      <w:r>
        <w:rPr>
          <w:rFonts w:ascii="Arial" w:eastAsia="Arial" w:hAnsi="Arial" w:cs="Arial"/>
          <w:sz w:val="24"/>
          <w:szCs w:val="24"/>
        </w:rPr>
        <w:t>The Parties agree to take account of any non-mandatory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2E4FBA" w:rsidRPr="00CE361F" w:rsidRDefault="00292BF9">
      <w:pPr>
        <w:ind w:left="720"/>
        <w:rPr>
          <w:rFonts w:ascii="Arial" w:eastAsia="Arial" w:hAnsi="Arial" w:cs="Arial"/>
          <w:b/>
          <w:i/>
          <w:sz w:val="24"/>
          <w:szCs w:val="24"/>
        </w:rPr>
      </w:pPr>
      <w:r w:rsidRPr="00CE361F">
        <w:rPr>
          <w:rFonts w:ascii="Arial" w:eastAsia="Arial" w:hAnsi="Arial" w:cs="Arial"/>
          <w:b/>
          <w:i/>
          <w:sz w:val="24"/>
          <w:szCs w:val="24"/>
          <w:highlight w:val="yellow"/>
        </w:rPr>
        <w:t xml:space="preserve">[Guidance Note: </w:t>
      </w:r>
      <w:r w:rsidRPr="00CE361F">
        <w:rPr>
          <w:rFonts w:ascii="Arial" w:eastAsia="Arial" w:hAnsi="Arial" w:cs="Arial"/>
          <w:i/>
          <w:sz w:val="24"/>
          <w:szCs w:val="24"/>
          <w:highlight w:val="yellow"/>
        </w:rPr>
        <w:t>This clause represents a risk share, you may wish to reconsider the apportionment of liability and whether recoverability of losses are likely to be hindered by the contractual limitation of liability provisions]</w:t>
      </w:r>
      <w:r w:rsidRPr="00CE361F">
        <w:rPr>
          <w:rFonts w:ascii="Arial" w:eastAsia="Arial" w:hAnsi="Arial" w:cs="Arial"/>
          <w:i/>
          <w:sz w:val="24"/>
          <w:szCs w:val="24"/>
        </w:rPr>
        <w:t xml:space="preserve"> </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2E4FBA" w:rsidRDefault="00292BF9">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2E4FBA" w:rsidRDefault="00292BF9">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2E4FBA" w:rsidRDefault="00292BF9">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rsidR="002E4FBA" w:rsidRDefault="00292BF9">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2E4FBA" w:rsidRDefault="00292BF9">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rsidR="002E4FBA" w:rsidRDefault="00292BF9">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2E4FBA" w:rsidRDefault="00292BF9">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rsidR="002E4FBA" w:rsidRDefault="00292BF9">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2E4FBA" w:rsidRDefault="00292BF9">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2E4FBA" w:rsidRDefault="00292BF9">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2E4FBA" w:rsidRDefault="00292BF9">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2E4FBA" w:rsidRDefault="00292BF9">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rsidR="002E4FBA" w:rsidRDefault="002E4FBA">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2E4FBA" w:rsidRDefault="002E4FBA">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2E4FBA">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22" w:rsidRDefault="00AA2E22">
      <w:pPr>
        <w:spacing w:after="0" w:line="240" w:lineRule="auto"/>
      </w:pPr>
      <w:r>
        <w:separator/>
      </w:r>
    </w:p>
  </w:endnote>
  <w:endnote w:type="continuationSeparator" w:id="0">
    <w:p w:rsidR="00AA2E22" w:rsidRDefault="00AA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33" w:rsidRDefault="000C0433" w:rsidP="000C0433">
    <w:pPr>
      <w:tabs>
        <w:tab w:val="left" w:pos="2116"/>
        <w:tab w:val="center" w:pos="4513"/>
        <w:tab w:val="right" w:pos="9026"/>
      </w:tabs>
      <w:spacing w:after="0"/>
      <w:rPr>
        <w:rFonts w:ascii="Arial" w:eastAsia="Arial" w:hAnsi="Arial" w:cs="Arial"/>
        <w:sz w:val="20"/>
        <w:szCs w:val="20"/>
      </w:rPr>
    </w:pPr>
    <w:r>
      <w:rPr>
        <w:rFonts w:ascii="Arial" w:eastAsia="Arial" w:hAnsi="Arial" w:cs="Arial"/>
        <w:sz w:val="20"/>
        <w:szCs w:val="20"/>
      </w:rPr>
      <w:t>RM</w:t>
    </w:r>
    <w:r w:rsidRPr="005F77E8">
      <w:t xml:space="preserve"> </w:t>
    </w:r>
    <w:r w:rsidRPr="005F77E8">
      <w:rPr>
        <w:rFonts w:ascii="Arial" w:eastAsia="Arial" w:hAnsi="Arial" w:cs="Arial"/>
        <w:sz w:val="20"/>
        <w:szCs w:val="20"/>
      </w:rPr>
      <w:t xml:space="preserve">6349 – Income Generation from Estates &amp; Assets                                   </w:t>
    </w:r>
    <w:r>
      <w:rPr>
        <w:rFonts w:ascii="Arial" w:eastAsia="Arial" w:hAnsi="Arial" w:cs="Arial"/>
        <w:sz w:val="20"/>
        <w:szCs w:val="20"/>
      </w:rPr>
      <w:tab/>
      <w:t xml:space="preserve">                                           </w:t>
    </w:r>
  </w:p>
  <w:p w:rsidR="000C0433" w:rsidRDefault="000C0433" w:rsidP="000C04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v1.0</w:t>
    </w:r>
  </w:p>
  <w:p w:rsidR="000C0433" w:rsidRDefault="000C0433" w:rsidP="000C04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sdt>
    <w:sdtPr>
      <w:rPr>
        <w:rFonts w:ascii="Arial" w:hAnsi="Arial" w:cs="Arial"/>
        <w:sz w:val="20"/>
      </w:rPr>
      <w:id w:val="1388844206"/>
      <w:docPartObj>
        <w:docPartGallery w:val="Page Numbers (Bottom of Page)"/>
        <w:docPartUnique/>
      </w:docPartObj>
    </w:sdtPr>
    <w:sdtEndPr>
      <w:rPr>
        <w:noProof/>
      </w:rPr>
    </w:sdtEndPr>
    <w:sdtContent>
      <w:p w:rsidR="00C13065" w:rsidRPr="003178E4" w:rsidRDefault="00C13065" w:rsidP="00C13065">
        <w:pPr>
          <w:pStyle w:val="Footer"/>
          <w:jc w:val="center"/>
          <w:rPr>
            <w:rFonts w:ascii="Arial" w:hAnsi="Arial" w:cs="Arial"/>
            <w:noProof/>
            <w:sz w:val="20"/>
          </w:rPr>
        </w:pPr>
        <w:r w:rsidRPr="003178E4">
          <w:rPr>
            <w:rFonts w:ascii="Arial" w:hAnsi="Arial" w:cs="Arial"/>
            <w:sz w:val="20"/>
          </w:rPr>
          <w:fldChar w:fldCharType="begin"/>
        </w:r>
        <w:r w:rsidRPr="003178E4">
          <w:rPr>
            <w:rFonts w:ascii="Arial" w:hAnsi="Arial" w:cs="Arial"/>
            <w:sz w:val="20"/>
          </w:rPr>
          <w:instrText xml:space="preserve"> PAGE   \* MERGEFORMAT </w:instrText>
        </w:r>
        <w:r w:rsidRPr="003178E4">
          <w:rPr>
            <w:rFonts w:ascii="Arial" w:hAnsi="Arial" w:cs="Arial"/>
            <w:sz w:val="20"/>
          </w:rPr>
          <w:fldChar w:fldCharType="separate"/>
        </w:r>
        <w:r w:rsidR="003178E4">
          <w:rPr>
            <w:rFonts w:ascii="Arial" w:hAnsi="Arial" w:cs="Arial"/>
            <w:noProof/>
            <w:sz w:val="20"/>
          </w:rPr>
          <w:t>7</w:t>
        </w:r>
        <w:r w:rsidRPr="003178E4">
          <w:rPr>
            <w:rFonts w:ascii="Arial" w:hAnsi="Arial" w:cs="Arial"/>
            <w:noProof/>
            <w:sz w:val="20"/>
          </w:rPr>
          <w:fldChar w:fldCharType="end"/>
        </w:r>
      </w:p>
    </w:sdtContent>
  </w:sdt>
  <w:p w:rsidR="002E4FBA" w:rsidRPr="000971C5" w:rsidRDefault="002E4FBA" w:rsidP="00107C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4"/>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FBA" w:rsidRDefault="00292BF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2E4FBA" w:rsidRDefault="00292B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17A4F">
      <w:rPr>
        <w:rFonts w:ascii="Arial" w:eastAsia="Arial" w:hAnsi="Arial" w:cs="Arial"/>
        <w:noProof/>
        <w:color w:val="000000"/>
        <w:sz w:val="20"/>
        <w:szCs w:val="20"/>
      </w:rPr>
      <w:t>3</w:t>
    </w:r>
    <w:r>
      <w:rPr>
        <w:rFonts w:ascii="Arial" w:eastAsia="Arial" w:hAnsi="Arial" w:cs="Arial"/>
        <w:color w:val="000000"/>
        <w:sz w:val="20"/>
        <w:szCs w:val="20"/>
      </w:rPr>
      <w:fldChar w:fldCharType="end"/>
    </w:r>
    <w:r>
      <w:rPr>
        <w:rFonts w:ascii="Arial" w:eastAsia="Arial" w:hAnsi="Arial" w:cs="Arial"/>
        <w:color w:val="000000"/>
        <w:sz w:val="20"/>
        <w:szCs w:val="20"/>
      </w:rPr>
      <w:t>-</w:t>
    </w:r>
  </w:p>
  <w:p w:rsidR="002E4FBA" w:rsidRDefault="00292BF9">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22" w:rsidRDefault="00AA2E22">
      <w:pPr>
        <w:spacing w:after="0" w:line="240" w:lineRule="auto"/>
      </w:pPr>
      <w:r>
        <w:separator/>
      </w:r>
    </w:p>
  </w:footnote>
  <w:footnote w:type="continuationSeparator" w:id="0">
    <w:p w:rsidR="00AA2E22" w:rsidRDefault="00AA2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FBA" w:rsidRDefault="00292BF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2E4FBA" w:rsidRDefault="00292B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sidR="00107C32">
      <w:rPr>
        <w:rFonts w:ascii="Arial" w:eastAsia="Arial" w:hAnsi="Arial" w:cs="Arial"/>
        <w:color w:val="000000"/>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FBA" w:rsidRDefault="00292BF9">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0DE"/>
    <w:multiLevelType w:val="multilevel"/>
    <w:tmpl w:val="009CE0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560"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84E4A4E"/>
    <w:multiLevelType w:val="multilevel"/>
    <w:tmpl w:val="A3325A0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560"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FA3039C"/>
    <w:multiLevelType w:val="multilevel"/>
    <w:tmpl w:val="3B408AB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560"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10C3417"/>
    <w:multiLevelType w:val="multilevel"/>
    <w:tmpl w:val="39944CF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C07BE9"/>
    <w:multiLevelType w:val="multilevel"/>
    <w:tmpl w:val="E46CBE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F9E2B20"/>
    <w:multiLevelType w:val="multilevel"/>
    <w:tmpl w:val="3856B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231701"/>
    <w:multiLevelType w:val="multilevel"/>
    <w:tmpl w:val="71A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17A37"/>
    <w:multiLevelType w:val="multilevel"/>
    <w:tmpl w:val="A9489D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560"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3CF0022E"/>
    <w:multiLevelType w:val="multilevel"/>
    <w:tmpl w:val="B6AEC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613323"/>
    <w:multiLevelType w:val="multilevel"/>
    <w:tmpl w:val="F244D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E51A3C"/>
    <w:multiLevelType w:val="multilevel"/>
    <w:tmpl w:val="4D9249F0"/>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5E54928"/>
    <w:multiLevelType w:val="multilevel"/>
    <w:tmpl w:val="86223C4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560" w:hanging="709"/>
      </w:pPr>
      <w:rPr>
        <w:b w:val="0"/>
        <w:i w:val="0"/>
        <w:sz w:val="22"/>
        <w:szCs w:val="22"/>
      </w:rPr>
    </w:lvl>
    <w:lvl w:ilvl="3">
      <w:start w:val="1"/>
      <w:numFmt w:val="lowerRoman"/>
      <w:lvlText w:val="(%4)"/>
      <w:lvlJc w:val="left"/>
      <w:pPr>
        <w:ind w:left="2834" w:hanging="708"/>
      </w:pPr>
      <w:rPr>
        <w:b w:val="0"/>
        <w:i w:val="0"/>
        <w:sz w:val="22"/>
        <w:szCs w:val="22"/>
      </w:rPr>
    </w:lvl>
    <w:lvl w:ilvl="4">
      <w:start w:val="1"/>
      <w:numFmt w:val="upperLetter"/>
      <w:lvlText w:val="(%5)"/>
      <w:lvlJc w:val="left"/>
      <w:pPr>
        <w:ind w:left="4253"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69F739F"/>
    <w:multiLevelType w:val="multilevel"/>
    <w:tmpl w:val="BBC4049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986626D"/>
    <w:multiLevelType w:val="multilevel"/>
    <w:tmpl w:val="6D282ECE"/>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A7B09C0"/>
    <w:multiLevelType w:val="multilevel"/>
    <w:tmpl w:val="73C26E5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701"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0"/>
  </w:num>
  <w:num w:numId="2">
    <w:abstractNumId w:val="14"/>
  </w:num>
  <w:num w:numId="3">
    <w:abstractNumId w:val="9"/>
  </w:num>
  <w:num w:numId="4">
    <w:abstractNumId w:val="8"/>
  </w:num>
  <w:num w:numId="5">
    <w:abstractNumId w:val="12"/>
  </w:num>
  <w:num w:numId="6">
    <w:abstractNumId w:val="3"/>
  </w:num>
  <w:num w:numId="7">
    <w:abstractNumId w:val="5"/>
  </w:num>
  <w:num w:numId="8">
    <w:abstractNumId w:val="1"/>
  </w:num>
  <w:num w:numId="9">
    <w:abstractNumId w:val="0"/>
  </w:num>
  <w:num w:numId="10">
    <w:abstractNumId w:val="4"/>
  </w:num>
  <w:num w:numId="11">
    <w:abstractNumId w:val="2"/>
  </w:num>
  <w:num w:numId="12">
    <w:abstractNumId w:val="7"/>
  </w:num>
  <w:num w:numId="13">
    <w:abstractNumId w:val="11"/>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BA"/>
    <w:rsid w:val="000971C5"/>
    <w:rsid w:val="000C0433"/>
    <w:rsid w:val="00107C32"/>
    <w:rsid w:val="00292BF9"/>
    <w:rsid w:val="002E4FBA"/>
    <w:rsid w:val="00313FED"/>
    <w:rsid w:val="003178E4"/>
    <w:rsid w:val="007C4220"/>
    <w:rsid w:val="00917A4F"/>
    <w:rsid w:val="00A22E2C"/>
    <w:rsid w:val="00AA2E22"/>
    <w:rsid w:val="00BD0149"/>
    <w:rsid w:val="00C13065"/>
    <w:rsid w:val="00C20D6E"/>
    <w:rsid w:val="00CE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5AE88F1-BD7F-43E7-A18D-2D2ED397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rFonts w:ascii="Arial" w:hAnsi="Arial" w:cs="Arial"/>
      <w:color w:val="000000"/>
      <w:sz w:val="24"/>
      <w:szCs w:val="24"/>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78325">
      <w:bodyDiv w:val="1"/>
      <w:marLeft w:val="0"/>
      <w:marRight w:val="0"/>
      <w:marTop w:val="0"/>
      <w:marBottom w:val="0"/>
      <w:divBdr>
        <w:top w:val="none" w:sz="0" w:space="0" w:color="auto"/>
        <w:left w:val="none" w:sz="0" w:space="0" w:color="auto"/>
        <w:bottom w:val="none" w:sz="0" w:space="0" w:color="auto"/>
        <w:right w:val="none" w:sz="0" w:space="0" w:color="auto"/>
      </w:divBdr>
    </w:div>
    <w:div w:id="1063526490">
      <w:bodyDiv w:val="1"/>
      <w:marLeft w:val="0"/>
      <w:marRight w:val="0"/>
      <w:marTop w:val="0"/>
      <w:marBottom w:val="0"/>
      <w:divBdr>
        <w:top w:val="none" w:sz="0" w:space="0" w:color="auto"/>
        <w:left w:val="none" w:sz="0" w:space="0" w:color="auto"/>
        <w:bottom w:val="none" w:sz="0" w:space="0" w:color="auto"/>
        <w:right w:val="none" w:sz="0" w:space="0" w:color="auto"/>
      </w:divBdr>
    </w:div>
    <w:div w:id="123897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JVRkrgBm0FrxfTeu0LAjljnJQ==">CgMxLjAyCWguMzBqMHpsbDIJaWQuZ2pkZ3hzMgppZC4zMGowemxsMgppZC4xZm9iOXRlMgppZC4zem55c2g3MgppZC4yZXQ5MnAwMglpZC50eWpjd3QyCmlkLjNkeTZ2a20yCmlkLjF0M2g1c2YyCmlkLjRkMzRvZzgyCmlkLjJzOGV5bzEyCmlkLjE3ZHA4dnUyCmlkLjNyZGNyam4yCWguMjZpbjFyZzIJaWQubG54Yno5MgppZC4zNW5rdW4yMghoLmdqZGd4czIKaWQuMWtzdjR1djIJaC40NHNpbmlvOAByITEyMllpemxLcGlyNzIyNGVHakZkNTRKTlQxUUNjSnJJ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6059</Words>
  <Characters>35507</Characters>
  <Application>Microsoft Office Word</Application>
  <DocSecurity>0</DocSecurity>
  <PresentationFormat/>
  <Lines>3945</Lines>
  <Paragraphs>2445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6</cp:revision>
  <dcterms:created xsi:type="dcterms:W3CDTF">2024-06-19T18:25:00Z</dcterms:created>
  <dcterms:modified xsi:type="dcterms:W3CDTF">2024-06-26T20:27:00Z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90205961-1</vt:lpwstr>
  </property>
</Properties>
</file>