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18 (Background Checks) </w:t>
      </w:r>
    </w:p>
    <w:p w:rsidR="00000000" w:rsidDel="00000000" w:rsidP="00000000" w:rsidRDefault="00000000" w:rsidRPr="00000000" w14:paraId="00000002">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When you should use this Schedule</w:t>
      </w: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should be used where Supplier Staff must be vetted before working on Contract. </w:t>
      </w:r>
    </w:p>
    <w:p w:rsidR="00000000" w:rsidDel="00000000" w:rsidP="00000000" w:rsidRDefault="00000000" w:rsidRPr="00000000" w14:paraId="00000004">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bookmarkStart w:colFirst="0" w:colLast="0" w:name="_heading=h.rq085arhghz" w:id="0"/>
      <w:bookmarkEnd w:id="0"/>
      <w:r w:rsidDel="00000000" w:rsidR="00000000" w:rsidRPr="00000000">
        <w:rPr>
          <w:rFonts w:ascii="Arial" w:cs="Arial" w:eastAsia="Arial" w:hAnsi="Arial"/>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“Relevant Conviction”</w:t>
      </w:r>
      <w:r w:rsidDel="00000000" w:rsidR="00000000" w:rsidRPr="00000000">
        <w:rPr>
          <w:rFonts w:ascii="Arial" w:cs="Arial" w:eastAsia="Arial" w:hAnsi="Arial"/>
          <w:sz w:val="24"/>
          <w:szCs w:val="24"/>
          <w:rtl w:val="0"/>
        </w:rPr>
        <w:t xml:space="preserve"> means any conviction listed in Annex 1 to this Schedule.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Relevant Convictions</w:t>
      </w:r>
      <w:r w:rsidDel="00000000" w:rsidR="00000000" w:rsidRPr="00000000">
        <w:rPr>
          <w:rtl w:val="0"/>
        </w:rPr>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134"/>
          <w:tab w:val="left" w:leader="none" w:pos="2127"/>
        </w:tabs>
        <w:spacing w:after="120" w:before="120" w:line="240" w:lineRule="auto"/>
        <w:ind w:left="2127" w:hanging="993"/>
        <w:rPr/>
      </w:pPr>
      <w:bookmarkStart w:colFirst="0" w:colLast="0" w:name="_heading=h.de01sd72r2cf" w:id="1"/>
      <w:bookmarkEnd w:id="1"/>
      <w:r w:rsidDel="00000000" w:rsidR="00000000" w:rsidRPr="00000000">
        <w:rPr>
          <w:rFonts w:ascii="Arial" w:cs="Arial" w:eastAsia="Arial" w:hAnsi="Arial"/>
          <w:color w:val="000000"/>
          <w:sz w:val="24"/>
          <w:szCs w:val="24"/>
          <w:rtl w:val="0"/>
        </w:rPr>
        <w:t xml:space="preserve">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r w:rsidDel="00000000" w:rsidR="00000000" w:rsidRPr="00000000">
        <w:rPr>
          <w:rtl w:val="0"/>
        </w:rPr>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134"/>
          <w:tab w:val="left" w:leader="none" w:pos="2127"/>
        </w:tabs>
        <w:spacing w:after="120" w:before="120" w:line="240" w:lineRule="auto"/>
        <w:ind w:left="2127" w:hanging="993"/>
        <w:rPr/>
      </w:pPr>
      <w:r w:rsidDel="00000000" w:rsidR="00000000" w:rsidRPr="00000000">
        <w:rPr>
          <w:rFonts w:ascii="Arial" w:cs="Arial" w:eastAsia="Arial" w:hAnsi="Arial"/>
          <w:color w:val="000000"/>
          <w:sz w:val="24"/>
          <w:szCs w:val="24"/>
          <w:rtl w:val="0"/>
        </w:rPr>
        <w:t xml:space="preserve">Notwithstanding Paragraph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r w:rsidDel="00000000" w:rsidR="00000000" w:rsidRPr="00000000">
        <w:rPr>
          <w:rtl w:val="0"/>
        </w:rPr>
      </w:r>
    </w:p>
    <w:p w:rsidR="00000000" w:rsidDel="00000000" w:rsidP="00000000" w:rsidRDefault="00000000" w:rsidRPr="00000000" w14:paraId="00000009">
      <w:pPr>
        <w:numPr>
          <w:ilvl w:val="3"/>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2835" w:hanging="708.0000000000001"/>
        <w:rPr/>
      </w:pPr>
      <w:r w:rsidDel="00000000" w:rsidR="00000000" w:rsidRPr="00000000">
        <w:rPr>
          <w:rFonts w:ascii="Arial" w:cs="Arial" w:eastAsia="Arial" w:hAnsi="Arial"/>
          <w:color w:val="000000"/>
          <w:sz w:val="24"/>
          <w:szCs w:val="24"/>
          <w:rtl w:val="0"/>
        </w:rPr>
        <w:t xml:space="preserve">carry out a check with the records held by the Department for Education (DfE);</w:t>
      </w:r>
      <w:r w:rsidDel="00000000" w:rsidR="00000000" w:rsidRPr="00000000">
        <w:rPr>
          <w:rtl w:val="0"/>
        </w:rPr>
      </w:r>
    </w:p>
    <w:p w:rsidR="00000000" w:rsidDel="00000000" w:rsidP="00000000" w:rsidRDefault="00000000" w:rsidRPr="00000000" w14:paraId="0000000A">
      <w:pPr>
        <w:numPr>
          <w:ilvl w:val="3"/>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2835" w:hanging="708.0000000000001"/>
        <w:rPr/>
      </w:pPr>
      <w:r w:rsidDel="00000000" w:rsidR="00000000" w:rsidRPr="00000000">
        <w:rPr>
          <w:rFonts w:ascii="Arial" w:cs="Arial" w:eastAsia="Arial" w:hAnsi="Arial"/>
          <w:color w:val="000000"/>
          <w:sz w:val="24"/>
          <w:szCs w:val="24"/>
          <w:rtl w:val="0"/>
        </w:rPr>
        <w:t xml:space="preserve">conduct thorough questioning regarding any Relevant Convictions; and</w:t>
      </w:r>
      <w:r w:rsidDel="00000000" w:rsidR="00000000" w:rsidRPr="00000000">
        <w:rPr>
          <w:rtl w:val="0"/>
        </w:rPr>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2835" w:hanging="708.0000000000001"/>
        <w:rPr/>
      </w:pPr>
      <w:r w:rsidDel="00000000" w:rsidR="00000000" w:rsidRPr="00000000">
        <w:rPr>
          <w:rFonts w:ascii="Arial" w:cs="Arial" w:eastAsia="Arial" w:hAnsi="Arial"/>
          <w:color w:val="000000"/>
          <w:sz w:val="24"/>
          <w:szCs w:val="24"/>
          <w:rtl w:val="0"/>
        </w:rPr>
        <w:t xml:space="preserve">ensure a police check is completed and such other checks as may be carried out through the Disclosure and Barring Service (DBS),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2127"/>
        </w:tabs>
        <w:spacing w:after="120" w:before="120" w:line="240" w:lineRule="auto"/>
        <w:ind w:left="212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not (and shall ensure that any Sub-Contractor shall not) engage or continue to employ in the provision of the Deliverables any person who has a Relevant Conviction or an inappropriate record.</w:t>
      </w:r>
    </w:p>
    <w:p w:rsidR="00000000" w:rsidDel="00000000" w:rsidP="00000000" w:rsidRDefault="00000000" w:rsidRPr="00000000" w14:paraId="0000000D">
      <w:pPr>
        <w:rPr>
          <w:rFonts w:ascii="Arial" w:cs="Arial" w:eastAsia="Arial" w:hAnsi="Arial"/>
          <w:b w:val="1"/>
          <w:smallCaps w:val="1"/>
          <w:sz w:val="20"/>
          <w:szCs w:val="20"/>
        </w:rPr>
      </w:pPr>
      <w:bookmarkStart w:colFirst="0" w:colLast="0" w:name="_heading=h.s9a3ubiklcqk" w:id="2"/>
      <w:bookmarkEnd w:id="2"/>
      <w:r w:rsidDel="00000000" w:rsidR="00000000" w:rsidRPr="00000000">
        <w:br w:type="page"/>
      </w:r>
      <w:r w:rsidDel="00000000" w:rsidR="00000000" w:rsidRPr="00000000">
        <w:rPr>
          <w:rtl w:val="0"/>
        </w:rPr>
      </w:r>
    </w:p>
    <w:p w:rsidR="00000000" w:rsidDel="00000000" w:rsidP="00000000" w:rsidRDefault="00000000" w:rsidRPr="00000000" w14:paraId="0000000E">
      <w:pPr>
        <w:keepNext w:val="1"/>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F">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Relevant Convictions</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sectPr>
          <w:headerReference r:id="rId7" w:type="default"/>
          <w:footerReference r:id="rId8" w:type="default"/>
          <w:footerReference r:id="rId9" w:type="first"/>
          <w:pgSz w:h="16838" w:w="11906" w:orient="portrait"/>
          <w:pgMar w:bottom="1440" w:top="1440" w:left="1440" w:right="1440" w:header="709" w:footer="709"/>
          <w:pgNumType w:start="1"/>
        </w:sectPr>
      </w:pPr>
      <w:bookmarkStart w:colFirst="0" w:colLast="0" w:name="_heading=h.uhhjl1pmiqjy" w:id="3"/>
      <w:bookmarkEnd w:id="3"/>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Relevant Convictions here]</w:t>
      </w:r>
    </w:p>
    <w:p w:rsidR="00000000" w:rsidDel="00000000" w:rsidP="00000000" w:rsidRDefault="00000000" w:rsidRPr="00000000" w14:paraId="00000012">
      <w:pPr>
        <w:rPr/>
      </w:pPr>
      <w:bookmarkStart w:colFirst="0" w:colLast="0" w:name="_heading=h.71299znzmibl" w:id="4"/>
      <w:bookmarkEnd w:id="4"/>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1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1</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 v3.0</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18 (Background Checks)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AnuT7wQ88xtxm54diZ7DO3+w==">CgMxLjAyDWgucnEwODVhcmhnaHoyDmguZGUwMXNkNzJyMmNmMg5oLnM5YTN1YmlrbGNxazIOaC51aGhqbDFwbWlxankyDmguNzEyOTl6bnptaWJsOAByITF0bFZjODVlLVQxSmlia2t5VGlNU3FoSzE2TUdEUWw3SA==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