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ind w:left="142" w:right="394" w:firstLine="0"/>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tabs>
          <w:tab w:val="left" w:leader="none" w:pos="993"/>
        </w:tabs>
        <w:spacing w:after="240" w:line="240" w:lineRule="auto"/>
        <w:ind w:left="792" w:hanging="432"/>
        <w:rPr/>
      </w:pPr>
      <w:r w:rsidDel="00000000" w:rsidR="00000000" w:rsidRPr="00000000">
        <w:rPr>
          <w:rFonts w:ascii="Arial" w:cs="Arial" w:eastAsia="Arial" w:hAnsi="Arial"/>
          <w:color w:val="000000"/>
          <w:sz w:val="24"/>
          <w:szCs w:val="24"/>
          <w:rtl w:val="0"/>
        </w:rPr>
        <w:t xml:space="preserve">In this Schedule, the following words have the following meanings and they shall supplement Joint Schedule 1 (Definitions):</w:t>
      </w:r>
    </w:p>
    <w:tbl>
      <w:tblPr>
        <w:tblStyle w:val="Table1"/>
        <w:tblW w:w="8918.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spacing w:after="240" w:line="240" w:lineRule="auto"/>
              <w:rPr>
                <w:rFonts w:ascii="Arial" w:cs="Arial" w:eastAsia="Arial" w:hAnsi="Arial"/>
                <w:color w:val="000000"/>
                <w:sz w:val="24"/>
                <w:szCs w:val="24"/>
              </w:rPr>
            </w:pPr>
            <w:bookmarkStart w:colFirst="0" w:colLast="0" w:name="_30j0zll" w:id="1"/>
            <w:bookmarkEnd w:id="1"/>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spacing w:after="240" w:line="240" w:lineRule="auto"/>
              <w:ind w:left="209"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tabs>
                <w:tab w:val="left" w:leader="none" w:pos="-75"/>
              </w:tabs>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tabs>
                <w:tab w:val="left" w:leader="none" w:pos="-75"/>
              </w:tabs>
              <w:spacing w:after="0" w:line="240" w:lineRule="auto"/>
              <w:ind w:left="40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405"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pacing w:after="240" w:line="240" w:lineRule="auto"/>
              <w:ind w:left="405"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bookmarkStart w:colFirst="0" w:colLast="0" w:name="_1fob9te" w:id="2"/>
      <w:bookmarkEnd w:id="2"/>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C">
      <w:pPr>
        <w:pStyle w:val="Heading2"/>
        <w:keepNext w:val="0"/>
        <w:keepLines w:val="0"/>
        <w:numPr>
          <w:ilvl w:val="1"/>
          <w:numId w:val="1"/>
        </w:numPr>
        <w:spacing w:line="240" w:lineRule="auto"/>
        <w:ind w:left="792" w:hanging="432"/>
        <w:jc w:val="both"/>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2"/>
        <w:keepNext w:val="0"/>
        <w:keepLines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1F">
      <w:pPr>
        <w:pStyle w:val="Heading2"/>
        <w:keepNext w:val="0"/>
        <w:keepLines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numPr>
          <w:ilvl w:val="1"/>
          <w:numId w:val="1"/>
        </w:numPr>
        <w:spacing w:line="240" w:lineRule="auto"/>
        <w:ind w:left="792" w:hanging="432"/>
        <w:jc w:val="both"/>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numPr>
          <w:ilvl w:val="2"/>
          <w:numId w:val="1"/>
        </w:numPr>
        <w:spacing w:line="240" w:lineRule="auto"/>
        <w:ind w:left="1224" w:hanging="504.00000000000006"/>
        <w:jc w:val="both"/>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numPr>
          <w:ilvl w:val="2"/>
          <w:numId w:val="1"/>
        </w:numPr>
        <w:spacing w:line="240" w:lineRule="auto"/>
        <w:ind w:left="1224" w:hanging="504.00000000000006"/>
        <w:jc w:val="both"/>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numPr>
          <w:ilvl w:val="1"/>
          <w:numId w:val="1"/>
        </w:numPr>
        <w:spacing w:line="240" w:lineRule="auto"/>
        <w:ind w:left="792" w:hanging="432"/>
        <w:jc w:val="both"/>
        <w:rPr/>
      </w:pPr>
      <w:bookmarkStart w:colFirst="0" w:colLast="0" w:name="_3znysh7" w:id="3"/>
      <w:bookmarkEnd w:id="3"/>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numPr>
          <w:ilvl w:val="1"/>
          <w:numId w:val="1"/>
        </w:numPr>
        <w:spacing w:after="240" w:before="0" w:line="240" w:lineRule="auto"/>
        <w:ind w:left="792" w:hanging="432"/>
        <w:jc w:val="both"/>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numPr>
          <w:ilvl w:val="1"/>
          <w:numId w:val="1"/>
        </w:numPr>
        <w:spacing w:after="240" w:before="0" w:line="240" w:lineRule="auto"/>
        <w:ind w:left="792" w:hanging="432"/>
        <w:jc w:val="both"/>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numPr>
          <w:ilvl w:val="2"/>
          <w:numId w:val="1"/>
        </w:numPr>
        <w:spacing w:after="240" w:before="0" w:line="240" w:lineRule="auto"/>
        <w:ind w:left="1418" w:hanging="698"/>
        <w:jc w:val="both"/>
        <w:rPr/>
      </w:pPr>
      <w:bookmarkStart w:colFirst="0" w:colLast="0" w:name="_2et92p0" w:id="4"/>
      <w:bookmarkEnd w:id="4"/>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numPr>
          <w:ilvl w:val="2"/>
          <w:numId w:val="1"/>
        </w:numPr>
        <w:spacing w:after="240" w:before="0" w:line="240" w:lineRule="auto"/>
        <w:ind w:left="1418" w:hanging="698"/>
        <w:jc w:val="both"/>
        <w:rPr/>
      </w:pPr>
      <w:bookmarkStart w:colFirst="0" w:colLast="0" w:name="_tyjcwt" w:id="5"/>
      <w:bookmarkEnd w:id="5"/>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numPr>
          <w:ilvl w:val="2"/>
          <w:numId w:val="1"/>
        </w:numPr>
        <w:spacing w:after="240" w:before="0" w:line="240" w:lineRule="auto"/>
        <w:ind w:left="1418" w:hanging="698"/>
        <w:jc w:val="both"/>
        <w:rPr/>
      </w:pPr>
      <w:bookmarkStart w:colFirst="0" w:colLast="0" w:name="_3dy6vkm" w:id="6"/>
      <w:bookmarkEnd w:id="6"/>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3B">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numPr>
          <w:ilvl w:val="1"/>
          <w:numId w:val="1"/>
        </w:numPr>
        <w:spacing w:after="240" w:line="240" w:lineRule="auto"/>
        <w:ind w:left="792" w:hanging="432"/>
        <w:jc w:val="both"/>
        <w:rPr/>
      </w:pPr>
      <w:bookmarkStart w:colFirst="0" w:colLast="0" w:name="_1t3h5sf" w:id="7"/>
      <w:bookmarkEnd w:id="7"/>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numPr>
          <w:ilvl w:val="1"/>
          <w:numId w:val="1"/>
        </w:numPr>
        <w:spacing w:after="240" w:line="240" w:lineRule="auto"/>
        <w:ind w:left="792" w:hanging="432"/>
        <w:jc w:val="both"/>
        <w:rPr/>
      </w:pPr>
      <w:bookmarkStart w:colFirst="0" w:colLast="0" w:name="_4d34og8" w:id="8"/>
      <w:bookmarkEnd w:id="8"/>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numPr>
          <w:ilvl w:val="1"/>
          <w:numId w:val="1"/>
        </w:numPr>
        <w:spacing w:after="240" w:line="240" w:lineRule="auto"/>
        <w:ind w:left="792" w:hanging="432"/>
        <w:jc w:val="both"/>
        <w:rPr/>
      </w:pPr>
      <w:bookmarkStart w:colFirst="0" w:colLast="0" w:name="_2s8eyo1" w:id="9"/>
      <w:bookmarkEnd w:id="9"/>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numPr>
          <w:ilvl w:val="1"/>
          <w:numId w:val="1"/>
        </w:numPr>
        <w:spacing w:after="240" w:line="240" w:lineRule="auto"/>
        <w:ind w:left="792" w:hanging="432"/>
        <w:jc w:val="both"/>
        <w:rPr/>
      </w:pPr>
      <w:bookmarkStart w:colFirst="0" w:colLast="0" w:name="_17dp8vu" w:id="10"/>
      <w:bookmarkEnd w:id="10"/>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numPr>
          <w:ilvl w:val="2"/>
          <w:numId w:val="1"/>
        </w:numPr>
        <w:spacing w:after="240" w:before="0" w:line="240" w:lineRule="auto"/>
        <w:ind w:left="1418" w:hanging="698"/>
        <w:jc w:val="both"/>
        <w:rPr/>
      </w:pPr>
      <w:bookmarkStart w:colFirst="0" w:colLast="0" w:name="_3rdcrjn" w:id="11"/>
      <w:bookmarkEnd w:id="11"/>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numPr>
          <w:ilvl w:val="2"/>
          <w:numId w:val="1"/>
        </w:numPr>
        <w:spacing w:after="240" w:before="0" w:line="240" w:lineRule="auto"/>
        <w:ind w:left="1418" w:hanging="698"/>
        <w:jc w:val="both"/>
        <w:rPr/>
      </w:pPr>
      <w:bookmarkStart w:colFirst="0" w:colLast="0" w:name="_26in1rg" w:id="12"/>
      <w:bookmarkEnd w:id="12"/>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numPr>
          <w:ilvl w:val="1"/>
          <w:numId w:val="1"/>
        </w:numPr>
        <w:spacing w:after="240" w:line="240" w:lineRule="auto"/>
        <w:ind w:left="792" w:hanging="432"/>
        <w:jc w:val="both"/>
        <w:rPr/>
      </w:pPr>
      <w:bookmarkStart w:colFirst="0" w:colLast="0" w:name="_lnxbz9" w:id="13"/>
      <w:bookmarkEnd w:id="13"/>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11.2 of the Core Terms.</w:t>
      </w:r>
      <w:r w:rsidDel="00000000" w:rsidR="00000000" w:rsidRPr="00000000">
        <w:rPr>
          <w:rtl w:val="0"/>
        </w:rPr>
      </w:r>
    </w:p>
    <w:p w:rsidR="00000000" w:rsidDel="00000000" w:rsidP="00000000" w:rsidRDefault="00000000" w:rsidRPr="00000000" w14:paraId="00000046">
      <w:pPr>
        <w:pStyle w:val="Heading2"/>
        <w:keepNext w:val="0"/>
        <w:keepLines w:val="0"/>
        <w:numPr>
          <w:ilvl w:val="1"/>
          <w:numId w:val="1"/>
        </w:numPr>
        <w:spacing w:after="240" w:line="240" w:lineRule="auto"/>
        <w:ind w:left="792" w:hanging="432"/>
        <w:jc w:val="both"/>
        <w:rPr/>
      </w:pPr>
      <w:bookmarkStart w:colFirst="0" w:colLast="0" w:name="_35nkun2" w:id="14"/>
      <w:bookmarkEnd w:id="14"/>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applies and Clauses 10.6.1 and 10.6.2 of the Core Terms shall apply as if the Contract had been terminated under Clause 10.4.1.</w:t>
      </w:r>
    </w:p>
    <w:p w:rsidR="00000000" w:rsidDel="00000000" w:rsidP="00000000" w:rsidRDefault="00000000" w:rsidRPr="00000000" w14:paraId="0000004C">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bookmarkStart w:colFirst="0" w:colLast="0" w:name="_1ksv4uv" w:id="15"/>
      <w:bookmarkEnd w:id="15"/>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numPr>
          <w:ilvl w:val="1"/>
          <w:numId w:val="1"/>
        </w:numPr>
        <w:spacing w:after="240" w:line="240" w:lineRule="auto"/>
        <w:ind w:left="792" w:hanging="432"/>
        <w:jc w:val="both"/>
        <w:rPr/>
      </w:pPr>
      <w:bookmarkStart w:colFirst="0" w:colLast="0" w:name="_44sinio" w:id="16"/>
      <w:bookmarkEnd w:id="16"/>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numPr>
          <w:ilvl w:val="1"/>
          <w:numId w:val="1"/>
        </w:numPr>
        <w:spacing w:after="240" w:line="240" w:lineRule="auto"/>
        <w:ind w:left="792" w:hanging="432"/>
        <w:jc w:val="both"/>
        <w:rPr/>
      </w:pPr>
      <w:bookmarkStart w:colFirst="0" w:colLast="0" w:name="_2jxsxqh" w:id="17"/>
      <w:bookmarkEnd w:id="17"/>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numPr>
          <w:ilvl w:val="1"/>
          <w:numId w:val="1"/>
        </w:numPr>
        <w:spacing w:after="240" w:line="240" w:lineRule="auto"/>
        <w:ind w:left="792" w:hanging="432"/>
        <w:jc w:val="both"/>
        <w:rPr/>
      </w:pPr>
      <w:bookmarkStart w:colFirst="0" w:colLast="0" w:name="_z337ya" w:id="18"/>
      <w:bookmarkEnd w:id="18"/>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r w:rsidDel="00000000" w:rsidR="00000000" w:rsidRPr="00000000">
        <w:rPr>
          <w:rtl w:val="0"/>
        </w:rPr>
      </w:r>
    </w:p>
    <w:p w:rsidR="00000000" w:rsidDel="00000000" w:rsidP="00000000" w:rsidRDefault="00000000" w:rsidRPr="00000000" w14:paraId="00000051">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52">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numPr>
          <w:ilvl w:val="1"/>
          <w:numId w:val="1"/>
        </w:numPr>
        <w:spacing w:after="240" w:line="240" w:lineRule="auto"/>
        <w:ind w:left="792" w:hanging="432"/>
        <w:jc w:val="both"/>
        <w:rPr/>
      </w:pPr>
      <w:bookmarkStart w:colFirst="0" w:colLast="0" w:name="_3j2qqm3" w:id="19"/>
      <w:bookmarkEnd w:id="19"/>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numPr>
          <w:ilvl w:val="2"/>
          <w:numId w:val="1"/>
        </w:numPr>
        <w:spacing w:after="240" w:before="0" w:line="240" w:lineRule="auto"/>
        <w:ind w:left="1418" w:hanging="698"/>
        <w:jc w:val="both"/>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numPr>
          <w:ilvl w:val="1"/>
          <w:numId w:val="1"/>
        </w:numPr>
        <w:spacing w:after="240" w:line="240" w:lineRule="auto"/>
        <w:ind w:left="792" w:hanging="432"/>
        <w:jc w:val="both"/>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r w:rsidDel="00000000" w:rsidR="00000000" w:rsidRPr="00000000">
        <w:rPr>
          <w:rtl w:val="0"/>
        </w:rPr>
      </w:r>
    </w:p>
    <w:p w:rsidR="00000000" w:rsidDel="00000000" w:rsidP="00000000" w:rsidRDefault="00000000" w:rsidRPr="00000000" w14:paraId="0000005A">
      <w:pPr>
        <w:pStyle w:val="Heading2"/>
        <w:keepNext w:val="0"/>
        <w:keepLines w:val="0"/>
        <w:numPr>
          <w:ilvl w:val="0"/>
          <w:numId w:val="1"/>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sz w:val="24"/>
          <w:szCs w:val="24"/>
        </w:rPr>
      </w:pPr>
      <w:bookmarkStart w:colFirst="0" w:colLast="0" w:name="_1y810tw" w:id="20"/>
      <w:bookmarkEnd w:id="20"/>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numPr>
          <w:ilvl w:val="1"/>
          <w:numId w:val="1"/>
        </w:numPr>
        <w:spacing w:after="240" w:line="240" w:lineRule="auto"/>
        <w:ind w:left="851" w:hanging="709"/>
        <w:jc w:val="both"/>
        <w:rPr/>
      </w:pPr>
      <w:bookmarkStart w:colFirst="0" w:colLast="0" w:name="_4i7ojhp" w:id="21"/>
      <w:bookmarkEnd w:id="21"/>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numPr>
          <w:ilvl w:val="1"/>
          <w:numId w:val="1"/>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numPr>
          <w:ilvl w:val="1"/>
          <w:numId w:val="1"/>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numPr>
          <w:ilvl w:val="1"/>
          <w:numId w:val="1"/>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numPr>
          <w:ilvl w:val="1"/>
          <w:numId w:val="1"/>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numPr>
          <w:ilvl w:val="1"/>
          <w:numId w:val="1"/>
        </w:numPr>
        <w:spacing w:after="240" w:line="240" w:lineRule="auto"/>
        <w:ind w:left="851" w:hanging="709"/>
        <w:jc w:val="both"/>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applies. </w:t>
      </w:r>
      <w:r w:rsidDel="00000000" w:rsidR="00000000" w:rsidRPr="00000000">
        <w:rPr>
          <w:rtl w:val="0"/>
        </w:rPr>
      </w:r>
    </w:p>
    <w:p w:rsidR="00000000" w:rsidDel="00000000" w:rsidP="00000000" w:rsidRDefault="00000000" w:rsidRPr="00000000" w14:paraId="00000061">
      <w:pPr>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one (An in-scope entity or person)</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numPr>
          <w:ilvl w:val="0"/>
          <w:numId w:val="7"/>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is a person or entity which is either: (“X”)</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line="240" w:lineRule="auto"/>
        <w:ind w:left="284" w:firstLine="6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Economic Operator or Essential Subcontractor (EOS)</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i w:val="1"/>
          <w:color w:val="000000"/>
          <w:sz w:val="24"/>
          <w:szCs w:val="24"/>
          <w:rtl w:val="0"/>
        </w:rPr>
        <w:t xml:space="preserve">IFRS 10 Consolidated Financial Accounts</w:t>
      </w:r>
      <w:r w:rsidDel="00000000" w:rsidR="00000000" w:rsidRPr="00000000">
        <w:rPr>
          <w:rFonts w:ascii="Arial" w:cs="Arial" w:eastAsia="Arial" w:hAnsi="Arial"/>
          <w:i w:val="1"/>
          <w:color w:val="000000"/>
          <w:sz w:val="24"/>
          <w:szCs w:val="24"/>
          <w:vertAlign w:val="superscript"/>
        </w:rPr>
        <w:footnoteReference w:customMarkFollows="0" w:id="0"/>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director, shareholder or other person (P) which exercises control over EOS. ‘Control’ means P can secure, through holding of shares or powers under articles of association or other document that EOS’s affairs are conducted in accordance with P’s wishes.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 has been engaged in one or more of the following:</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Fraudulent evasion</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F">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General Anti-Abuse Rule</w:t>
      </w:r>
      <w:r w:rsidDel="00000000" w:rsidR="00000000" w:rsidRPr="00000000">
        <w:rPr>
          <w:rFonts w:ascii="Arial" w:cs="Arial" w:eastAsia="Arial" w:hAnsi="Arial"/>
          <w:color w:val="000000"/>
          <w:sz w:val="24"/>
          <w:szCs w:val="24"/>
          <w:vertAlign w:val="superscript"/>
        </w:rPr>
        <w:footnoteReference w:customMarkFollows="0" w:id="2"/>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0">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the Halifax Abuse principle</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1">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arrangements caught by a DOTAS or VADR scheme</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2">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caught by a recognised ‘anti-avoidance rule’</w:t>
      </w:r>
      <w:r w:rsidDel="00000000" w:rsidR="00000000" w:rsidRPr="00000000">
        <w:rPr>
          <w:rFonts w:ascii="Arial" w:cs="Arial" w:eastAsia="Arial" w:hAnsi="Arial"/>
          <w:color w:val="000000"/>
          <w:sz w:val="24"/>
          <w:szCs w:val="24"/>
          <w:vertAlign w:val="superscript"/>
        </w:rPr>
        <w:footnoteReference w:customMarkFollows="0" w:id="5"/>
      </w:r>
      <w:r w:rsidDel="00000000" w:rsidR="00000000" w:rsidRPr="00000000">
        <w:rPr>
          <w:rFonts w:ascii="Arial" w:cs="Arial" w:eastAsia="Arial" w:hAnsi="Arial"/>
          <w:color w:val="000000"/>
          <w:sz w:val="24"/>
          <w:szCs w:val="24"/>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Entered into an avoidance scheme identified by HMRC’s published Spotlights list</w:t>
      </w:r>
      <w:r w:rsidDel="00000000" w:rsidR="00000000" w:rsidRPr="00000000">
        <w:rPr>
          <w:rFonts w:ascii="Arial" w:cs="Arial" w:eastAsia="Arial" w:hAnsi="Arial"/>
          <w:color w:val="000000"/>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74">
      <w:pPr>
        <w:numPr>
          <w:ilvl w:val="1"/>
          <w:numId w:val="4"/>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Engaged in conduct which falls under rules in other jurisdictions which are equivalent or similar to (a) to (f) above.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after="240" w:line="24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X’s activity in </w:t>
      </w:r>
      <w:r w:rsidDel="00000000" w:rsidR="00000000" w:rsidRPr="00000000">
        <w:rPr>
          <w:rFonts w:ascii="Arial" w:cs="Arial" w:eastAsia="Arial" w:hAnsi="Arial"/>
          <w:i w:val="1"/>
          <w:color w:val="000000"/>
          <w:sz w:val="24"/>
          <w:szCs w:val="24"/>
          <w:rtl w:val="0"/>
        </w:rPr>
        <w:t xml:space="preserve">Condition 2</w:t>
      </w:r>
      <w:r w:rsidDel="00000000" w:rsidR="00000000" w:rsidRPr="00000000">
        <w:rPr>
          <w:rFonts w:ascii="Arial" w:cs="Arial" w:eastAsia="Arial" w:hAnsi="Arial"/>
          <w:color w:val="000000"/>
          <w:sz w:val="24"/>
          <w:szCs w:val="24"/>
          <w:rtl w:val="0"/>
        </w:rPr>
        <w:t xml:space="preserve"> is, where applicable, subject to dispute and/or litigation as follows: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40" w:line="240" w:lineRule="auto"/>
        <w:ind w:firstLine="6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numPr>
          <w:ilvl w:val="1"/>
          <w:numId w:val="5"/>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either X:</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color w:val="000000"/>
          <w:sz w:val="24"/>
          <w:szCs w:val="24"/>
          <w:vertAlign w:val="superscript"/>
        </w:rPr>
        <w:footnoteReference w:customMarkFollows="0" w:id="7"/>
      </w:r>
      <w:r w:rsidDel="00000000" w:rsidR="00000000" w:rsidRPr="00000000">
        <w:rPr>
          <w:rFonts w:ascii="Arial" w:cs="Arial" w:eastAsia="Arial" w:hAnsi="Arial"/>
          <w:color w:val="000000"/>
          <w:sz w:val="24"/>
          <w:szCs w:val="24"/>
          <w:rtl w:val="0"/>
        </w:rPr>
        <w:t xml:space="preserve">; or,</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240" w:line="240" w:lineRule="auto"/>
        <w:ind w:left="1418" w:hanging="42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charged with an offence of fraudulent evasion. </w:t>
      </w:r>
    </w:p>
    <w:p w:rsidR="00000000" w:rsidDel="00000000" w:rsidP="00000000" w:rsidRDefault="00000000" w:rsidRPr="00000000" w14:paraId="0000007B">
      <w:pPr>
        <w:numPr>
          <w:ilvl w:val="1"/>
          <w:numId w:val="5"/>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C">
      <w:pPr>
        <w:numPr>
          <w:ilvl w:val="1"/>
          <w:numId w:val="5"/>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D">
      <w:pPr>
        <w:numPr>
          <w:ilvl w:val="1"/>
          <w:numId w:val="5"/>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(f) this condition is satisfied without any further steps being taken.</w:t>
      </w:r>
    </w:p>
    <w:p w:rsidR="00000000" w:rsidDel="00000000" w:rsidP="00000000" w:rsidRDefault="00000000" w:rsidRPr="00000000" w14:paraId="0000007E">
      <w:pPr>
        <w:numPr>
          <w:ilvl w:val="1"/>
          <w:numId w:val="5"/>
        </w:numPr>
        <w:pBdr>
          <w:top w:space="0" w:sz="0" w:val="nil"/>
          <w:left w:space="0" w:sz="0" w:val="nil"/>
          <w:bottom w:space="0" w:sz="0" w:val="nil"/>
          <w:right w:space="0" w:sz="0" w:val="nil"/>
          <w:between w:space="0" w:sz="0" w:val="nil"/>
        </w:pBdr>
        <w:spacing w:after="240" w:line="240" w:lineRule="auto"/>
        <w:ind w:left="709" w:hanging="28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(g) the foreign equivalent to each of the corresponding steps set out above in (i) to (iii).</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80">
      <w:pPr>
        <w:pStyle w:val="Heading3"/>
        <w:keepNext w:val="0"/>
        <w:keepLines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1">
      <w:pPr>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3">
      <w:pPr>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5">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6">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7">
      <w:pPr>
        <w:numPr>
          <w:ilvl w:val="0"/>
          <w:numId w:val="3"/>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8">
      <w:pPr>
        <w:numPr>
          <w:ilvl w:val="0"/>
          <w:numId w:val="3"/>
        </w:numPr>
        <w:pBdr>
          <w:top w:space="0" w:sz="0" w:val="nil"/>
          <w:left w:space="0" w:sz="0" w:val="nil"/>
          <w:bottom w:space="0" w:sz="0" w:val="nil"/>
          <w:right w:space="0" w:sz="0" w:val="nil"/>
          <w:between w:space="0" w:sz="0" w:val="nil"/>
        </w:pBdr>
        <w:spacing w:after="0" w:line="240" w:lineRule="auto"/>
        <w:ind w:left="426" w:hanging="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40" w:line="240" w:lineRule="auto"/>
        <w:ind w:left="426" w:firstLine="0"/>
        <w:jc w:val="both"/>
        <w:rPr>
          <w:rFonts w:ascii="Arial" w:cs="Arial" w:eastAsia="Arial" w:hAnsi="Arial"/>
          <w:color w:val="000000"/>
          <w:sz w:val="24"/>
          <w:szCs w:val="24"/>
        </w:rPr>
      </w:pPr>
      <w:r w:rsidDel="00000000" w:rsidR="00000000" w:rsidRPr="00000000">
        <w:rPr>
          <w:rtl w:val="0"/>
        </w:rPr>
      </w:r>
    </w:p>
    <w:tbl>
      <w:tblPr>
        <w:tblStyle w:val="Table2"/>
        <w:tblW w:w="5670.0" w:type="dxa"/>
        <w:jc w:val="left"/>
        <w:tblInd w:w="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B">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C">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SIGNITURE: </w:t>
            </w:r>
          </w:p>
        </w:tc>
      </w:tr>
    </w:tbl>
    <w:p w:rsidR="00000000" w:rsidDel="00000000" w:rsidP="00000000" w:rsidRDefault="00000000" w:rsidRPr="00000000" w14:paraId="0000008F">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after="240" w:line="240" w:lineRule="auto"/>
        <w:jc w:val="right"/>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r>
  </w:p>
  <w:p w:rsidR="00000000" w:rsidDel="00000000" w:rsidP="00000000" w:rsidRDefault="00000000" w:rsidRPr="00000000" w14:paraId="000000A1">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2">
    <w:pPr>
      <w:spacing w:after="0" w:lineRule="auto"/>
      <w:rPr>
        <w:color w:val="000000"/>
      </w:rPr>
    </w:pPr>
    <w:r w:rsidDel="00000000" w:rsidR="00000000" w:rsidRPr="00000000">
      <w:rPr>
        <w:rFonts w:ascii="Arial" w:cs="Arial" w:eastAsia="Arial" w:hAnsi="Arial"/>
        <w:sz w:val="20"/>
        <w:szCs w:val="20"/>
        <w:rtl w:val="0"/>
      </w:rPr>
      <w:t xml:space="preserve">Model Version: v1.0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hyperlink r:id="rId1">
        <w:r w:rsidDel="00000000" w:rsidR="00000000" w:rsidRPr="00000000">
          <w:rPr>
            <w:color w:val="0000ff"/>
            <w:sz w:val="20"/>
            <w:szCs w:val="20"/>
            <w:u w:val="single"/>
            <w:rtl w:val="0"/>
          </w:rPr>
          <w:t xml:space="preserve">https://www.iasplus.com/en/standards/ifrs/ifrs10</w:t>
        </w:r>
      </w:hyperlink>
      <w:r w:rsidDel="00000000" w:rsidR="00000000" w:rsidRPr="00000000">
        <w:rPr>
          <w:color w:val="000000"/>
          <w:sz w:val="20"/>
          <w:szCs w:val="20"/>
          <w:rtl w:val="0"/>
        </w:rPr>
        <w:t xml:space="preserve"> </w:t>
      </w:r>
    </w:p>
  </w:footnote>
  <w:footnote w:id="1">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“General Anti-Abuse Rule” means (a) the legislation in Part 5 of the Finance Act 2013; and (b) any</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future legislation introduced into Parliament to counteract tax advantages arising from abusive</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color w:val="000000"/>
          <w:sz w:val="20"/>
          <w:szCs w:val="20"/>
          <w:rtl w:val="0"/>
        </w:rPr>
        <w:t xml:space="preserve">arrangements to avoid national insurance contributions</w:t>
      </w:r>
    </w:p>
  </w:footnote>
  <w:footnote w:id="3">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“Halifax Abuse Principle” means the principle explained in the CJEU Case C-255/02 Halifax and others</w:t>
      </w:r>
    </w:p>
  </w:footnote>
  <w:footnote w:id="4">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Targeted list of tax avoidance schemes that HMRC believes are being used to avoid paying tax due and which are listed on the Spotlight website: </w:t>
      </w:r>
      <w:hyperlink r:id="rId2">
        <w:r w:rsidDel="00000000" w:rsidR="00000000" w:rsidRPr="00000000">
          <w:rPr>
            <w:color w:val="0000ff"/>
            <w:sz w:val="20"/>
            <w:szCs w:val="20"/>
            <w:u w:val="single"/>
            <w:rtl w:val="0"/>
          </w:rPr>
          <w:t xml:space="preserve">https://www.gov.uk/government/collections/tax-avoidance-schemes-currently-in-the-spotlight</w:t>
        </w:r>
      </w:hyperlink>
      <w:r w:rsidDel="00000000" w:rsidR="00000000" w:rsidRPr="00000000">
        <w:rPr>
          <w:color w:val="000000"/>
          <w:sz w:val="20"/>
          <w:szCs w:val="20"/>
          <w:rtl w:val="0"/>
        </w:rPr>
        <w:t xml:space="preserve">  </w:t>
      </w:r>
    </w:p>
  </w:footnote>
  <w:footnote w:id="7">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153"/>
        <w:tab w:val="right" w:leader="none" w:pos="8306"/>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23 (HMRC Terms)</w:t>
    </w:r>
    <w:r w:rsidDel="00000000" w:rsidR="00000000" w:rsidRPr="00000000">
      <w:rPr>
        <w:rtl w:val="0"/>
      </w:rPr>
    </w:r>
  </w:p>
  <w:p w:rsidR="00000000" w:rsidDel="00000000" w:rsidP="00000000" w:rsidRDefault="00000000" w:rsidRPr="00000000" w14:paraId="0000009E">
    <w:pPr>
      <w:tabs>
        <w:tab w:val="center" w:leader="none" w:pos="4153"/>
        <w:tab w:val="right" w:leader="none" w:pos="830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9F">
    <w:pPr>
      <w:tabs>
        <w:tab w:val="center" w:leader="none" w:pos="4153"/>
        <w:tab w:val="right" w:leader="none" w:pos="8306"/>
      </w:tabs>
      <w:spacing w:after="0" w:line="240" w:lineRule="auto"/>
      <w:rPr/>
    </w:pPr>
    <w:r w:rsidDel="00000000" w:rsidR="00000000" w:rsidRPr="00000000">
      <w:rPr>
        <w:rFonts w:ascii="Arial" w:cs="Arial" w:eastAsia="Arial" w:hAnsi="Arial"/>
        <w:sz w:val="20"/>
        <w:szCs w:val="20"/>
        <w:rtl w:val="0"/>
      </w:rPr>
      <w:t xml:space="preserve">Crown Copyright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