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4 (Call Off Tender)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Guidance for Buyers: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After a further competition, if the Supplier’s bid has additional things that you would like included in the contract, insert the Supplier’s bid here.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[Insert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Tender Here]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5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tabs>
          <w:tab w:val="left" w:leader="none" w:pos="1850"/>
        </w:tabs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06" w:footer="706"/>
          <w:pgNumType w:start="1"/>
        </w:sectPr>
      </w:pPr>
      <w:bookmarkStart w:colFirst="0" w:colLast="0" w:name="_heading=h.4xo7p7xtzsmi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6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RM6285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line="360" w:lineRule="auto"/>
      <w:rPr>
        <w:color w:val="a6a6a6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10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2023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Bpbl48JbVgUuA8N1K5Bimhhfw==">CgMxLjAyDmguNHhvN3A3eHR6c21pOAByITFheWd1QzlGMVc0UC1LZkpDSnhwNW8zOWNubUpGNllGSg==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