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2 (Framework Tender)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Please see embedded folder within the Framework Contract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Documents folder.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RM6285</w:t>
      <w:tab/>
      <w:t xml:space="preserve">                                           </w:t>
    </w:r>
  </w:p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spacing w:after="0" w:line="240" w:lineRule="auto"/>
      <w:jc w:val="both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</w:r>
    <w:r w:rsidDel="00000000" w:rsidR="00000000" w:rsidRPr="00000000">
      <w:rPr>
        <w:rtl w:val="0"/>
      </w:rPr>
      <w:tab/>
      <w:tab/>
      <w:tab/>
    </w:r>
    <w:r w:rsidDel="00000000" w:rsidR="00000000" w:rsidRPr="00000000">
      <w:rPr>
        <w:color w:val="bfbfbf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2 (Framework Tender)</w:t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XHJ/fRSAqndoSB1UsnzmNggqqA==">CgMxLjAyCGguZ2pkZ3hzMgloLjMwajB6bGw4AHIhMTBmVF9NRm16Yms5Ym9EYVpwYVNuT0sxOTBaYTZOVS1M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D1V4</vt:lpwstr>
  </property>
</Properties>
</file>