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3 (Framework Prices)</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How Framework Prices are used to calculate Call-Off Charges</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The Framework Prices: </w:t>
      </w:r>
      <w:r w:rsidDel="00000000" w:rsidR="00000000" w:rsidRPr="00000000">
        <w:rPr>
          <w:rtl w:val="0"/>
        </w:rPr>
      </w:r>
    </w:p>
    <w:p w:rsidR="00000000" w:rsidDel="00000000" w:rsidP="00000000" w:rsidRDefault="00000000" w:rsidRPr="00000000" w14:paraId="00000004">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440"/>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will be used as the basis for the charges (and are maximums that the Supplier may charge) under each Call Off Contract; and</w:t>
      </w:r>
      <w:r w:rsidDel="00000000" w:rsidR="00000000" w:rsidRPr="00000000">
        <w:rPr>
          <w:rtl w:val="0"/>
        </w:rPr>
      </w:r>
    </w:p>
    <w:p w:rsidR="00000000" w:rsidDel="00000000" w:rsidP="00000000" w:rsidRDefault="00000000" w:rsidRPr="00000000" w14:paraId="0000000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cannot be increased except as in accordance with this Schedule.</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The Charges:</w:t>
      </w:r>
      <w:r w:rsidDel="00000000" w:rsidR="00000000" w:rsidRPr="00000000">
        <w:rPr>
          <w:rtl w:val="0"/>
        </w:rPr>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shall be calculated in accordance with the terms of the Call Off Contract and in particular in accordance with the terms of the Order Form; </w:t>
      </w:r>
      <w:r w:rsidDel="00000000" w:rsidR="00000000" w:rsidRPr="00000000">
        <w:rPr>
          <w:rtl w:val="0"/>
        </w:rPr>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cannot be increased except as specifically permitted by the Call Off Contract and in particular shall only be subject to Indexation where specifically stated in the Order Form; and</w:t>
      </w:r>
      <w:r w:rsidDel="00000000" w:rsidR="00000000" w:rsidRPr="00000000">
        <w:rPr>
          <w:rtl w:val="0"/>
        </w:rPr>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shall not be impacted by any change to the Framework Prices. </w:t>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Any variation to the Charges payable under a Call Off Contract must be agreed between the Supplier and the Buyer and implemented using the same procedure for altering Framework Prices in accordance with the provisions of this Framework Schedule 3</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How Framework Prices are calculated</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The pricing mechanisms and prices set out in Annex 1 shall be available for use in calculation of Framework Prices in Call Off Contracts.</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bookmarkStart w:colFirst="0" w:colLast="0" w:name="_heading=h.2et92p0" w:id="3"/>
      <w:bookmarkEnd w:id="3"/>
      <w:r w:rsidDel="00000000" w:rsidR="00000000" w:rsidRPr="00000000">
        <w:rPr>
          <w:rFonts w:ascii="Arial" w:cs="Arial" w:eastAsia="Arial" w:hAnsi="Arial"/>
          <w:b w:val="1"/>
          <w:color w:val="000000"/>
          <w:sz w:val="24"/>
          <w:szCs w:val="24"/>
          <w:rtl w:val="0"/>
        </w:rPr>
        <w:t xml:space="preserve">Are costs and expenses are included in the Framework Prices</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Except as expressly set out in Paragraph 4 below, or otherwise stated in a Call Off Order Form</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the Framework Prices shall include all costs and expenses relating to the provision of Deliverables. No further amounts shall be payable in respect of matters such as:</w:t>
      </w:r>
      <w:r w:rsidDel="00000000" w:rsidR="00000000" w:rsidRPr="00000000">
        <w:rPr>
          <w:rtl w:val="0"/>
        </w:rPr>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incidental expenses such as travel, subsistence and lodging, document or report reproduction, shipping, desktop or office equipment costs, network or data interchange costs or other telecommunications charges; or</w:t>
      </w:r>
      <w:r w:rsidDel="00000000" w:rsidR="00000000" w:rsidRPr="00000000">
        <w:rPr>
          <w:rtl w:val="0"/>
        </w:rPr>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costs incurred prior to the commencement of any Call Off Contract.</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When the Supplier can ask to change the Framework Prices</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The Framework Prices will be fixed for the first </w:t>
      </w:r>
      <w:r w:rsidDel="00000000" w:rsidR="00000000" w:rsidRPr="00000000">
        <w:rPr>
          <w:rFonts w:ascii="Arial" w:cs="Arial" w:eastAsia="Arial" w:hAnsi="Arial"/>
          <w:b w:val="1"/>
          <w:color w:val="000000"/>
          <w:sz w:val="24"/>
          <w:szCs w:val="24"/>
          <w:rtl w:val="0"/>
        </w:rPr>
        <w:t xml:space="preserve">thirty (30) months</w:t>
      </w:r>
      <w:r w:rsidDel="00000000" w:rsidR="00000000" w:rsidRPr="00000000">
        <w:rPr>
          <w:rFonts w:ascii="Arial" w:cs="Arial" w:eastAsia="Arial" w:hAnsi="Arial"/>
          <w:color w:val="000000"/>
          <w:sz w:val="24"/>
          <w:szCs w:val="24"/>
          <w:rtl w:val="0"/>
        </w:rPr>
        <w:t xml:space="preserve"> following the Framework Contract Commencement Date (the date of expiry of such period is a "</w:t>
      </w:r>
      <w:r w:rsidDel="00000000" w:rsidR="00000000" w:rsidRPr="00000000">
        <w:rPr>
          <w:rFonts w:ascii="Arial" w:cs="Arial" w:eastAsia="Arial" w:hAnsi="Arial"/>
          <w:b w:val="1"/>
          <w:color w:val="000000"/>
          <w:sz w:val="24"/>
          <w:szCs w:val="24"/>
          <w:rtl w:val="0"/>
        </w:rPr>
        <w:t xml:space="preserve">Review Date</w:t>
      </w:r>
      <w:r w:rsidDel="00000000" w:rsidR="00000000" w:rsidRPr="00000000">
        <w:rPr>
          <w:rFonts w:ascii="Arial" w:cs="Arial" w:eastAsia="Arial" w:hAnsi="Arial"/>
          <w:color w:val="000000"/>
          <w:sz w:val="24"/>
          <w:szCs w:val="24"/>
          <w:rtl w:val="0"/>
        </w:rPr>
        <w:t xml:space="preserve">").  After this Framework Prices can only be adjusted on each following </w:t>
      </w:r>
      <w:r w:rsidDel="00000000" w:rsidR="00000000" w:rsidRPr="00000000">
        <w:rPr>
          <w:rFonts w:ascii="Arial" w:cs="Arial" w:eastAsia="Arial" w:hAnsi="Arial"/>
          <w:sz w:val="24"/>
          <w:szCs w:val="24"/>
          <w:rtl w:val="0"/>
        </w:rPr>
        <w:t xml:space="preserve">18 month</w:t>
      </w:r>
      <w:r w:rsidDel="00000000" w:rsidR="00000000" w:rsidRPr="00000000">
        <w:rPr>
          <w:rFonts w:ascii="Arial" w:cs="Arial" w:eastAsia="Arial" w:hAnsi="Arial"/>
          <w:color w:val="000000"/>
          <w:sz w:val="24"/>
          <w:szCs w:val="24"/>
          <w:rtl w:val="0"/>
        </w:rPr>
        <w:t xml:space="preserve"> anniversary (the date of each such anniversary is also a "</w:t>
      </w:r>
      <w:r w:rsidDel="00000000" w:rsidR="00000000" w:rsidRPr="00000000">
        <w:rPr>
          <w:rFonts w:ascii="Arial" w:cs="Arial" w:eastAsia="Arial" w:hAnsi="Arial"/>
          <w:b w:val="1"/>
          <w:color w:val="000000"/>
          <w:sz w:val="24"/>
          <w:szCs w:val="24"/>
          <w:rtl w:val="0"/>
        </w:rPr>
        <w:t xml:space="preserve">Review Date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bookmarkStart w:colFirst="0" w:colLast="0" w:name="_heading=h.tyjcwt" w:id="4"/>
      <w:bookmarkEnd w:id="4"/>
      <w:r w:rsidDel="00000000" w:rsidR="00000000" w:rsidRPr="00000000">
        <w:rPr>
          <w:rFonts w:ascii="Arial" w:cs="Arial" w:eastAsia="Arial" w:hAnsi="Arial"/>
          <w:color w:val="000000"/>
          <w:sz w:val="24"/>
          <w:szCs w:val="24"/>
          <w:rtl w:val="0"/>
        </w:rPr>
        <w:t xml:space="preserve">The Supplier shall give CCS at least three (3) Months' notice in writing prior to a Review Date where it wants to request an increase.  If the Supplier does not give notice in time then it will only be able to request an increase prior to the next Review Date.</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Any notice requesting an increase shall include:</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a list of the Framework Prices to be reviewed;</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for each Framework Price under review, written evidence of the justification for the requested increase including:</w:t>
      </w:r>
      <w:r w:rsidDel="00000000" w:rsidR="00000000" w:rsidRPr="00000000">
        <w:rPr>
          <w:rtl w:val="0"/>
        </w:rPr>
      </w:r>
    </w:p>
    <w:p w:rsidR="00000000" w:rsidDel="00000000" w:rsidP="00000000" w:rsidRDefault="00000000" w:rsidRPr="00000000" w14:paraId="00000017">
      <w:pPr>
        <w:numPr>
          <w:ilvl w:val="3"/>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5"/>
          <w:tab w:val="left" w:leader="none" w:pos="2552"/>
        </w:tabs>
        <w:spacing w:after="120" w:before="120" w:line="240" w:lineRule="auto"/>
        <w:ind w:left="1985" w:hanging="815"/>
        <w:rPr>
          <w:sz w:val="24"/>
          <w:szCs w:val="24"/>
        </w:rPr>
      </w:pPr>
      <w:r w:rsidDel="00000000" w:rsidR="00000000" w:rsidRPr="00000000">
        <w:rPr>
          <w:rFonts w:ascii="Arial" w:cs="Arial" w:eastAsia="Arial" w:hAnsi="Arial"/>
          <w:color w:val="000000"/>
          <w:sz w:val="24"/>
          <w:szCs w:val="24"/>
          <w:rtl w:val="0"/>
        </w:rPr>
        <w:t xml:space="preserve">a breakdown of the profit and cost components that comprise the relevant Framework Price; </w:t>
      </w:r>
      <w:r w:rsidDel="00000000" w:rsidR="00000000" w:rsidRPr="00000000">
        <w:rPr>
          <w:rtl w:val="0"/>
        </w:rPr>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5"/>
          <w:tab w:val="left" w:leader="none" w:pos="2552"/>
        </w:tabs>
        <w:spacing w:after="120" w:before="120" w:line="240" w:lineRule="auto"/>
        <w:ind w:left="1985" w:hanging="815"/>
        <w:rPr>
          <w:sz w:val="24"/>
          <w:szCs w:val="24"/>
        </w:rPr>
      </w:pPr>
      <w:r w:rsidDel="00000000" w:rsidR="00000000" w:rsidRPr="00000000">
        <w:rPr>
          <w:rFonts w:ascii="Arial" w:cs="Arial" w:eastAsia="Arial" w:hAnsi="Arial"/>
          <w:color w:val="000000"/>
          <w:sz w:val="24"/>
          <w:szCs w:val="24"/>
          <w:rtl w:val="0"/>
        </w:rPr>
        <w:t xml:space="preserve">details of the movement in the different identified cost components of the relevant Framework Price;</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5"/>
          <w:tab w:val="left" w:leader="none" w:pos="2552"/>
        </w:tabs>
        <w:spacing w:after="120" w:before="120" w:line="240" w:lineRule="auto"/>
        <w:ind w:left="1985" w:hanging="815"/>
        <w:rPr>
          <w:sz w:val="24"/>
          <w:szCs w:val="24"/>
        </w:rPr>
      </w:pPr>
      <w:r w:rsidDel="00000000" w:rsidR="00000000" w:rsidRPr="00000000">
        <w:rPr>
          <w:rFonts w:ascii="Arial" w:cs="Arial" w:eastAsia="Arial" w:hAnsi="Arial"/>
          <w:color w:val="000000"/>
          <w:sz w:val="24"/>
          <w:szCs w:val="24"/>
          <w:rtl w:val="0"/>
        </w:rPr>
        <w:t xml:space="preserve">reasons for the movement in the different identified cost components of the relevant Framework Price;</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5"/>
          <w:tab w:val="left" w:leader="none" w:pos="2552"/>
        </w:tabs>
        <w:spacing w:after="120" w:before="120" w:line="240" w:lineRule="auto"/>
        <w:ind w:left="1985" w:hanging="815"/>
        <w:rPr>
          <w:sz w:val="24"/>
          <w:szCs w:val="24"/>
        </w:rPr>
      </w:pPr>
      <w:r w:rsidDel="00000000" w:rsidR="00000000" w:rsidRPr="00000000">
        <w:rPr>
          <w:rFonts w:ascii="Arial" w:cs="Arial" w:eastAsia="Arial" w:hAnsi="Arial"/>
          <w:color w:val="000000"/>
          <w:sz w:val="24"/>
          <w:szCs w:val="24"/>
          <w:rtl w:val="0"/>
        </w:rPr>
        <w:t xml:space="preserve">evidence that the Supplier has attempted to mitigate against the increase in the relevant cost components; and</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5"/>
          <w:tab w:val="left" w:leader="none" w:pos="2552"/>
        </w:tabs>
        <w:spacing w:after="120" w:before="120" w:line="240" w:lineRule="auto"/>
        <w:ind w:left="1985" w:hanging="815"/>
        <w:rPr>
          <w:sz w:val="24"/>
          <w:szCs w:val="24"/>
        </w:rPr>
      </w:pPr>
      <w:r w:rsidDel="00000000" w:rsidR="00000000" w:rsidRPr="00000000">
        <w:rPr>
          <w:rFonts w:ascii="Arial" w:cs="Arial" w:eastAsia="Arial" w:hAnsi="Arial"/>
          <w:color w:val="000000"/>
          <w:sz w:val="24"/>
          <w:szCs w:val="24"/>
          <w:rtl w:val="0"/>
        </w:rPr>
        <w:t xml:space="preserve">evidence that the Supplier’s profit component of the relevant  Framework Price is no greater than that applying to Framework Prices using the same pricing mechanism as at the Contract Commencement Date.</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CCS shall consider each request for a price increase.  CCS may grant Approval to an increase at its sole discretion.</w:t>
      </w:r>
      <w:r w:rsidDel="00000000" w:rsidR="00000000" w:rsidRPr="00000000">
        <w:rPr>
          <w:rtl w:val="0"/>
        </w:rPr>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Where CCS approves an increase then it will be implemented from the first (1st) Working Day following the relevant Review Date or such later date as CCS may determine at its sole discretion and Annex 1 shall be updated accordingly.</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Other events that allow the Supplier to change the Framework Prices</w:t>
      </w:r>
      <w:r w:rsidDel="00000000" w:rsidR="00000000" w:rsidRPr="00000000">
        <w:rPr>
          <w:rtl w:val="0"/>
        </w:rPr>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The Framework Prices can also be varied (and Annex 1 will be updated accordingly) due to:</w:t>
      </w:r>
      <w:r w:rsidDel="00000000" w:rsidR="00000000" w:rsidRPr="00000000">
        <w:rPr>
          <w:rtl w:val="0"/>
        </w:rPr>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a Specific Change in Law in accordance with Clause 24;</w:t>
      </w:r>
      <w:r w:rsidDel="00000000" w:rsidR="00000000" w:rsidRPr="00000000">
        <w:rPr>
          <w:rtl w:val="0"/>
        </w:rPr>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a review in accordance with insurance requirements in Clause 13; </w:t>
      </w:r>
      <w:r w:rsidDel="00000000" w:rsidR="00000000" w:rsidRPr="00000000">
        <w:rPr>
          <w:rtl w:val="0"/>
        </w:rPr>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a benchmarking review in accordance with Call Off Schedule 16 (Benchmarking)</w:t>
      </w:r>
      <w:r w:rsidDel="00000000" w:rsidR="00000000" w:rsidRPr="00000000">
        <w:rPr>
          <w:rtl w:val="0"/>
        </w:rPr>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a request from the Supplier, which it can make at any time, to decrease the Framework Prices; and</w:t>
      </w:r>
      <w:r w:rsidDel="00000000" w:rsidR="00000000" w:rsidRPr="00000000">
        <w:rPr>
          <w:rtl w:val="0"/>
        </w:rPr>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indexation, where Annex 1 states that a particular Framework Price or any component is “subject to Indexation” in which event Paragraph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below shall apply. </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When the Framework Prices are linked to inflation </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Where the Framework Charges are stated to be "subject to Indexation" they shall be adjusted in line with changes in the Services Producer Price Inflation Index ("</w:t>
      </w:r>
      <w:r w:rsidDel="00000000" w:rsidR="00000000" w:rsidRPr="00000000">
        <w:rPr>
          <w:rFonts w:ascii="Arial" w:cs="Arial" w:eastAsia="Arial" w:hAnsi="Arial"/>
          <w:sz w:val="24"/>
          <w:szCs w:val="24"/>
          <w:rtl w:val="0"/>
        </w:rPr>
        <w:t xml:space="preserve">SPPI</w:t>
      </w:r>
      <w:r w:rsidDel="00000000" w:rsidR="00000000" w:rsidRPr="00000000">
        <w:rPr>
          <w:rFonts w:ascii="Arial" w:cs="Arial" w:eastAsia="Arial" w:hAnsi="Arial"/>
          <w:color w:val="000000"/>
          <w:sz w:val="24"/>
          <w:szCs w:val="24"/>
          <w:rtl w:val="0"/>
        </w:rPr>
        <w:t xml:space="preserve">").  All other costs, expenses, fees and charges shall not be adjusted to take account of any inflation, change to exchange rate, change to interest rate or any other factor or element which might otherwise increase the cost to the Supplier.</w:t>
      </w:r>
      <w:r w:rsidDel="00000000" w:rsidR="00000000" w:rsidRPr="00000000">
        <w:rPr>
          <w:rtl w:val="0"/>
        </w:rPr>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Framework Prices shall not be indexed during the first </w:t>
      </w:r>
      <w:r w:rsidDel="00000000" w:rsidR="00000000" w:rsidRPr="00000000">
        <w:rPr>
          <w:rFonts w:ascii="Arial" w:cs="Arial" w:eastAsia="Arial" w:hAnsi="Arial"/>
          <w:sz w:val="24"/>
          <w:szCs w:val="24"/>
          <w:rtl w:val="0"/>
        </w:rPr>
        <w:t xml:space="preserve">thirty (30) months</w:t>
      </w:r>
      <w:r w:rsidDel="00000000" w:rsidR="00000000" w:rsidRPr="00000000">
        <w:rPr>
          <w:rFonts w:ascii="Arial" w:cs="Arial" w:eastAsia="Arial" w:hAnsi="Arial"/>
          <w:color w:val="000000"/>
          <w:sz w:val="24"/>
          <w:szCs w:val="24"/>
          <w:rtl w:val="0"/>
        </w:rPr>
        <w:t xml:space="preserve"> following the Framework Contract Commencement Date.  </w:t>
      </w:r>
      <w:r w:rsidDel="00000000" w:rsidR="00000000" w:rsidRPr="00000000">
        <w:rPr>
          <w:rtl w:val="0"/>
        </w:rPr>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Where Annex 1 states a Framework Price is subject to Indexation then it will be indexed on the date which is thirty (30) </w:t>
      </w:r>
      <w:r w:rsidDel="00000000" w:rsidR="00000000" w:rsidRPr="00000000">
        <w:rPr>
          <w:rFonts w:ascii="Arial" w:cs="Arial" w:eastAsia="Arial" w:hAnsi="Arial"/>
          <w:sz w:val="24"/>
          <w:szCs w:val="24"/>
          <w:rtl w:val="0"/>
        </w:rPr>
        <w:t xml:space="preserve">months</w:t>
      </w:r>
      <w:r w:rsidDel="00000000" w:rsidR="00000000" w:rsidRPr="00000000">
        <w:rPr>
          <w:rFonts w:ascii="Arial" w:cs="Arial" w:eastAsia="Arial" w:hAnsi="Arial"/>
          <w:color w:val="000000"/>
          <w:sz w:val="24"/>
          <w:szCs w:val="24"/>
          <w:rtl w:val="0"/>
        </w:rPr>
        <w:t xml:space="preserve"> after the Framework Commencement Date to reflect the percentage change in the </w:t>
      </w:r>
      <w:r w:rsidDel="00000000" w:rsidR="00000000" w:rsidRPr="00000000">
        <w:rPr>
          <w:rFonts w:ascii="Arial" w:cs="Arial" w:eastAsia="Arial" w:hAnsi="Arial"/>
          <w:sz w:val="24"/>
          <w:szCs w:val="24"/>
          <w:rtl w:val="0"/>
        </w:rPr>
        <w:t xml:space="preserve">SPPI</w:t>
      </w:r>
      <w:r w:rsidDel="00000000" w:rsidR="00000000" w:rsidRPr="00000000">
        <w:rPr>
          <w:rFonts w:ascii="Arial" w:cs="Arial" w:eastAsia="Arial" w:hAnsi="Arial"/>
          <w:color w:val="000000"/>
          <w:sz w:val="24"/>
          <w:szCs w:val="24"/>
          <w:rtl w:val="0"/>
        </w:rPr>
        <w:t xml:space="preserve"> since the Framework Commencement Date.  They shall be indexed on each</w:t>
      </w:r>
      <w:r w:rsidDel="00000000" w:rsidR="00000000" w:rsidRPr="00000000">
        <w:rPr>
          <w:rFonts w:ascii="Arial" w:cs="Arial" w:eastAsia="Arial" w:hAnsi="Arial"/>
          <w:sz w:val="24"/>
          <w:szCs w:val="24"/>
          <w:rtl w:val="0"/>
        </w:rPr>
        <w:t xml:space="preserve"> 18 month</w:t>
      </w:r>
      <w:r w:rsidDel="00000000" w:rsidR="00000000" w:rsidRPr="00000000">
        <w:rPr>
          <w:rFonts w:ascii="Arial" w:cs="Arial" w:eastAsia="Arial" w:hAnsi="Arial"/>
          <w:color w:val="000000"/>
          <w:sz w:val="24"/>
          <w:szCs w:val="24"/>
          <w:rtl w:val="0"/>
        </w:rPr>
        <w:t xml:space="preserve"> anniversary to reflect the percentage change in the </w:t>
      </w:r>
      <w:r w:rsidDel="00000000" w:rsidR="00000000" w:rsidRPr="00000000">
        <w:rPr>
          <w:rFonts w:ascii="Arial" w:cs="Arial" w:eastAsia="Arial" w:hAnsi="Arial"/>
          <w:sz w:val="24"/>
          <w:szCs w:val="24"/>
          <w:rtl w:val="0"/>
        </w:rPr>
        <w:t xml:space="preserve">SPP</w:t>
      </w:r>
      <w:r w:rsidDel="00000000" w:rsidR="00000000" w:rsidRPr="00000000">
        <w:rPr>
          <w:rFonts w:ascii="Arial" w:cs="Arial" w:eastAsia="Arial" w:hAnsi="Arial"/>
          <w:color w:val="000000"/>
          <w:sz w:val="24"/>
          <w:szCs w:val="24"/>
          <w:rtl w:val="0"/>
        </w:rPr>
        <w:t xml:space="preserve">I since the previous change.</w:t>
      </w:r>
      <w:r w:rsidDel="00000000" w:rsidR="00000000" w:rsidRPr="00000000">
        <w:rPr>
          <w:rtl w:val="0"/>
        </w:rPr>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Where the </w:t>
      </w:r>
      <w:r w:rsidDel="00000000" w:rsidR="00000000" w:rsidRPr="00000000">
        <w:rPr>
          <w:rFonts w:ascii="Arial" w:cs="Arial" w:eastAsia="Arial" w:hAnsi="Arial"/>
          <w:sz w:val="24"/>
          <w:szCs w:val="24"/>
          <w:rtl w:val="0"/>
        </w:rPr>
        <w:t xml:space="preserve">SPPI</w:t>
      </w:r>
      <w:r w:rsidDel="00000000" w:rsidR="00000000" w:rsidRPr="00000000">
        <w:rPr>
          <w:rFonts w:ascii="Arial" w:cs="Arial" w:eastAsia="Arial" w:hAnsi="Arial"/>
          <w:color w:val="000000"/>
          <w:sz w:val="24"/>
          <w:szCs w:val="24"/>
          <w:rtl w:val="0"/>
        </w:rPr>
        <w:t xml:space="preserve"> Index:</w:t>
      </w:r>
      <w:r w:rsidDel="00000000" w:rsidR="00000000" w:rsidRPr="00000000">
        <w:rPr>
          <w:rtl w:val="0"/>
        </w:rPr>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used to carry out an indexation calculation is updated (for example due to it being provisional) then the indexation calculation shall also be updated unless </w:t>
      </w:r>
      <w:r w:rsidDel="00000000" w:rsidR="00000000" w:rsidRPr="00000000">
        <w:rPr>
          <w:rFonts w:ascii="Arial" w:cs="Arial" w:eastAsia="Arial" w:hAnsi="Arial"/>
          <w:sz w:val="24"/>
          <w:szCs w:val="24"/>
          <w:rtl w:val="0"/>
        </w:rPr>
        <w:t xml:space="preserve">CC</w:t>
      </w:r>
      <w:r w:rsidDel="00000000" w:rsidR="00000000" w:rsidRPr="00000000">
        <w:rPr>
          <w:rFonts w:ascii="Arial" w:cs="Arial" w:eastAsia="Arial" w:hAnsi="Arial"/>
          <w:color w:val="000000"/>
          <w:sz w:val="24"/>
          <w:szCs w:val="24"/>
          <w:rtl w:val="0"/>
        </w:rPr>
        <w:t xml:space="preserve">S and the Supplier agree otherwise; </w:t>
      </w:r>
      <w:r w:rsidDel="00000000" w:rsidR="00000000" w:rsidRPr="00000000">
        <w:rPr>
          <w:rtl w:val="0"/>
        </w:rPr>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is no longer published, CCS and the Supplier shall agree a fair and reasonable replacement that will have substantially the same effect.</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When you will be reimbursed for travel and subsistence</w:t>
      </w: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r w:rsidDel="00000000" w:rsidR="00000000" w:rsidRPr="00000000">
        <w:rPr>
          <w:rFonts w:ascii="Arial" w:cs="Arial" w:eastAsia="Arial" w:hAnsi="Arial"/>
          <w:color w:val="000000"/>
          <w:sz w:val="24"/>
          <w:szCs w:val="24"/>
          <w:rtl w:val="0"/>
        </w:rPr>
        <w:t xml:space="preserve">Expenses shall only be recoverable where:</w:t>
      </w:r>
      <w:r w:rsidDel="00000000" w:rsidR="00000000" w:rsidRPr="00000000">
        <w:rPr>
          <w:rtl w:val="0"/>
        </w:rPr>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the Time and Materials pricing mechanism is used; and</w:t>
      </w:r>
      <w:r w:rsidDel="00000000" w:rsidR="00000000" w:rsidRPr="00000000">
        <w:rPr>
          <w:rtl w:val="0"/>
        </w:rPr>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the Order Form states that recovery is permitted; and</w:t>
      </w:r>
      <w:r w:rsidDel="00000000" w:rsidR="00000000" w:rsidRPr="00000000">
        <w:rPr>
          <w:rtl w:val="0"/>
        </w:rPr>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10"/>
        <w:rPr>
          <w:rFonts w:ascii="Arial" w:cs="Arial" w:eastAsia="Arial" w:hAnsi="Arial"/>
        </w:rPr>
      </w:pPr>
      <w:r w:rsidDel="00000000" w:rsidR="00000000" w:rsidRPr="00000000">
        <w:rPr>
          <w:rFonts w:ascii="Arial" w:cs="Arial" w:eastAsia="Arial" w:hAnsi="Arial"/>
          <w:color w:val="000000"/>
          <w:sz w:val="24"/>
          <w:szCs w:val="24"/>
          <w:rtl w:val="0"/>
        </w:rPr>
        <w:t xml:space="preserve">they are </w:t>
      </w:r>
      <w:r w:rsidDel="00000000" w:rsidR="00000000" w:rsidRPr="00000000">
        <w:rPr>
          <w:rFonts w:ascii="Arial" w:cs="Arial" w:eastAsia="Arial" w:hAnsi="Arial"/>
          <w:sz w:val="24"/>
          <w:szCs w:val="24"/>
          <w:rtl w:val="0"/>
        </w:rPr>
        <w:t xml:space="preserve">Reimbursable</w:t>
      </w:r>
      <w:r w:rsidDel="00000000" w:rsidR="00000000" w:rsidRPr="00000000">
        <w:rPr>
          <w:rFonts w:ascii="Arial" w:cs="Arial" w:eastAsia="Arial" w:hAnsi="Arial"/>
          <w:color w:val="000000"/>
          <w:sz w:val="24"/>
          <w:szCs w:val="24"/>
          <w:rtl w:val="0"/>
        </w:rPr>
        <w:t xml:space="preserve"> Expenses and are supported by Supporting Documentation.</w:t>
      </w: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bookmarkStart w:colFirst="0" w:colLast="0" w:name="_heading=h.3dy6vkm" w:id="5"/>
      <w:bookmarkEnd w:id="5"/>
      <w:r w:rsidDel="00000000" w:rsidR="00000000" w:rsidRPr="00000000">
        <w:rPr>
          <w:rFonts w:ascii="Arial" w:cs="Arial" w:eastAsia="Arial" w:hAnsi="Arial"/>
          <w:color w:val="000000"/>
          <w:sz w:val="24"/>
          <w:szCs w:val="24"/>
          <w:rtl w:val="0"/>
        </w:rPr>
        <w:t xml:space="preserve">For the purposes of paragraph 7.1 of this Schedule, a “</w:t>
      </w:r>
      <w:r w:rsidDel="00000000" w:rsidR="00000000" w:rsidRPr="00000000">
        <w:rPr>
          <w:rFonts w:ascii="Arial" w:cs="Arial" w:eastAsia="Arial" w:hAnsi="Arial"/>
          <w:b w:val="1"/>
          <w:color w:val="000000"/>
          <w:sz w:val="24"/>
          <w:szCs w:val="24"/>
          <w:rtl w:val="0"/>
        </w:rPr>
        <w:t xml:space="preserve">Time and Materials pricing mechanism</w:t>
      </w:r>
      <w:r w:rsidDel="00000000" w:rsidR="00000000" w:rsidRPr="00000000">
        <w:rPr>
          <w:rFonts w:ascii="Arial" w:cs="Arial" w:eastAsia="Arial" w:hAnsi="Arial"/>
          <w:color w:val="000000"/>
          <w:sz w:val="24"/>
          <w:szCs w:val="24"/>
          <w:rtl w:val="0"/>
        </w:rPr>
        <w:t xml:space="preserve">” means a pricing mechanism whereby the Buyer agrees to pay the Supplier based upon the work performed by the Supplier's Staff, and for materials used in the project, no matter how much work is required to complete the project. In the event that a Call-Off Contract uses this pricing mechanism the price shall be based upon the prices detailed in Table 1 of Annex 1 to Framework Schedule 3.</w:t>
      </w: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pPr>
      <w:bookmarkStart w:colFirst="0" w:colLast="0" w:name="_heading=h.1t3h5sf" w:id="6"/>
      <w:bookmarkEnd w:id="6"/>
      <w:r w:rsidDel="00000000" w:rsidR="00000000" w:rsidRPr="00000000">
        <w:rPr>
          <w:rFonts w:ascii="Arial" w:cs="Arial" w:eastAsia="Arial" w:hAnsi="Arial"/>
          <w:color w:val="000000"/>
          <w:sz w:val="24"/>
          <w:szCs w:val="24"/>
          <w:rtl w:val="0"/>
        </w:rPr>
        <w:t xml:space="preserve">The Buyer shall provide a copy of their current expenses policy to the Supplier upon request.</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0"/>
        </w:tabs>
        <w:spacing w:after="240" w:before="240" w:line="240" w:lineRule="auto"/>
        <w:ind w:left="644" w:hanging="360"/>
        <w:jc w:val="both"/>
        <w:rPr>
          <w:rFonts w:ascii="Arial" w:cs="Arial" w:eastAsia="Arial" w:hAnsi="Arial"/>
          <w:b w:val="1"/>
          <w:smallCaps w:val="1"/>
          <w:color w:val="000000"/>
          <w:highlight w:val="yellow"/>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37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36"/>
          <w:szCs w:val="36"/>
        </w:rPr>
      </w:pPr>
      <w:bookmarkStart w:colFirst="0" w:colLast="0" w:name="_heading=h.4d34og8" w:id="7"/>
      <w:bookmarkEnd w:id="7"/>
      <w:r w:rsidDel="00000000" w:rsidR="00000000" w:rsidRPr="00000000">
        <w:br w:type="page"/>
      </w:r>
      <w:r w:rsidDel="00000000" w:rsidR="00000000" w:rsidRPr="00000000">
        <w:rPr>
          <w:rFonts w:ascii="Arial" w:cs="Arial" w:eastAsia="Arial" w:hAnsi="Arial"/>
          <w:b w:val="1"/>
          <w:sz w:val="36"/>
          <w:szCs w:val="36"/>
          <w:rtl w:val="0"/>
        </w:rPr>
        <w:t xml:space="preserve">Annex 1: Supplier Framework Rates and Prices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240" w:line="240" w:lineRule="auto"/>
        <w:rPr>
          <w:rFonts w:ascii="Arial" w:cs="Arial" w:eastAsia="Arial" w:hAnsi="Arial"/>
          <w:b w:val="1"/>
          <w:i w:val="1"/>
          <w:color w:val="000000"/>
          <w:sz w:val="24"/>
          <w:szCs w:val="24"/>
        </w:rPr>
      </w:pPr>
      <w:r w:rsidDel="00000000" w:rsidR="00000000" w:rsidRPr="00000000">
        <w:rPr>
          <w:rFonts w:ascii="Arial" w:cs="Arial" w:eastAsia="Arial" w:hAnsi="Arial"/>
          <w:i w:val="1"/>
          <w:color w:val="000000"/>
          <w:sz w:val="24"/>
          <w:szCs w:val="24"/>
          <w:rtl w:val="0"/>
        </w:rPr>
        <w:t xml:space="preserve">The rates below shall be subject to variation by way of Service Producer Price Inflation Indexation (SPPI</w:t>
      </w:r>
      <w:r w:rsidDel="00000000" w:rsidR="00000000" w:rsidRPr="00000000">
        <w:rPr>
          <w:rFonts w:ascii="Arial" w:cs="Arial" w:eastAsia="Arial" w:hAnsi="Arial"/>
          <w:i w:val="1"/>
          <w:sz w:val="24"/>
          <w:szCs w:val="24"/>
          <w:rtl w:val="0"/>
        </w:rPr>
        <w:t xml:space="preserve">)</w:t>
      </w:r>
      <w:r w:rsidDel="00000000" w:rsidR="00000000" w:rsidRPr="00000000">
        <w:rPr>
          <w:rtl w:val="0"/>
        </w:rPr>
      </w:r>
    </w:p>
    <w:p w:rsidR="00000000" w:rsidDel="00000000" w:rsidP="00000000" w:rsidRDefault="00000000" w:rsidRPr="00000000" w14:paraId="0000003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see embedded folder within the Framework Contract</w:t>
      </w:r>
    </w:p>
    <w:p w:rsidR="00000000" w:rsidDel="00000000" w:rsidP="00000000" w:rsidRDefault="00000000" w:rsidRPr="00000000" w14:paraId="00000038">
      <w:pPr>
        <w:rPr>
          <w:rFonts w:ascii="Arial" w:cs="Arial" w:eastAsia="Arial" w:hAnsi="Arial"/>
          <w:b w:val="1"/>
          <w:sz w:val="24"/>
          <w:szCs w:val="24"/>
        </w:rPr>
        <w:sectPr>
          <w:headerReference r:id="rId7" w:type="default"/>
          <w:headerReference r:id="rId8" w:type="first"/>
          <w:footerReference r:id="rId9" w:type="default"/>
          <w:footerReference r:id="rId10" w:type="first"/>
          <w:pgSz w:h="16838" w:w="11906" w:orient="portrait"/>
          <w:pgMar w:bottom="1440" w:top="1888" w:left="1440" w:right="1440" w:header="709" w:footer="709"/>
          <w:pgNumType w:start="1"/>
        </w:sectPr>
      </w:pPr>
      <w:r w:rsidDel="00000000" w:rsidR="00000000" w:rsidRPr="00000000">
        <w:rPr>
          <w:rFonts w:ascii="Arial" w:cs="Arial" w:eastAsia="Arial" w:hAnsi="Arial"/>
          <w:b w:val="1"/>
          <w:sz w:val="24"/>
          <w:szCs w:val="24"/>
          <w:rtl w:val="0"/>
        </w:rPr>
        <w:t xml:space="preserve">Documents folder.</w:t>
      </w:r>
    </w:p>
    <w:p w:rsidR="00000000" w:rsidDel="00000000" w:rsidP="00000000" w:rsidRDefault="00000000" w:rsidRPr="00000000" w14:paraId="00000039">
      <w:pPr>
        <w:spacing w:after="240" w:befor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2: Catalogue</w:t>
      </w:r>
    </w:p>
    <w:p w:rsidR="00000000" w:rsidDel="00000000" w:rsidP="00000000" w:rsidRDefault="00000000" w:rsidRPr="00000000" w14:paraId="0000003A">
      <w:pPr>
        <w:shd w:fill="ffffff" w:val="clear"/>
        <w:spacing w:after="0" w:line="276" w:lineRule="auto"/>
        <w:ind w:left="58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CATALOGUE</w:t>
      </w:r>
    </w:p>
    <w:p w:rsidR="00000000" w:rsidDel="00000000" w:rsidP="00000000" w:rsidRDefault="00000000" w:rsidRPr="00000000" w14:paraId="0000003B">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The Catalogue and its constituent Catalogue Items are to be used for the purpose of ordering by the Buyers using the Direct Award Procedure.</w:t>
      </w:r>
    </w:p>
    <w:p w:rsidR="00000000" w:rsidDel="00000000" w:rsidP="00000000" w:rsidRDefault="00000000" w:rsidRPr="00000000" w14:paraId="0000003C">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2.     </w:t>
      </w:r>
      <w:r w:rsidDel="00000000" w:rsidR="00000000" w:rsidRPr="00000000">
        <w:rPr>
          <w:rFonts w:ascii="Arial" w:cs="Arial" w:eastAsia="Arial" w:hAnsi="Arial"/>
          <w:sz w:val="24"/>
          <w:szCs w:val="24"/>
          <w:rtl w:val="0"/>
        </w:rPr>
        <w:t xml:space="preserve">The Catalogue will comprise all of the Supplier’s live Catalogue Items.</w:t>
      </w:r>
    </w:p>
    <w:p w:rsidR="00000000" w:rsidDel="00000000" w:rsidP="00000000" w:rsidRDefault="00000000" w:rsidRPr="00000000" w14:paraId="0000003D">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3.     </w:t>
      </w:r>
      <w:r w:rsidDel="00000000" w:rsidR="00000000" w:rsidRPr="00000000">
        <w:rPr>
          <w:rFonts w:ascii="Arial" w:cs="Arial" w:eastAsia="Arial" w:hAnsi="Arial"/>
          <w:sz w:val="24"/>
          <w:szCs w:val="24"/>
          <w:rtl w:val="0"/>
        </w:rPr>
        <w:t xml:space="preserve">A Catalogue Item shall comprise only of Deliverables covered within the scope of the Framework Award Form.</w:t>
      </w:r>
    </w:p>
    <w:p w:rsidR="00000000" w:rsidDel="00000000" w:rsidP="00000000" w:rsidRDefault="00000000" w:rsidRPr="00000000" w14:paraId="0000003E">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4.     </w:t>
      </w:r>
      <w:r w:rsidDel="00000000" w:rsidR="00000000" w:rsidRPr="00000000">
        <w:rPr>
          <w:rFonts w:ascii="Arial" w:cs="Arial" w:eastAsia="Arial" w:hAnsi="Arial"/>
          <w:sz w:val="24"/>
          <w:szCs w:val="24"/>
          <w:rtl w:val="0"/>
        </w:rPr>
        <w:t xml:space="preserve">Catalogue Items will be deemed to have been made available by the Supplier to Buyers on the first day the Catalogue Item appears on the Catalogue.</w:t>
      </w:r>
    </w:p>
    <w:p w:rsidR="00000000" w:rsidDel="00000000" w:rsidP="00000000" w:rsidRDefault="00000000" w:rsidRPr="00000000" w14:paraId="0000003F">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5.     </w:t>
      </w:r>
      <w:r w:rsidDel="00000000" w:rsidR="00000000" w:rsidRPr="00000000">
        <w:rPr>
          <w:rFonts w:ascii="Arial" w:cs="Arial" w:eastAsia="Arial" w:hAnsi="Arial"/>
          <w:sz w:val="24"/>
          <w:szCs w:val="24"/>
          <w:rtl w:val="0"/>
        </w:rPr>
        <w:t xml:space="preserve">All Catalogue Items must be continuously available on the Catalogue for at least fourteen calendar days from first publication on the Catalogue Publication Portal.</w:t>
      </w:r>
    </w:p>
    <w:p w:rsidR="00000000" w:rsidDel="00000000" w:rsidP="00000000" w:rsidRDefault="00000000" w:rsidRPr="00000000" w14:paraId="00000040">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shd w:fill="ffffff" w:val="clear"/>
        <w:spacing w:after="0" w:line="276" w:lineRule="auto"/>
        <w:ind w:left="58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2.     </w:t>
      </w:r>
      <w:r w:rsidDel="00000000" w:rsidR="00000000" w:rsidRPr="00000000">
        <w:rPr>
          <w:rFonts w:ascii="Arial" w:cs="Arial" w:eastAsia="Arial" w:hAnsi="Arial"/>
          <w:sz w:val="24"/>
          <w:szCs w:val="24"/>
          <w:rtl w:val="0"/>
        </w:rPr>
        <w:t xml:space="preserve">PUBLISHING THE CATALOGUE</w:t>
      </w:r>
    </w:p>
    <w:p w:rsidR="00000000" w:rsidDel="00000000" w:rsidP="00000000" w:rsidRDefault="00000000" w:rsidRPr="00000000" w14:paraId="00000042">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The Catalogue will be made available to Buyers using the Catalogue Publication Portal.</w:t>
      </w:r>
    </w:p>
    <w:p w:rsidR="00000000" w:rsidDel="00000000" w:rsidP="00000000" w:rsidRDefault="00000000" w:rsidRPr="00000000" w14:paraId="00000043">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2.     </w:t>
      </w:r>
      <w:r w:rsidDel="00000000" w:rsidR="00000000" w:rsidRPr="00000000">
        <w:rPr>
          <w:rFonts w:ascii="Arial" w:cs="Arial" w:eastAsia="Arial" w:hAnsi="Arial"/>
          <w:sz w:val="24"/>
          <w:szCs w:val="24"/>
          <w:rtl w:val="0"/>
        </w:rPr>
        <w:t xml:space="preserve">By participating in this Framework Contract, the Supplier gives CCS the right to publish without amendment all Catalogue Items on any public facing portal or any media, including any electronic medium, CCS deems appropriate.</w:t>
      </w:r>
    </w:p>
    <w:p w:rsidR="00000000" w:rsidDel="00000000" w:rsidP="00000000" w:rsidRDefault="00000000" w:rsidRPr="00000000" w14:paraId="00000044">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3.     </w:t>
      </w:r>
      <w:r w:rsidDel="00000000" w:rsidR="00000000" w:rsidRPr="00000000">
        <w:rPr>
          <w:rFonts w:ascii="Arial" w:cs="Arial" w:eastAsia="Arial" w:hAnsi="Arial"/>
          <w:sz w:val="24"/>
          <w:szCs w:val="24"/>
          <w:rtl w:val="0"/>
        </w:rPr>
        <w:t xml:space="preserve">The Supplier shall maintain its Catalogue on the Catalogue Publication Portal.</w:t>
      </w:r>
    </w:p>
    <w:p w:rsidR="00000000" w:rsidDel="00000000" w:rsidP="00000000" w:rsidRDefault="00000000" w:rsidRPr="00000000" w14:paraId="00000045">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shd w:fill="ffffff" w:val="clear"/>
        <w:spacing w:after="0" w:line="276" w:lineRule="auto"/>
        <w:ind w:left="58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3.     </w:t>
      </w:r>
      <w:r w:rsidDel="00000000" w:rsidR="00000000" w:rsidRPr="00000000">
        <w:rPr>
          <w:rFonts w:ascii="Arial" w:cs="Arial" w:eastAsia="Arial" w:hAnsi="Arial"/>
          <w:sz w:val="24"/>
          <w:szCs w:val="24"/>
          <w:rtl w:val="0"/>
        </w:rPr>
        <w:t xml:space="preserve">CATALOGUE ITEMS</w:t>
      </w:r>
    </w:p>
    <w:p w:rsidR="00000000" w:rsidDel="00000000" w:rsidP="00000000" w:rsidRDefault="00000000" w:rsidRPr="00000000" w14:paraId="00000047">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Please note, the Information required from Suppliers to populate catalogue content is subject to change. Each Catalogue Item must be described using the template which:</w:t>
      </w:r>
    </w:p>
    <w:p w:rsidR="00000000" w:rsidDel="00000000" w:rsidP="00000000" w:rsidRDefault="00000000" w:rsidRPr="00000000" w14:paraId="00000048">
      <w:pPr>
        <w:spacing w:after="0" w:line="276" w:lineRule="auto"/>
        <w:ind w:left="20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identifies a unique reference number for each Catalogue Item;</w:t>
      </w:r>
    </w:p>
    <w:p w:rsidR="00000000" w:rsidDel="00000000" w:rsidP="00000000" w:rsidRDefault="00000000" w:rsidRPr="00000000" w14:paraId="00000049">
      <w:pPr>
        <w:spacing w:after="0" w:line="276" w:lineRule="auto"/>
        <w:ind w:left="20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2.     </w:t>
      </w:r>
      <w:r w:rsidDel="00000000" w:rsidR="00000000" w:rsidRPr="00000000">
        <w:rPr>
          <w:rFonts w:ascii="Arial" w:cs="Arial" w:eastAsia="Arial" w:hAnsi="Arial"/>
          <w:sz w:val="24"/>
          <w:szCs w:val="24"/>
          <w:rtl w:val="0"/>
        </w:rPr>
        <w:t xml:space="preserve">identifies the relevant Framework Contract;</w:t>
      </w:r>
    </w:p>
    <w:p w:rsidR="00000000" w:rsidDel="00000000" w:rsidP="00000000" w:rsidRDefault="00000000" w:rsidRPr="00000000" w14:paraId="0000004A">
      <w:pPr>
        <w:spacing w:after="0" w:line="276" w:lineRule="auto"/>
        <w:ind w:left="20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3.     </w:t>
      </w:r>
      <w:r w:rsidDel="00000000" w:rsidR="00000000" w:rsidRPr="00000000">
        <w:rPr>
          <w:rFonts w:ascii="Arial" w:cs="Arial" w:eastAsia="Arial" w:hAnsi="Arial"/>
          <w:sz w:val="24"/>
          <w:szCs w:val="24"/>
          <w:rtl w:val="0"/>
        </w:rPr>
        <w:t xml:space="preserve">must include a suitable description of the Catalogue Item;</w:t>
      </w:r>
    </w:p>
    <w:p w:rsidR="00000000" w:rsidDel="00000000" w:rsidP="00000000" w:rsidRDefault="00000000" w:rsidRPr="00000000" w14:paraId="0000004B">
      <w:pPr>
        <w:spacing w:after="0" w:line="276" w:lineRule="auto"/>
        <w:ind w:left="20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4.     </w:t>
      </w:r>
      <w:r w:rsidDel="00000000" w:rsidR="00000000" w:rsidRPr="00000000">
        <w:rPr>
          <w:rFonts w:ascii="Arial" w:cs="Arial" w:eastAsia="Arial" w:hAnsi="Arial"/>
          <w:sz w:val="24"/>
          <w:szCs w:val="24"/>
          <w:rtl w:val="0"/>
        </w:rPr>
        <w:t xml:space="preserve">must include a Catalogue Price;</w:t>
      </w:r>
    </w:p>
    <w:p w:rsidR="00000000" w:rsidDel="00000000" w:rsidP="00000000" w:rsidRDefault="00000000" w:rsidRPr="00000000" w14:paraId="0000004C">
      <w:pPr>
        <w:spacing w:after="0" w:line="276" w:lineRule="auto"/>
        <w:ind w:left="20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5.     </w:t>
      </w:r>
      <w:r w:rsidDel="00000000" w:rsidR="00000000" w:rsidRPr="00000000">
        <w:rPr>
          <w:rFonts w:ascii="Arial" w:cs="Arial" w:eastAsia="Arial" w:hAnsi="Arial"/>
          <w:sz w:val="24"/>
          <w:szCs w:val="24"/>
          <w:rtl w:val="0"/>
        </w:rPr>
        <w:t xml:space="preserve">as a minimum, Suppliers must provide the Information to populate the data fields in the Minimum Catalogue Supplier Content Template.</w:t>
      </w:r>
    </w:p>
    <w:p w:rsidR="00000000" w:rsidDel="00000000" w:rsidP="00000000" w:rsidRDefault="00000000" w:rsidRPr="00000000" w14:paraId="0000004D">
      <w:pPr>
        <w:spacing w:after="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E">
      <w:pPr>
        <w:shd w:fill="ffffff" w:val="clear"/>
        <w:spacing w:after="0" w:line="276" w:lineRule="auto"/>
        <w:ind w:left="58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4.     </w:t>
      </w:r>
      <w:r w:rsidDel="00000000" w:rsidR="00000000" w:rsidRPr="00000000">
        <w:rPr>
          <w:rFonts w:ascii="Arial" w:cs="Arial" w:eastAsia="Arial" w:hAnsi="Arial"/>
          <w:sz w:val="24"/>
          <w:szCs w:val="24"/>
          <w:rtl w:val="0"/>
        </w:rPr>
        <w:t xml:space="preserve">ADDING A CATALOGUE ITEM TO THE CATALOGUE</w:t>
      </w:r>
    </w:p>
    <w:p w:rsidR="00000000" w:rsidDel="00000000" w:rsidP="00000000" w:rsidRDefault="00000000" w:rsidRPr="00000000" w14:paraId="0000004F">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Crown Commercial Service will add the Suppliers Catalogue Items to the Catalogue in accordance with paragraph 3.</w:t>
      </w:r>
    </w:p>
    <w:p w:rsidR="00000000" w:rsidDel="00000000" w:rsidP="00000000" w:rsidRDefault="00000000" w:rsidRPr="00000000" w14:paraId="00000050">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2.     </w:t>
      </w:r>
      <w:r w:rsidDel="00000000" w:rsidR="00000000" w:rsidRPr="00000000">
        <w:rPr>
          <w:rFonts w:ascii="Arial" w:cs="Arial" w:eastAsia="Arial" w:hAnsi="Arial"/>
          <w:sz w:val="24"/>
          <w:szCs w:val="24"/>
          <w:rtl w:val="0"/>
        </w:rPr>
        <w:t xml:space="preserve">The format for Suppliers to submit items to be added to the catalogue will be published at Intention to Award the Framework.</w:t>
      </w:r>
    </w:p>
    <w:p w:rsidR="00000000" w:rsidDel="00000000" w:rsidP="00000000" w:rsidRDefault="00000000" w:rsidRPr="00000000" w14:paraId="00000051">
      <w:pP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3.     </w:t>
      </w:r>
      <w:r w:rsidDel="00000000" w:rsidR="00000000" w:rsidRPr="00000000">
        <w:rPr>
          <w:rFonts w:ascii="Arial" w:cs="Arial" w:eastAsia="Arial" w:hAnsi="Arial"/>
          <w:sz w:val="24"/>
          <w:szCs w:val="24"/>
          <w:rtl w:val="0"/>
        </w:rPr>
        <w:t xml:space="preserve">Crown Commercial Service reserves the right to change the format for catalogue items.</w:t>
      </w:r>
    </w:p>
    <w:p w:rsidR="00000000" w:rsidDel="00000000" w:rsidP="00000000" w:rsidRDefault="00000000" w:rsidRPr="00000000" w14:paraId="00000052">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3">
      <w:pPr>
        <w:shd w:fill="ffffff" w:val="clear"/>
        <w:spacing w:after="0" w:line="276" w:lineRule="auto"/>
        <w:ind w:left="130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5.     </w:t>
      </w:r>
      <w:r w:rsidDel="00000000" w:rsidR="00000000" w:rsidRPr="00000000">
        <w:rPr>
          <w:rFonts w:ascii="Arial" w:cs="Arial" w:eastAsia="Arial" w:hAnsi="Arial"/>
          <w:sz w:val="24"/>
          <w:szCs w:val="24"/>
          <w:rtl w:val="0"/>
        </w:rPr>
        <w:t xml:space="preserve">WITHDRAWING A CATALOGUE ITEM OFFER FROM THE CATALOGUE</w:t>
      </w:r>
    </w:p>
    <w:p w:rsidR="00000000" w:rsidDel="00000000" w:rsidP="00000000" w:rsidRDefault="00000000" w:rsidRPr="00000000" w14:paraId="00000054">
      <w:pPr>
        <w:spacing w:after="0" w:line="276" w:lineRule="auto"/>
        <w:ind w:left="2020" w:hanging="360"/>
        <w:rPr>
          <w:rFonts w:ascii="Arial" w:cs="Arial" w:eastAsia="Arial" w:hAnsi="Arial"/>
          <w:b w:val="1"/>
          <w:sz w:val="24"/>
          <w:szCs w:val="24"/>
        </w:rPr>
      </w:pPr>
      <w:r w:rsidDel="00000000" w:rsidR="00000000" w:rsidRPr="00000000">
        <w:rPr>
          <w:rFonts w:ascii="Arial" w:cs="Arial" w:eastAsia="Arial" w:hAnsi="Arial"/>
          <w:color w:val="222222"/>
          <w:sz w:val="24"/>
          <w:szCs w:val="24"/>
          <w:rtl w:val="0"/>
        </w:rPr>
        <w:t xml:space="preserve">1.     </w:t>
      </w:r>
      <w:r w:rsidDel="00000000" w:rsidR="00000000" w:rsidRPr="00000000">
        <w:rPr>
          <w:rFonts w:ascii="Arial" w:cs="Arial" w:eastAsia="Arial" w:hAnsi="Arial"/>
          <w:sz w:val="24"/>
          <w:szCs w:val="24"/>
          <w:rtl w:val="0"/>
        </w:rPr>
        <w:t xml:space="preserve">Subject to paragraph 1.5, the Supplier may at any time withdraw a Catalogue Item and remove it from the Catalogue Publication Portal.</w:t>
      </w:r>
      <w:r w:rsidDel="00000000" w:rsidR="00000000" w:rsidRPr="00000000">
        <w:rPr>
          <w:rtl w:val="0"/>
        </w:rPr>
      </w:r>
    </w:p>
    <w:sectPr>
      <w:type w:val="nextPage"/>
      <w:pgSz w:h="16838" w:w="11906" w:orient="portrait"/>
      <w:pgMar w:bottom="1440" w:top="1888"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w:t>
      <w:tab/>
    </w:r>
    <w:r w:rsidDel="00000000" w:rsidR="00000000" w:rsidRPr="00000000">
      <w:rPr>
        <w:rFonts w:ascii="Arial" w:cs="Arial" w:eastAsia="Arial" w:hAnsi="Arial"/>
        <w:color w:val="bfbfbf"/>
        <w:sz w:val="20"/>
        <w:szCs w:val="20"/>
        <w:rtl w:val="0"/>
      </w:rPr>
      <w:tab/>
    </w:r>
    <w:r w:rsidDel="00000000" w:rsidR="00000000" w:rsidRPr="00000000">
      <w:rPr>
        <w:color w:val="bfbfbf"/>
        <w:rtl w:val="0"/>
      </w:rPr>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r w:rsidDel="00000000" w:rsidR="00000000" w:rsidRPr="00000000">
      <w:rPr>
        <w:rtl w:val="0"/>
      </w:rPr>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3 (Framework Prices)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3 (Framework Prices)</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pDfj7GvCF9bTzefKKt4P75HQw==">CgMxLjAyCGguZ2pkZ3hzMgloLjMwajB6bGwyCWguMWZvYjl0ZTIJaC4yZXQ5MnAwMghoLnR5amN3dDIJaC4zZHk2dmttMgloLjF0M2g1c2YyCWguNGQzNG9nODgAciExTW5waDd6MUZsSEZ4VVBrODQ2MTlMdk9hZjZjdmRBVDA=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