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Joint Schedule 7 (Financial Difficulties)</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1"/>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2" w:right="0" w:hanging="72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[Guidance: This Schedule provides CCS and the Buyer with the option of using Credit Ratings and/or Financial Indicators for the purposes of the Financial Distress Provisions. Buyers may use any combination of these indicators to suit their own requirements subject to the detailed guidance below.]</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definitions shall apply: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8656.0" w:type="dxa"/>
        <w:jc w:val="left"/>
        <w:tblInd w:w="3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04"/>
        <w:gridCol w:w="5952"/>
        <w:tblGridChange w:id="0">
          <w:tblGrid>
            <w:gridCol w:w="2704"/>
            <w:gridCol w:w="5952"/>
          </w:tblGrid>
        </w:tblGridChange>
      </w:tblGrid>
      <w:tr>
        <w:trPr>
          <w:cantSplit w:val="0"/>
          <w:tblHeader w:val="0"/>
        </w:trPr>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“Applicable Financial Indicators”</w:t>
            </w:r>
          </w:p>
        </w:tc>
        <w:tc>
          <w:tcPr/>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financial indicators from Paragraph </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5.1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this Schedule which are to apply to the Monitored Suppliers as set out in Paragraph 5.2 of this Schedule;</w:t>
            </w:r>
            <w:r w:rsidDel="00000000" w:rsidR="00000000" w:rsidRPr="00000000">
              <w:rPr>
                <w:rtl w:val="0"/>
              </w:rPr>
            </w:r>
          </w:p>
        </w:tc>
      </w:tr>
      <w:tr>
        <w:trPr>
          <w:cantSplit w:val="0"/>
          <w:tblHeader w:val="0"/>
        </w:trPr>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“Board”</w:t>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Supplier’s board of directors;</w:t>
            </w:r>
          </w:p>
        </w:tc>
      </w:tr>
      <w:tr>
        <w:trPr>
          <w:cantSplit w:val="0"/>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“Board Confirmation”</w:t>
            </w:r>
          </w:p>
        </w:tc>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written confirmation from the Board in accordance with Paragraph 8 of this Schedule;</w:t>
            </w:r>
          </w:p>
        </w:tc>
      </w:tr>
      <w:tr>
        <w:trPr>
          <w:cantSplit w:val="0"/>
          <w:tblHeader w:val="0"/>
        </w:trPr>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“Cabinet Office Markets and Suppliers Team”</w:t>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UK Government’s team responsible for managing the relationship between government and its Strategic Suppliers, or any replacement or successor body carrying out the same function;</w:t>
            </w:r>
          </w:p>
        </w:tc>
      </w:tr>
      <w:tr>
        <w:trPr>
          <w:cantSplit w:val="0"/>
          <w:tblHeader w:val="0"/>
        </w:trPr>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“Credit Rating Threshold”</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minimum credit rating level for each entity in the FDE Group as set out in Annex 1 to this Schedule;</w:t>
            </w:r>
          </w:p>
        </w:tc>
      </w:tr>
      <w:tr>
        <w:trPr>
          <w:cantSplit w:val="0"/>
          <w:tblHeader w:val="0"/>
        </w:trPr>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“FDE Group”</w:t>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[Supplier, Key Sub-contractors, [the Guarantor] and the [Monitored Suppliers]];</w:t>
            </w:r>
            <w:r w:rsidDel="00000000" w:rsidR="00000000" w:rsidRPr="00000000">
              <w:rPr>
                <w:rtl w:val="0"/>
              </w:rPr>
            </w:r>
          </w:p>
        </w:tc>
      </w:tr>
      <w:tr>
        <w:trPr>
          <w:cantSplit w:val="0"/>
          <w:tblHeader w:val="0"/>
        </w:trPr>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Distress Event”</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events listed in Paragraph 3.1 of this Schedule;</w:t>
            </w:r>
          </w:p>
        </w:tc>
      </w:tr>
      <w:tr>
        <w:trPr>
          <w:cantSplit w:val="0"/>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Distress Remediation Plan”</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plan setting out how the Supplier will ensure the continued performance and delivery of the Deliverables in accordance with the Contract in the event that a Financial Distress Event occurs;</w:t>
            </w:r>
          </w:p>
        </w:tc>
      </w:tr>
      <w:tr>
        <w:trPr>
          <w:cantSplit w:val="0"/>
          <w:tblHeader w:val="0"/>
        </w:trPr>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Indicators”</w:t>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the Supplier, Key Sub-contractors and the Guarantor, means each of the financial indicators set out at paragraph 5.1 of this Schedule and in respect of each Monitored Supplier, means those Applicable Financial Indicators;</w:t>
            </w:r>
          </w:p>
        </w:tc>
      </w:tr>
      <w:tr>
        <w:trPr>
          <w:cantSplit w:val="0"/>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Target Thresholds”</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target thresholds for each of the Financial Indicators set out at paragraph 5.1 of this Schedule;</w:t>
            </w:r>
          </w:p>
        </w:tc>
      </w:tr>
      <w:tr>
        <w:trPr>
          <w:cantSplit w:val="0"/>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“Monitored Suppliers”</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those entities specified at paragraph 5.2 of this Schedule;</w:t>
            </w:r>
          </w:p>
        </w:tc>
      </w:tr>
      <w:tr>
        <w:trPr>
          <w:cantSplit w:val="0"/>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“Rating Agencies”</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rating agencies listed in Annex 1 of this Schedule;</w:t>
            </w:r>
          </w:p>
        </w:tc>
      </w:tr>
      <w:tr>
        <w:trPr>
          <w:cantSplit w:val="0"/>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“Strategic Supplier”</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those suppliers to government listed at </w:t>
            </w:r>
            <w:hyperlink r:id="r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https://www.gov.uk/government/publications/strategic-suppliers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shall comply with the provisions of this Schedule in relation to the assessment of the financial standing of the FDE Group and the consequences of a change to that financial standing.</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terms of this Schedule shall survive: </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the Call-Off Contract until the termination or expiry of the Call-Off Contract.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Warranties and duty to notify</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warrants and represents to the Relevant Authority for the benefit of the Relevant Authority that as at the Effective Date:</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long term credit ratings issued for each entity in the FDE Group by each of the Rating Agencies are as set out in Annex 2 to this Schedule; and</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financial position or, as appropriate, the financial performance of each of the Supplier, Guarantor and Key Sub-contractors satisfies the Financial Target Thresholds.</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regularly monitor the credit ratings of each entity in the FDE Group with the Rating Agencies;</w:t>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report submitted by the Supplier pursuant to paragraph 2.3.2 shall:</w:t>
      </w:r>
    </w:p>
    <w:p w:rsidR="00000000" w:rsidDel="00000000" w:rsidP="00000000" w:rsidRDefault="00000000" w:rsidRPr="00000000" w14:paraId="000000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 single report with separate sections for each of the FDE Group entities;</w:t>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contain a sufficient level of information to enable the Relevant Authority to verify the calculations that have been made in respect of the Financial Indicators;</w:t>
      </w:r>
    </w:p>
    <w:p w:rsidR="00000000" w:rsidDel="00000000" w:rsidP="00000000" w:rsidRDefault="00000000" w:rsidRPr="00000000" w14:paraId="000000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key financial and other supporting information (including any accounts data that has been relied on) as separate annexes;</w:t>
      </w:r>
    </w:p>
    <w:p w:rsidR="00000000" w:rsidDel="00000000" w:rsidP="00000000" w:rsidRDefault="00000000" w:rsidRPr="00000000" w14:paraId="0000003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rsidR="00000000" w:rsidDel="00000000" w:rsidP="00000000" w:rsidRDefault="00000000" w:rsidRPr="00000000" w14:paraId="000000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a history of the Financial Indicators reported by the Supplier in graph form to enable the Relevant Authority to easily analyse and assess the trends in financial performance.</w:t>
      </w:r>
    </w:p>
    <w:p w:rsidR="00000000" w:rsidDel="00000000" w:rsidP="00000000" w:rsidRDefault="00000000" w:rsidRPr="00000000" w14:paraId="00000039">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Distress events</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shall be Financial Distress Events:</w:t>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credit rating of an FDE Group entity dropping below the applicable Credit Rating Threshold;</w:t>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FDE Group entity issuing a profits warning to a stock exchange or making any other public announcement, in each case about a material deterioration in its financial position or prospects;</w:t>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being a public investigation into improper financial accounting and reporting, suspected fraud or any other impropriety of an FDE Group entity;</w:t>
      </w:r>
    </w:p>
    <w:p w:rsidR="00000000" w:rsidDel="00000000" w:rsidP="00000000" w:rsidRDefault="00000000" w:rsidRPr="00000000" w14:paraId="000000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FDE Group entity committing a material breach of covenant to its lenders;</w:t>
      </w:r>
    </w:p>
    <w:p w:rsidR="00000000" w:rsidDel="00000000" w:rsidP="00000000" w:rsidRDefault="00000000" w:rsidRPr="00000000" w14:paraId="000000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Key Sub-contractor notifying CCS or the Buyer that the Supplier has not satisfied any material sums properly due under a specified invoice and not subject to a genuine dispute;</w:t>
      </w:r>
    </w:p>
    <w:p w:rsidR="00000000" w:rsidDel="00000000" w:rsidP="00000000" w:rsidRDefault="00000000" w:rsidRPr="00000000" w14:paraId="000000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following:</w:t>
      </w:r>
    </w:p>
    <w:p w:rsidR="00000000" w:rsidDel="00000000" w:rsidP="00000000" w:rsidRDefault="00000000" w:rsidRPr="00000000" w14:paraId="0000004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commencement of any litigation against an FDE Group entity with respect to financial indebtedness greater than £5m or obligations under a service contract with a total contract value greater than £5m; </w:t>
      </w:r>
    </w:p>
    <w:p w:rsidR="00000000" w:rsidDel="00000000" w:rsidP="00000000" w:rsidRDefault="00000000" w:rsidRPr="00000000" w14:paraId="0000004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non-payment by an FDE Group entity of any financial indebtedness;</w:t>
      </w:r>
    </w:p>
    <w:p w:rsidR="00000000" w:rsidDel="00000000" w:rsidP="00000000" w:rsidRDefault="00000000" w:rsidRPr="00000000" w14:paraId="0000004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financial indebtedness of an FDE Group entity becoming due as a result of an event of default;</w:t>
      </w:r>
    </w:p>
    <w:p w:rsidR="00000000" w:rsidDel="00000000" w:rsidP="00000000" w:rsidRDefault="00000000" w:rsidRPr="00000000" w14:paraId="0000004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cancellation or suspension of any financial indebtedness in respect of an FDE Group entity; or</w:t>
      </w:r>
    </w:p>
    <w:p w:rsidR="00000000" w:rsidDel="00000000" w:rsidP="00000000" w:rsidRDefault="00000000" w:rsidRPr="00000000" w14:paraId="0000004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external auditor of an FDE Group entity expressing a qualified opinion on, or including an emphasis of matter in, its opinion on the statutory accounts of that FDE entity;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66"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each case which the Relevant Authority reasonably believes (or would be likely reasonably to believe) could directly impact on the continued performance and delivery of the Deliverables in accordance with the Contract; and</w:t>
      </w:r>
    </w:p>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[one] of the Financial Indicators set out at Paragraph 5 for any of the FDE Group entities failing to meet the required Financial Target Threshold.</w:t>
      </w:r>
      <w:r w:rsidDel="00000000" w:rsidR="00000000" w:rsidRPr="00000000">
        <w:rPr>
          <w:rtl w:val="0"/>
        </w:rPr>
      </w:r>
    </w:p>
    <w:p w:rsidR="00000000" w:rsidDel="00000000" w:rsidP="00000000" w:rsidRDefault="00000000" w:rsidRPr="00000000" w14:paraId="00000048">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Consequences of Financial Distress Events</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of a late or non-payment of a Key Sub-contractor pursuant to Paragraph 3.1.5, the Relevant Authority shall not exercise any of its rights or remedies under Paragraph 4.3 without first giving the Supplier 10 Working Days to:</w:t>
      </w:r>
    </w:p>
    <w:p w:rsidR="00000000" w:rsidDel="00000000" w:rsidP="00000000" w:rsidRDefault="00000000" w:rsidRPr="00000000" w14:paraId="0000004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rectify such late or non-payment; or</w:t>
      </w:r>
    </w:p>
    <w:p w:rsidR="00000000" w:rsidDel="00000000" w:rsidP="00000000" w:rsidRDefault="00000000" w:rsidRPr="00000000" w14:paraId="0000004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 to the Relevant Authority’s reasonable satisfaction that there is a valid reason for late or non-payment.</w:t>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any Monitored Supplier, the Guarantor and/or any relevant Key Sub-contractor shall):</w:t>
      </w:r>
    </w:p>
    <w:p w:rsidR="00000000" w:rsidDel="00000000" w:rsidP="00000000" w:rsidRDefault="00000000" w:rsidRPr="00000000" w14:paraId="0000004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rsidR="00000000" w:rsidDel="00000000" w:rsidP="00000000" w:rsidRDefault="00000000" w:rsidRPr="00000000" w14:paraId="0000004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rsidR="00000000" w:rsidDel="00000000" w:rsidP="00000000" w:rsidRDefault="00000000" w:rsidRPr="00000000" w14:paraId="0000005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936"/>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rsidR="00000000" w:rsidDel="00000000" w:rsidP="00000000" w:rsidRDefault="00000000" w:rsidRPr="00000000" w14:paraId="0000005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936"/>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approval of the Financial Distress Remediation Plan by the Relevant Authority, the Supplier shall:</w:t>
      </w:r>
    </w:p>
    <w:p w:rsidR="00000000" w:rsidDel="00000000" w:rsidP="00000000" w:rsidRDefault="00000000" w:rsidRPr="00000000" w14:paraId="0000005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 regular basis (which shall not be less than fortnightly):</w:t>
      </w:r>
    </w:p>
    <w:p w:rsidR="00000000" w:rsidDel="00000000" w:rsidP="00000000" w:rsidRDefault="00000000" w:rsidRPr="00000000" w14:paraId="0000005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936"/>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rsidR="00000000" w:rsidDel="00000000" w:rsidP="00000000" w:rsidRDefault="00000000" w:rsidRPr="00000000" w14:paraId="0000005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936"/>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rsidR="00000000" w:rsidDel="00000000" w:rsidP="00000000" w:rsidRDefault="00000000" w:rsidRPr="00000000" w14:paraId="0000005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rsidR="00000000" w:rsidDel="00000000" w:rsidP="00000000" w:rsidRDefault="00000000" w:rsidRPr="00000000" w14:paraId="0000005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the Financial Distress Remediation Plan (including any updated Financial Distress Remediation Plan) and ensure that it achieves the financial and performance requirements set out in the Financial Distress Remediation Plan.</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rsidR="00000000" w:rsidDel="00000000" w:rsidP="00000000" w:rsidRDefault="00000000" w:rsidRPr="00000000" w14:paraId="000000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obtaining in advance written authority from Key Sub-contractors, the Guarantor and/or Monitored Suppliers authorising the disclosure of the information to the Buyer and/or entering into confidentiality agreements which permit disclosure;</w:t>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agreeing in advance with the Relevant Authority, Key Sub-contractors, the Guarantor and/or Monitored Suppliers a form of confidentiality agreement to be entered by the relevant parties to enable the disclosure of the information to the Relevant Authority;</w:t>
      </w:r>
    </w:p>
    <w:p w:rsidR="00000000" w:rsidDel="00000000" w:rsidP="00000000" w:rsidRDefault="00000000" w:rsidRPr="00000000" w14:paraId="0000005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rsidR="00000000" w:rsidDel="00000000" w:rsidP="00000000" w:rsidRDefault="00000000" w:rsidRPr="00000000" w14:paraId="0000005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disclosing the information to the fullest extent that it is lawfully entitled to do so, including through the use of redaction, anonymisation and any other techniques to permit disclosure of the information without breaching a duty of confidentiality.</w:t>
      </w:r>
    </w:p>
    <w:p w:rsidR="00000000" w:rsidDel="00000000" w:rsidP="00000000" w:rsidRDefault="00000000" w:rsidRPr="00000000" w14:paraId="00000060">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Indicators</w:t>
      </w:r>
    </w:p>
    <w:p w:rsidR="00000000" w:rsidDel="00000000" w:rsidP="00000000" w:rsidRDefault="00000000" w:rsidRPr="00000000" w14:paraId="0000006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highlight w:val="yellow"/>
          <w:rtl w:val="0"/>
        </w:rPr>
        <w:t xml:space="preserve">: The Financial Indicators set out in the table at paragraph 5.1 are  established at Framework level to satisfy Cabinet Office Contract Tiering Tool requirements. For the purposes of your call off activity you may check that the original assessment of the indicators remains valid, but you may not re-run those assessments. You may also opt to ask the Supplier to monitor themselves according to some, rather than all, of the indicators in accordance with your internal procedures but you should not introduce new indicators or amend those set out below. Please take your own legal advice if you are uncertain how to proceed.  ]</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3"/>
        <w:gridCol w:w="1977"/>
        <w:gridCol w:w="1697"/>
        <w:gridCol w:w="3089"/>
        <w:tblGridChange w:id="0">
          <w:tblGrid>
            <w:gridCol w:w="2253"/>
            <w:gridCol w:w="1977"/>
            <w:gridCol w:w="1697"/>
            <w:gridCol w:w="3089"/>
          </w:tblGrid>
        </w:tblGridChange>
      </w:tblGrid>
      <w:tr>
        <w:trPr>
          <w:cantSplit w:val="0"/>
          <w:tblHeader w:val="0"/>
        </w:trPr>
        <w:tc>
          <w:tcPr>
            <w:shd w:fill="d9d9d9" w:val="clea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Indicator</w:t>
            </w:r>
          </w:p>
        </w:tc>
        <w:tc>
          <w:tcPr>
            <w:shd w:fill="d9d9d9" w:val="cle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Calculation</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1</w:t>
            </w:r>
            <w:r w:rsidDel="00000000" w:rsidR="00000000" w:rsidRPr="00000000">
              <w:rPr>
                <w:rtl w:val="0"/>
              </w:rPr>
            </w:r>
          </w:p>
        </w:tc>
        <w:tc>
          <w:tcPr>
            <w:shd w:fill="d9d9d9" w:val="clea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Target Threshold:</w:t>
            </w:r>
          </w:p>
        </w:tc>
        <w:tc>
          <w:tcPr>
            <w:shd w:fill="d9d9d9" w:val="cle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Monitoring and Reporting Frequency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[if different from the default position set out in Paragraph 2.3.2)]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[Operating Margin]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[The higher of (a) the Operating Margin for the most recent 12 month period and (b) the average Operating Margin for the last two 12 month periods]</w:t>
            </w:r>
            <w:r w:rsidDel="00000000" w:rsidR="00000000" w:rsidRPr="00000000">
              <w:rPr>
                <w:rtl w:val="0"/>
              </w:rPr>
            </w:r>
          </w:p>
        </w:tc>
        <w:tc>
          <w:tcP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[Operating Margin = Operating Profit / Revenue]</w:t>
            </w:r>
            <w:r w:rsidDel="00000000" w:rsidR="00000000" w:rsidRPr="00000000">
              <w:rPr>
                <w:rtl w:val="0"/>
              </w:rPr>
            </w:r>
          </w:p>
        </w:tc>
        <w:tc>
          <w:tcP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Lot1: 3%</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Lot2: 5%</w:t>
            </w:r>
          </w:p>
        </w:tc>
        <w:tc>
          <w:tcP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Tested and reported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[yearly / half yearly]</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in arrears within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[120 / 90]</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days of each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 half year end]</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based upon figures for the 12 months ending on the relevant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 half year end]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7030a0"/>
                <w:sz w:val="24"/>
                <w:szCs w:val="24"/>
                <w:highlight w:val="yellow"/>
                <w:u w:val="none"/>
                <w:vertAlign w:val="baseline"/>
              </w:rPr>
            </w:pPr>
            <w:r w:rsidDel="00000000" w:rsidR="00000000" w:rsidRPr="00000000">
              <w:rPr>
                <w:rFonts w:ascii="Arial" w:cs="Arial" w:eastAsia="Arial" w:hAnsi="Arial"/>
                <w:b w:val="1"/>
                <w:i w:val="0"/>
                <w:smallCaps w:val="0"/>
                <w:strike w:val="0"/>
                <w:color w:val="7030a0"/>
                <w:sz w:val="24"/>
                <w:szCs w:val="24"/>
                <w:highlight w:val="yellow"/>
                <w:u w:val="none"/>
                <w:vertAlign w:val="baseline"/>
                <w:rtl w:val="0"/>
              </w:rPr>
              <w:t xml:space="preserve">[Free Cash Flow to Net Debt Ratio]</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7030a0"/>
                <w:sz w:val="24"/>
                <w:szCs w:val="24"/>
                <w:u w:val="none"/>
                <w:shd w:fill="auto" w:val="clear"/>
                <w:vertAlign w:val="baseline"/>
              </w:rPr>
            </w:pPr>
            <w:r w:rsidDel="00000000" w:rsidR="00000000" w:rsidRPr="00000000">
              <w:rPr>
                <w:rFonts w:ascii="Arial" w:cs="Arial" w:eastAsia="Arial" w:hAnsi="Arial"/>
                <w:b w:val="1"/>
                <w:i w:val="0"/>
                <w:smallCaps w:val="0"/>
                <w:strike w:val="0"/>
                <w:color w:val="7030a0"/>
                <w:sz w:val="24"/>
                <w:szCs w:val="24"/>
                <w:u w:val="none"/>
                <w:shd w:fill="auto" w:val="clear"/>
                <w:vertAlign w:val="baseline"/>
                <w:rtl w:val="0"/>
              </w:rPr>
              <w:t xml:space="preserve">OR</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[Net Debt to EBITDA Ratio]</w:t>
            </w:r>
            <w:r w:rsidDel="00000000" w:rsidR="00000000" w:rsidRPr="00000000">
              <w:rPr>
                <w:rtl w:val="0"/>
              </w:rPr>
            </w:r>
          </w:p>
        </w:tc>
        <w:tc>
          <w:tcP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7030a0"/>
                <w:sz w:val="24"/>
                <w:szCs w:val="24"/>
                <w:highlight w:val="yellow"/>
                <w:u w:val="none"/>
                <w:vertAlign w:val="baseline"/>
              </w:rPr>
            </w:pPr>
            <w:r w:rsidDel="00000000" w:rsidR="00000000" w:rsidRPr="00000000">
              <w:rPr>
                <w:rFonts w:ascii="Arial" w:cs="Arial" w:eastAsia="Arial" w:hAnsi="Arial"/>
                <w:b w:val="0"/>
                <w:i w:val="1"/>
                <w:smallCaps w:val="0"/>
                <w:strike w:val="0"/>
                <w:color w:val="7030a0"/>
                <w:sz w:val="24"/>
                <w:szCs w:val="24"/>
                <w:highlight w:val="yellow"/>
                <w:u w:val="none"/>
                <w:vertAlign w:val="baseline"/>
                <w:rtl w:val="0"/>
              </w:rPr>
              <w:t xml:space="preserve">[Free Cash Flow to Net Debt Ratio = Free Cash Flow / Net Debt]</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7030a0"/>
                <w:sz w:val="24"/>
                <w:szCs w:val="24"/>
                <w:u w:val="none"/>
                <w:shd w:fill="auto" w:val="clear"/>
                <w:vertAlign w:val="baseline"/>
              </w:rPr>
            </w:pPr>
            <w:r w:rsidDel="00000000" w:rsidR="00000000" w:rsidRPr="00000000">
              <w:rPr>
                <w:rFonts w:ascii="Arial" w:cs="Arial" w:eastAsia="Arial" w:hAnsi="Arial"/>
                <w:b w:val="0"/>
                <w:i w:val="1"/>
                <w:smallCaps w:val="0"/>
                <w:strike w:val="0"/>
                <w:color w:val="7030a0"/>
                <w:sz w:val="24"/>
                <w:szCs w:val="24"/>
                <w:u w:val="none"/>
                <w:shd w:fill="auto" w:val="clear"/>
                <w:vertAlign w:val="baseline"/>
                <w:rtl w:val="0"/>
              </w:rPr>
              <w:t xml:space="preserve">OR</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[Net Debt to EBITDA ratio = Net Debt / EBITDA]</w:t>
            </w:r>
            <w:r w:rsidDel="00000000" w:rsidR="00000000" w:rsidRPr="00000000">
              <w:rPr>
                <w:rtl w:val="0"/>
              </w:rPr>
            </w:r>
          </w:p>
        </w:tc>
        <w:tc>
          <w:tcP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7030a0"/>
                <w:sz w:val="24"/>
                <w:szCs w:val="24"/>
                <w:highlight w:val="yellow"/>
                <w:u w:val="none"/>
                <w:vertAlign w:val="baseline"/>
              </w:rPr>
            </w:pPr>
            <w:r w:rsidDel="00000000" w:rsidR="00000000" w:rsidRPr="00000000">
              <w:rPr>
                <w:rFonts w:ascii="Arial" w:cs="Arial" w:eastAsia="Arial" w:hAnsi="Arial"/>
                <w:b w:val="0"/>
                <w:i w:val="1"/>
                <w:smallCaps w:val="0"/>
                <w:strike w:val="0"/>
                <w:color w:val="7030a0"/>
                <w:sz w:val="24"/>
                <w:szCs w:val="24"/>
                <w:highlight w:val="yellow"/>
                <w:u w:val="none"/>
                <w:vertAlign w:val="baseline"/>
                <w:rtl w:val="0"/>
              </w:rPr>
              <w:t xml:space="preserve">[&gt; [X%]]</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3.5 times</w:t>
            </w:r>
            <w:r w:rsidDel="00000000" w:rsidR="00000000" w:rsidRPr="00000000">
              <w:rPr>
                <w:rtl w:val="0"/>
              </w:rPr>
            </w:r>
          </w:p>
        </w:tc>
        <w:tc>
          <w:tcP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Tested and reported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[yearly </w:t>
            </w:r>
            <w:r w:rsidDel="00000000" w:rsidR="00000000" w:rsidRPr="00000000">
              <w:rPr>
                <w:rFonts w:ascii="Arial" w:cs="Arial" w:eastAsia="Arial" w:hAnsi="Arial"/>
                <w:b w:val="0"/>
                <w:i w:val="1"/>
                <w:smallCaps w:val="0"/>
                <w:strike w:val="0"/>
                <w:color w:val="7030a0"/>
                <w:sz w:val="24"/>
                <w:szCs w:val="24"/>
                <w:highlight w:val="yellow"/>
                <w:u w:val="none"/>
                <w:vertAlign w:val="baseline"/>
                <w:rtl w:val="0"/>
              </w:rPr>
              <w:t xml:space="preserve">/ half yearly]</w:t>
            </w:r>
            <w:r w:rsidDel="00000000" w:rsidR="00000000" w:rsidRPr="00000000">
              <w:rPr>
                <w:rFonts w:ascii="Arial" w:cs="Arial" w:eastAsia="Arial" w:hAnsi="Arial"/>
                <w:b w:val="0"/>
                <w:i w:val="1"/>
                <w:smallCaps w:val="0"/>
                <w:strike w:val="0"/>
                <w:color w:val="7030a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 arrears within </w:t>
            </w:r>
            <w:r w:rsidDel="00000000" w:rsidR="00000000" w:rsidRPr="00000000">
              <w:rPr>
                <w:rFonts w:ascii="Arial" w:cs="Arial" w:eastAsia="Arial" w:hAnsi="Arial"/>
                <w:b w:val="0"/>
                <w:i w:val="1"/>
                <w:smallCaps w:val="0"/>
                <w:strike w:val="0"/>
                <w:color w:val="7030a0"/>
                <w:sz w:val="24"/>
                <w:szCs w:val="24"/>
                <w:highlight w:val="yellow"/>
                <w:u w:val="none"/>
                <w:vertAlign w:val="baseline"/>
                <w:rtl w:val="0"/>
              </w:rPr>
              <w:t xml:space="preserve">[120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90]</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days of each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color w:val="7030a0"/>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based upon </w:t>
            </w:r>
            <w:r w:rsidDel="00000000" w:rsidR="00000000" w:rsidRPr="00000000">
              <w:rPr>
                <w:rFonts w:ascii="Arial" w:cs="Arial" w:eastAsia="Arial" w:hAnsi="Arial"/>
                <w:b w:val="0"/>
                <w:i w:val="1"/>
                <w:smallCaps w:val="0"/>
                <w:strike w:val="0"/>
                <w:color w:val="7030a0"/>
                <w:sz w:val="24"/>
                <w:szCs w:val="24"/>
                <w:highlight w:val="yellow"/>
                <w:u w:val="none"/>
                <w:vertAlign w:val="baseline"/>
                <w:rtl w:val="0"/>
              </w:rPr>
              <w:t xml:space="preserve">[Free Cash Flow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EBITDA]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for the 12 months ending on, and Net Debt at, the relevant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color w:val="7030a0"/>
                <w:sz w:val="24"/>
                <w:szCs w:val="24"/>
                <w:highlight w:val="yellow"/>
                <w:u w:val="none"/>
                <w:vertAlign w:val="baseline"/>
                <w:rtl w:val="0"/>
              </w:rPr>
              <w:t xml:space="preserve">/ half year end]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[Net Debt + Net Pension Deficit to EBITDA ratio]</w:t>
            </w:r>
            <w:r w:rsidDel="00000000" w:rsidR="00000000" w:rsidRPr="00000000">
              <w:rPr>
                <w:rtl w:val="0"/>
              </w:rPr>
            </w:r>
          </w:p>
        </w:tc>
        <w:tc>
          <w:tcP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[Net Debt + Net Pension Deficit to EBITDA Ratio = (Net Debt + Net Pension Deficit) / EBITDA]</w:t>
            </w:r>
            <w:r w:rsidDel="00000000" w:rsidR="00000000" w:rsidRPr="00000000">
              <w:rPr>
                <w:rtl w:val="0"/>
              </w:rPr>
            </w:r>
          </w:p>
        </w:tc>
        <w:tc>
          <w:tcP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Lot1: 5 times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Lot2: N/A</w:t>
            </w:r>
          </w:p>
        </w:tc>
        <w:tc>
          <w:tcP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Tested and reported yearly in arrears within </w:t>
            </w:r>
            <w:r w:rsidDel="00000000" w:rsidR="00000000" w:rsidRPr="00000000">
              <w:rPr>
                <w:rFonts w:ascii="Arial" w:cs="Arial" w:eastAsia="Arial" w:hAnsi="Arial"/>
                <w:b w:val="0"/>
                <w:i w:val="1"/>
                <w:smallCaps w:val="0"/>
                <w:strike w:val="0"/>
                <w:color w:val="f79646"/>
                <w:sz w:val="24"/>
                <w:szCs w:val="24"/>
                <w:u w:val="none"/>
                <w:shd w:fill="auto" w:val="clear"/>
                <w:vertAlign w:val="baseline"/>
                <w:rtl w:val="0"/>
              </w:rPr>
              <w:t xml:space="preserve">90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days of each accounting reference date based upon EBITDA for the 12 months ending on, and the Net Debt and Net Pension Deficit at, the relevant accounting reference date</w:t>
            </w:r>
          </w:p>
        </w:tc>
      </w:tr>
      <w:tr>
        <w:trPr>
          <w:cantSplit w:val="0"/>
          <w:tblHeader w:val="0"/>
        </w:trPr>
        <w:tc>
          <w:tcP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[Net Interest Paid Cover]</w:t>
            </w:r>
            <w:r w:rsidDel="00000000" w:rsidR="00000000" w:rsidRPr="00000000">
              <w:rPr>
                <w:rtl w:val="0"/>
              </w:rPr>
            </w:r>
          </w:p>
        </w:tc>
        <w:tc>
          <w:tcP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[Net Interest Paid Cover = Earnings Before Interest and Tax / Net Interest Paid]</w:t>
            </w:r>
          </w:p>
        </w:tc>
        <w:tc>
          <w:tcP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Lot 1: 3 times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Lot 2: 2.5 times</w:t>
            </w:r>
            <w:r w:rsidDel="00000000" w:rsidR="00000000" w:rsidRPr="00000000">
              <w:rPr>
                <w:rtl w:val="0"/>
              </w:rPr>
            </w:r>
          </w:p>
        </w:tc>
        <w:tc>
          <w:tcP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Tested and reported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[yearly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yearly]</w:t>
            </w:r>
            <w:r w:rsidDel="00000000" w:rsidR="00000000" w:rsidRPr="00000000">
              <w:rPr>
                <w:rFonts w:ascii="Arial" w:cs="Arial" w:eastAsia="Arial" w:hAnsi="Arial"/>
                <w:b w:val="0"/>
                <w:i w:val="1"/>
                <w:smallCaps w:val="0"/>
                <w:strike w:val="0"/>
                <w:color w:val="8064a2"/>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 arrears within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120 /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90]</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days of each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based upon figures for the 12 months ending on the relevant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[Acid Ratio]</w:t>
            </w:r>
            <w:r w:rsidDel="00000000" w:rsidR="00000000" w:rsidRPr="00000000">
              <w:rPr>
                <w:rtl w:val="0"/>
              </w:rPr>
            </w:r>
          </w:p>
        </w:tc>
        <w:tc>
          <w:tcP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[Acid Ratio = (Current Assets – Inventories) / Current Liabilities]</w:t>
            </w:r>
            <w:r w:rsidDel="00000000" w:rsidR="00000000" w:rsidRPr="00000000">
              <w:rPr>
                <w:rtl w:val="0"/>
              </w:rPr>
            </w:r>
          </w:p>
        </w:tc>
        <w:tc>
          <w:tcP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Lot 1: 0.8 times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Lot 2: 0.7 times</w:t>
            </w:r>
            <w:r w:rsidDel="00000000" w:rsidR="00000000" w:rsidRPr="00000000">
              <w:rPr>
                <w:rtl w:val="0"/>
              </w:rPr>
            </w:r>
          </w:p>
        </w:tc>
        <w:tc>
          <w:tcP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Tested and reported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[yearly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yearly</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 arrears within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120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90]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days of each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based upon figures at the relevant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 half year end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[Net Asset value]</w:t>
            </w:r>
            <w:r w:rsidDel="00000000" w:rsidR="00000000" w:rsidRPr="00000000">
              <w:rPr>
                <w:rtl w:val="0"/>
              </w:rPr>
            </w:r>
          </w:p>
        </w:tc>
        <w:tc>
          <w:tcP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[Net Asset Value = Net Assets]</w:t>
            </w:r>
            <w:r w:rsidDel="00000000" w:rsidR="00000000" w:rsidRPr="00000000">
              <w:rPr>
                <w:rtl w:val="0"/>
              </w:rPr>
            </w:r>
          </w:p>
        </w:tc>
        <w:tc>
          <w:tcP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[&gt; £0]</w:t>
            </w:r>
            <w:r w:rsidDel="00000000" w:rsidR="00000000" w:rsidRPr="00000000">
              <w:rPr>
                <w:rtl w:val="0"/>
              </w:rPr>
            </w:r>
          </w:p>
        </w:tc>
        <w:tc>
          <w:tcP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Tested and reported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[yearly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yearly</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 arrears within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120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90]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days of each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based upon figures at the relevant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[Group Exposure Ratio]</w:t>
            </w:r>
            <w:r w:rsidDel="00000000" w:rsidR="00000000" w:rsidRPr="00000000">
              <w:rPr>
                <w:rtl w:val="0"/>
              </w:rPr>
            </w:r>
          </w:p>
        </w:tc>
        <w:tc>
          <w:tcP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[Group Exposure / Gross Assets]</w:t>
            </w:r>
            <w:r w:rsidDel="00000000" w:rsidR="00000000" w:rsidRPr="00000000">
              <w:rPr>
                <w:rtl w:val="0"/>
              </w:rPr>
            </w:r>
          </w:p>
        </w:tc>
        <w:tc>
          <w:tcP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Lot1: 50%</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Lot 2: N/A</w:t>
            </w:r>
            <w:r w:rsidDel="00000000" w:rsidR="00000000" w:rsidRPr="00000000">
              <w:rPr>
                <w:rtl w:val="0"/>
              </w:rPr>
            </w:r>
          </w:p>
        </w:tc>
        <w:tc>
          <w:tcP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Tested and reported yearly in arrears within 90 days of each accounting reference date based upon figures at the relevant accounting reference date</w:t>
            </w:r>
          </w:p>
        </w:tc>
      </w:tr>
    </w:tb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both"/>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Key: 1 – see Annex 3 to this Schedule which sets out the calculation methodology to be used in the calculation of each financial indicator.</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Monitored Suppliers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[Guidance: Insert details of any other entities which the Supplier is required to monitor against the Financial Indicators. These are in addition to the Supplier’s monitoring of itself, the Guarantor and the Key Sub-contractors. Not all the Financial Indicators may be applicable to a Monitored Supplier, so indicate which of those are to apply in the table below]</w:t>
      </w:r>
      <w:r w:rsidDel="00000000" w:rsidR="00000000" w:rsidRPr="00000000">
        <w:rPr>
          <w:rtl w:val="0"/>
        </w:rPr>
      </w:r>
    </w:p>
    <w:tbl>
      <w:tblPr>
        <w:tblStyle w:val="Table3"/>
        <w:tblW w:w="829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3"/>
        <w:gridCol w:w="4223"/>
        <w:tblGridChange w:id="0">
          <w:tblGrid>
            <w:gridCol w:w="4073"/>
            <w:gridCol w:w="4223"/>
          </w:tblGrid>
        </w:tblGridChange>
      </w:tblGrid>
      <w:tr>
        <w:trPr>
          <w:cantSplit w:val="0"/>
          <w:tblHeader w:val="0"/>
        </w:trPr>
        <w:tc>
          <w:tcPr>
            <w:shd w:fill="d9d9d9" w:val="cle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Monitored Supplier</w:t>
            </w:r>
          </w:p>
        </w:tc>
        <w:tc>
          <w:tcPr>
            <w:shd w:fill="d9d9d9" w:val="cle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Applicable Financial Indicators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are the Financial Indicators from the table in Paragraph 5.1 which are to apply to the Monitored Suppliers)</w:t>
            </w:r>
          </w:p>
        </w:tc>
      </w:tr>
      <w:tr>
        <w:trPr>
          <w:cantSplit w:val="0"/>
          <w:tblHeader w:val="0"/>
        </w:trPr>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[Entity 1 e.g Group Member, Sub-contractor, Relevant Parent Company etc.] </w:t>
            </w:r>
            <w:r w:rsidDel="00000000" w:rsidR="00000000" w:rsidRPr="00000000">
              <w:rPr>
                <w:rtl w:val="0"/>
              </w:rPr>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[1 – Operating Margin]</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[2 – etc..]</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[3][4][5][6][7][8][etc..]</w:t>
            </w:r>
            <w:r w:rsidDel="00000000" w:rsidR="00000000" w:rsidRPr="00000000">
              <w:rPr>
                <w:rtl w:val="0"/>
              </w:rPr>
            </w:r>
          </w:p>
        </w:tc>
      </w:tr>
      <w:tr>
        <w:trPr>
          <w:cantSplit w:val="0"/>
          <w:tblHeader w:val="0"/>
        </w:trPr>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[Entity 2 e.g Group Member, Sub-contractor, Relevant Parent Company etc.]</w:t>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[1 – Operating Margin]</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[2 – etc.]</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[3][4][5][6][7][8][etc..]</w:t>
            </w:r>
          </w:p>
        </w:tc>
      </w:tr>
      <w:tr>
        <w:trPr>
          <w:cantSplit w:val="0"/>
          <w:tblHeader w:val="0"/>
        </w:trPr>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[etc.]</w:t>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[etc.]</w:t>
            </w:r>
          </w:p>
        </w:tc>
      </w:tr>
    </w:tbl>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100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rights</w:t>
      </w:r>
    </w:p>
    <w:p w:rsidR="00000000" w:rsidDel="00000000" w:rsidP="00000000" w:rsidRDefault="00000000" w:rsidRPr="00000000" w14:paraId="000000A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shall be entitled to terminate the Contract if:</w:t>
      </w:r>
    </w:p>
    <w:p w:rsidR="00000000" w:rsidDel="00000000" w:rsidP="00000000" w:rsidRDefault="00000000" w:rsidRPr="00000000" w14:paraId="000000A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fails to notify the Relevant Authority of a Financial Distress Event in accordance with Paragraph 2.3.3;</w:t>
      </w:r>
    </w:p>
    <w:p w:rsidR="00000000" w:rsidDel="00000000" w:rsidP="00000000" w:rsidRDefault="00000000" w:rsidRPr="00000000" w14:paraId="000000A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fail to agree a Financial Distress Remediation Plan (or any updated Financial Distress Remediation Plan) in accordance with Paragraphs 4.3 to 4.5; and/or</w:t>
      </w:r>
    </w:p>
    <w:p w:rsidR="00000000" w:rsidDel="00000000" w:rsidP="00000000" w:rsidRDefault="00000000" w:rsidRPr="00000000" w14:paraId="000000A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fails to comply with the terms of the Financial Distress Remediation Plan (or any updated Financial Distress Remediation Plan) in accordance with Paragraph 4.6.3,</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shall be deemed to be an event to which Clause 10.4.1 of the Core Terms applies and Clauses 10.6.1 and 10.6.2 of the Core Terms shall apply accordingly.</w:t>
      </w:r>
    </w:p>
    <w:p w:rsidR="00000000" w:rsidDel="00000000" w:rsidP="00000000" w:rsidRDefault="00000000" w:rsidRPr="00000000" w14:paraId="000000A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Primacy of Credit Ratings</w:t>
      </w:r>
    </w:p>
    <w:p w:rsidR="00000000" w:rsidDel="00000000" w:rsidP="00000000" w:rsidRDefault="00000000" w:rsidRPr="00000000" w14:paraId="000000B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rsidR="00000000" w:rsidDel="00000000" w:rsidP="00000000" w:rsidRDefault="00000000" w:rsidRPr="00000000" w14:paraId="000000B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relieved automatically of its obligations under Paragraphs 4.3 to 4.6; and</w:t>
      </w:r>
    </w:p>
    <w:p w:rsidR="00000000" w:rsidDel="00000000" w:rsidP="00000000" w:rsidRDefault="00000000" w:rsidRPr="00000000" w14:paraId="000000B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shall not be entitled to require the Supplier to provide financial information in accordance with Paragraph 4.3.2(b).</w:t>
      </w:r>
    </w:p>
    <w:p w:rsidR="00000000" w:rsidDel="00000000" w:rsidP="00000000" w:rsidRDefault="00000000" w:rsidRPr="00000000" w14:paraId="000000B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Board confirmation</w:t>
      </w:r>
    </w:p>
    <w:p w:rsidR="00000000" w:rsidDel="00000000" w:rsidP="00000000" w:rsidRDefault="00000000" w:rsidRPr="00000000" w14:paraId="000000B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shd w:fill="auto" w:val="clear"/>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If the Contract has been specified as a Critical Service Contract under Paragraph 1.1 of Call-Off Schedule 24 (Corporate Resolution Planning)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rsidR="00000000" w:rsidDel="00000000" w:rsidP="00000000" w:rsidRDefault="00000000" w:rsidRPr="00000000" w14:paraId="000000B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a Financial Distress Event has occurred since the later of the Effective Date or the previous Board Confirmation or is subsisting; or</w:t>
      </w:r>
    </w:p>
    <w:p w:rsidR="00000000" w:rsidDel="00000000" w:rsidP="00000000" w:rsidRDefault="00000000" w:rsidRPr="00000000" w14:paraId="000000B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any matters which have occurred or are subsisting that could reasonably be expected to cause a Financial Distress Event.</w:t>
      </w:r>
    </w:p>
    <w:p w:rsidR="00000000" w:rsidDel="00000000" w:rsidP="00000000" w:rsidRDefault="00000000" w:rsidRPr="00000000" w14:paraId="000000B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in its preparation of the Board Confirmation it exercises due care and diligence and has made reasonable enquiry of all relevant Supplier Staff and other persons as is reasonably necessary to understand and confirm the position.</w:t>
      </w:r>
    </w:p>
    <w:p w:rsidR="00000000" w:rsidDel="00000000" w:rsidP="00000000" w:rsidRDefault="00000000" w:rsidRPr="00000000" w14:paraId="000000B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the first Board Confirmation to be provided under this Contract, the Supplier shall provide the Board Confirmation within 15 months of the Effective Date if earlier than the timescale for submission set out in Paragraph 8.1 of this Schedule.</w:t>
      </w:r>
    </w:p>
    <w:p w:rsidR="00000000" w:rsidDel="00000000" w:rsidP="00000000" w:rsidRDefault="00000000" w:rsidRPr="00000000" w14:paraId="000000B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both"/>
        <w:rPr>
          <w:rFonts w:ascii="Calibri" w:cs="Calibri" w:eastAsia="Calibri" w:hAnsi="Calibri"/>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spacing w:after="200" w:line="276" w:lineRule="auto"/>
        <w:jc w:val="left"/>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Annex 1: Rating Agencies and their standard Rating System</w:t>
      </w:r>
    </w:p>
    <w:p w:rsidR="00000000" w:rsidDel="00000000" w:rsidP="00000000" w:rsidRDefault="00000000" w:rsidRPr="00000000" w14:paraId="000000B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highlight w:val="yellow"/>
          <w:u w:val="none"/>
          <w:vertAlign w:val="baseline"/>
        </w:rPr>
      </w:pPr>
      <w:bookmarkStart w:colFirst="0" w:colLast="0" w:name="_1fob9te" w:id="2"/>
      <w:bookmarkEnd w:id="2"/>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[Rating Agency 1 – Framework level agency Dun &amp; Bradstreet]</w:t>
      </w:r>
    </w:p>
    <w:p w:rsidR="00000000" w:rsidDel="00000000" w:rsidP="00000000" w:rsidRDefault="00000000" w:rsidRPr="00000000" w14:paraId="000000B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[Rating Agency 2]</w:t>
      </w:r>
      <w:r w:rsidDel="00000000" w:rsidR="00000000" w:rsidRPr="00000000">
        <w:rPr>
          <w:rtl w:val="0"/>
        </w:rPr>
      </w:r>
    </w:p>
    <w:p w:rsidR="00000000" w:rsidDel="00000000" w:rsidP="00000000" w:rsidRDefault="00000000" w:rsidRPr="00000000" w14:paraId="000000BE">
      <w:pPr>
        <w:spacing w:after="200" w:line="276"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00" w:line="240" w:lineRule="auto"/>
        <w:ind w:left="0" w:right="0" w:firstLine="0"/>
        <w:jc w:val="both"/>
        <w:rPr>
          <w:rFonts w:ascii="Arial" w:cs="Arial" w:eastAsia="Arial" w:hAnsi="Arial"/>
          <w:b w:val="1"/>
          <w:i w:val="0"/>
          <w:smallCaps w:val="1"/>
          <w:strike w:val="0"/>
          <w:color w:val="000000"/>
          <w:sz w:val="24"/>
          <w:szCs w:val="24"/>
          <w:u w:val="none"/>
          <w:shd w:fill="auto" w:val="clear"/>
          <w:vertAlign w:val="baseline"/>
        </w:rPr>
      </w:pPr>
      <w:bookmarkStart w:colFirst="0" w:colLast="0" w:name="_3znysh7"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2</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Credit Ratings and Credit Rating Thresholds</w:t>
      </w:r>
      <w:r w:rsidDel="00000000" w:rsidR="00000000" w:rsidRPr="00000000">
        <w:rPr>
          <w:rtl w:val="0"/>
        </w:rPr>
      </w:r>
    </w:p>
    <w:tbl>
      <w:tblPr>
        <w:tblStyle w:val="Table4"/>
        <w:tblW w:w="6161.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3080"/>
        <w:gridCol w:w="3081"/>
        <w:tblGridChange w:id="0">
          <w:tblGrid>
            <w:gridCol w:w="3080"/>
            <w:gridCol w:w="3081"/>
          </w:tblGrid>
        </w:tblGridChange>
      </w:tblGrid>
      <w:tr>
        <w:trPr>
          <w:cantSplit w:val="0"/>
          <w:tblHeader w:val="0"/>
        </w:trPr>
        <w:tc>
          <w:tcPr>
            <w:tcBorders>
              <w:top w:color="000000" w:space="0" w:sz="4" w:val="single"/>
            </w:tcBorders>
            <w:shd w:fill="ffffff" w:val="clear"/>
          </w:tcPr>
          <w:p w:rsidR="00000000" w:rsidDel="00000000" w:rsidP="00000000" w:rsidRDefault="00000000" w:rsidRPr="00000000" w14:paraId="000000C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Entity</w:t>
            </w:r>
          </w:p>
        </w:tc>
        <w:tc>
          <w:tcPr>
            <w:tcBorders>
              <w:top w:color="000000" w:space="0" w:sz="4" w:val="single"/>
            </w:tcBorders>
            <w:shd w:fill="ffffff" w:val="clear"/>
          </w:tcPr>
          <w:p w:rsidR="00000000" w:rsidDel="00000000" w:rsidP="00000000" w:rsidRDefault="00000000" w:rsidRPr="00000000" w14:paraId="000000C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Credit rating (long term)</w:t>
            </w:r>
          </w:p>
        </w:tc>
      </w:tr>
      <w:tr>
        <w:trPr>
          <w:cantSplit w:val="0"/>
          <w:tblHeader w:val="0"/>
        </w:trPr>
        <w:tc>
          <w:tcPr>
            <w:shd w:fill="ffffff" w:val="clear"/>
          </w:tcPr>
          <w:p w:rsidR="00000000" w:rsidDel="00000000" w:rsidP="00000000" w:rsidRDefault="00000000" w:rsidRPr="00000000" w14:paraId="000000C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w:t>
            </w:r>
          </w:p>
        </w:tc>
        <w:tc>
          <w:tcPr>
            <w:shd w:fill="ffffff" w:val="clear"/>
          </w:tcPr>
          <w:p w:rsidR="00000000" w:rsidDel="00000000" w:rsidP="00000000" w:rsidRDefault="00000000" w:rsidRPr="00000000" w14:paraId="000000C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rating</w:t>
            </w:r>
          </w:p>
          <w:p w:rsidR="00000000" w:rsidDel="00000000" w:rsidP="00000000" w:rsidRDefault="00000000" w:rsidRPr="00000000" w14:paraId="000000C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Framework Financial Distress Thresholds:</w:t>
            </w:r>
          </w:p>
          <w:p w:rsidR="00000000" w:rsidDel="00000000" w:rsidP="00000000" w:rsidRDefault="00000000" w:rsidRPr="00000000" w14:paraId="000000C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Lot 1 = 30</w:t>
            </w:r>
          </w:p>
          <w:p w:rsidR="00000000" w:rsidDel="00000000" w:rsidP="00000000" w:rsidRDefault="00000000" w:rsidRPr="00000000" w14:paraId="000000C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Lot 2 = 25]</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C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[Guarantor]</w:t>
            </w:r>
            <w:r w:rsidDel="00000000" w:rsidR="00000000" w:rsidRPr="00000000">
              <w:rPr>
                <w:rtl w:val="0"/>
              </w:rPr>
            </w:r>
          </w:p>
        </w:tc>
        <w:tc>
          <w:tcPr>
            <w:shd w:fill="ffffff" w:val="clear"/>
          </w:tcPr>
          <w:p w:rsidR="00000000" w:rsidDel="00000000" w:rsidP="00000000" w:rsidRDefault="00000000" w:rsidRPr="00000000" w14:paraId="000000C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shd w:fill="ffffff" w:val="clear"/>
          </w:tcPr>
          <w:p w:rsidR="00000000" w:rsidDel="00000000" w:rsidP="00000000" w:rsidRDefault="00000000" w:rsidRPr="00000000" w14:paraId="000000C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[Key Subcontractor]</w:t>
            </w:r>
          </w:p>
        </w:tc>
        <w:tc>
          <w:tcPr>
            <w:tcBorders>
              <w:bottom w:color="000000" w:space="0" w:sz="4" w:val="single"/>
            </w:tcBorders>
            <w:shd w:fill="ffffff" w:val="clear"/>
          </w:tcPr>
          <w:p w:rsidR="00000000" w:rsidDel="00000000" w:rsidP="00000000" w:rsidRDefault="00000000" w:rsidRPr="00000000" w14:paraId="000000C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spacing w:after="200" w:line="276"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3: Calculation methodology for Financial Indicators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bookmarkStart w:colFirst="0" w:colLast="0" w:name="_2et92p0" w:id="4"/>
      <w:bookmarkEnd w:id="4"/>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[Guidance: Amend this section as appropriate to reflect the calculation methodology for those Financial Indicators that are selected for inclusion in Paragraph 5.1 of this Schedule]</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it uses the following general and specific methodologies for calculating the Financial Indicators against the Financial Target Thresholds: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General methodology</w:t>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Terminology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tyjcwt" w:id="5"/>
      <w:bookmarkEnd w:id="5"/>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Groups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the entity is the holding company of a group and prepares consolidated financial statements, the consolidated figures should be used.</w:t>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Foreign currency conversion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Figures denominated in foreign currencies should be converted at the exchange rate in force at the relevant date for which the Financial Indicator is being calculated.</w:t>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Treatment of non-underlying items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Financial Indicators should be based on the figures in the financial statements before adjusting for non-underlying items.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Specific Methodology</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6478"/>
        <w:tblGridChange w:id="0">
          <w:tblGrid>
            <w:gridCol w:w="2538"/>
            <w:gridCol w:w="6478"/>
          </w:tblGrid>
        </w:tblGridChange>
      </w:tblGrid>
      <w:tr>
        <w:trPr>
          <w:cantSplit w:val="0"/>
          <w:tblHeader w:val="0"/>
        </w:trPr>
        <w:tc>
          <w:tcPr>
            <w:shd w:fill="d9d9d9" w:val="clea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Indicator</w:t>
            </w:r>
          </w:p>
        </w:tc>
        <w:tc>
          <w:tcPr>
            <w:shd w:fill="d9d9d9" w:val="clea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Specific Methodology</w:t>
            </w:r>
          </w:p>
        </w:tc>
      </w:tr>
      <w:tr>
        <w:trPr>
          <w:cantSplit w:val="0"/>
          <w:tblHeader w:val="0"/>
        </w:trPr>
        <w:tc>
          <w:tcPr>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Operating Margin</w:t>
            </w:r>
          </w:p>
        </w:tc>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elements used to calculate the Operating Margin should be shown on the face of the Income Statement in a standard set of financial statements.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Figures for Operating Profit and Revenue should exclude the entity’s share of the results of any joint ventures or Associates.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 entity has an operating loss (i.e. where the operating profit is negative), Operating Profit should be taken to be zero.</w:t>
            </w:r>
          </w:p>
        </w:tc>
      </w:tr>
      <w:tr>
        <w:trPr>
          <w:cantSplit w:val="0"/>
          <w:tblHeader w:val="0"/>
        </w:trPr>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Free Cash Flow to Net Debt Ratio</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Net Debt to EBITDA Ratio</w:t>
            </w:r>
          </w:p>
        </w:tc>
        <w:tc>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Free Cash Flow</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Net Cash Flow from Operating Activities – Capital Expenditure</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Capital Expenditure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Purchase of property, plant &amp; equipment + purchase of intangible assets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Net Debt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Bank overdrafts + Loans and borrowings + Finance Leases + Deferred consideration payable – Cash and cash equivalents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majority of the elements used to calculate the Free Cash Flow to Net Debt Ratio should be shown on the face of the Statement of Cash Flows and the Balance Sheet in a standard set of financial statements.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Net Cash Flow from Operating Activities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should be stated after deduction of interest and tax paid.</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Capital expenditure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Net Debt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Deferred consideration payable should be included in Net Debt despite typically being non-interest bearing.</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Cash and cash equivalents should include short-term financial investments shown in current assets.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Net debt is negative (i.e. an entity has net cash), the relevant Financial Target Threshold should be treated as having been met.</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Net Debt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Bank overdrafts + Loans and borrowings + Finance leases + Deferred consideration payable – Cash and cash equivalents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EBITDA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Operating profit + Depreciation charge + Amortisation charge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Net Debt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Deferred consideration payable should be included in Net Debt despite typically being non-interest bearing.</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Cash and cash equivalents should include short-term financial investments shown in current assets.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Net debt is negative (i.e. an entity has net cash), the relevant Financial Target Threshold should be treated as having been met.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bookmarkStart w:colFirst="0" w:colLast="0" w:name="_3dy6vkm" w:id="6"/>
            <w:bookmarkEnd w:id="6"/>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EBITDA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Operating profit should be shown on the face of the Income Statement and, for the purposes of calculating this Financial Indicator, should include the entity’s share of the results of any joint ventures or Associates.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trPr>
          <w:cantSplit w:val="0"/>
          <w:tblHeader w:val="0"/>
        </w:trPr>
        <w:tc>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Net Debt + Net  Pension Deficit to EBITDA ratio</w:t>
            </w:r>
          </w:p>
        </w:tc>
        <w:tc>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Net Debt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Bank overdrafts + Loans and borrowings + Finance leases + Deferred consideration payable – Cash and cash equivalents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Net Pension Deficit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Retirement Benefit Obligations – Retirement Benefit Assets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EBITDA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Operating profit + Depreciation charge + Amortisation charge</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Net Debt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non-designated hedges). Borrowings should also include balances owed to other group members.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Deferred consideration payable should be included in Net Debt despite typically being non-interest bearing.</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Cash and cash equivalents should include short-term financial investments shown in current assets.</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Net Pension Deficit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‘Net Debt + Net Pension Deficit’ is negative, the relevant Financial Target Threshold should be treated as having been met.</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EBITDA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Operating profit should be shown on the face of the Income Statement and, for the purposes of calculating this Financial Indicator, should include the entity’s share of the results of any joint ventures or Associates.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1t3h5sf"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depreciation and amortisation charges for the period may be found on the face of the Statement of Cash Flows or in a Note to the Accounts.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EBITDA is negative, the relevant Financial Target Threshold should be treated as not having been met (unless ‘Net Debt + Net Pension Deficit’ is also negative, in which case the relevant Financial Target Threshold should be regarded as having been met).</w:t>
            </w:r>
          </w:p>
        </w:tc>
      </w:tr>
      <w:tr>
        <w:trPr>
          <w:cantSplit w:val="0"/>
          <w:tblHeader w:val="0"/>
        </w:trPr>
        <w:tc>
          <w:tcPr>
            <w:vAlign w:val="cente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Net Interest Paid Cover</w:t>
            </w:r>
          </w:p>
        </w:tc>
        <w:tc>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Earnings Before Interest and Tax</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Operating profit</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Net Interest Paid</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Interest paid – Interest received</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profit should be shown on the face of the Income Statement in a standard set of financial statements and, for the purposes of calculating this Financial Indicator, should include the entity’s share of the results of any joint ventures or Associates.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Interest received and interest paid should be shown on the face of the Cash Flow statement.</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Net interest paid is negative (i.e. the entity has net interest received), the relevant Financial Target Threshold should be treated as having been met.</w:t>
            </w:r>
          </w:p>
        </w:tc>
      </w:tr>
      <w:tr>
        <w:trPr>
          <w:cantSplit w:val="0"/>
          <w:tblHeader w:val="0"/>
        </w:trPr>
        <w:tc>
          <w:tcPr>
            <w:vAlign w:val="cente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Acid Ratio</w:t>
            </w:r>
          </w:p>
        </w:tc>
        <w:tc>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elements that are used to calculate the Acid Ratio are available on the face of the Balance Sheet in a standard set of financial statements.</w:t>
            </w:r>
          </w:p>
        </w:tc>
      </w:tr>
      <w:tr>
        <w:trPr>
          <w:cantSplit w:val="0"/>
          <w:tblHeader w:val="0"/>
        </w:trPr>
        <w:tc>
          <w:tcPr>
            <w:vAlign w:val="cente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Net Asset value</w:t>
            </w:r>
          </w:p>
        </w:tc>
        <w:tc>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trPr>
          <w:cantSplit w:val="0"/>
          <w:tblHeader w:val="0"/>
        </w:trPr>
        <w:tc>
          <w:tcPr>
            <w:vAlign w:val="cente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Group Exposure Ratio</w:t>
            </w:r>
          </w:p>
        </w:tc>
        <w:tc>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Group Exposure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Balances owed by Group Undertakings + Contingent liabilities assumed in support of Group Undertakings</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Gross Assets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Fixed Assets + Current Assets</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Group Exposure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Balances owed by (ie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many cases an entity may not have assumed any contingent liabilities in support of Group Undertakings, in particular where an entity is not a member of a group or is itself the ultimate holding company of the group.</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Gross Assets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Fixed assets and Current assets are shown on the face of the Balance Sheet</w:t>
            </w:r>
          </w:p>
        </w:tc>
      </w:tr>
    </w:tbl>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spacing w:after="200" w:line="276"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00" w:line="240" w:lineRule="auto"/>
        <w:ind w:left="0" w:right="0" w:firstLine="0"/>
        <w:jc w:val="left"/>
        <w:rPr>
          <w:rFonts w:ascii="Arial" w:cs="Arial" w:eastAsia="Arial" w:hAnsi="Arial"/>
          <w:b w:val="1"/>
          <w:i w:val="0"/>
          <w:smallCaps w:val="1"/>
          <w:strike w:val="0"/>
          <w:color w:val="000000"/>
          <w:sz w:val="24"/>
          <w:szCs w:val="24"/>
          <w:u w:val="none"/>
          <w:shd w:fill="auto" w:val="clear"/>
          <w:vertAlign w:val="baseline"/>
        </w:rPr>
      </w:pPr>
      <w:bookmarkStart w:colFirst="0" w:colLast="0" w:name="_4d34og8" w:id="8"/>
      <w:bookmarkEnd w:id="8"/>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Annex 4: Board Confirmation</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Name:</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 Reference Number:</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2s8eyo1"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Board of Directors acknowledge the requirements set out at paragraph 8 of Joint Schedule 7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Financial Distress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confirm that the Supplier has exercised due care and diligence and made reasonable enquiry of all relevant Supplier Staff and other persons as is reasonably necessary to enable the Board to prepare this statement.</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Board of Directors confirms, to the best of its knowledge and belief, that as at the date of this Board Confirmation it is not aware of and has no knowledge:</w:t>
      </w:r>
    </w:p>
    <w:p w:rsidR="00000000" w:rsidDel="00000000" w:rsidP="00000000" w:rsidRDefault="00000000" w:rsidRPr="00000000" w14:paraId="0000013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720"/>
          <w:tab w:val="left" w:leader="none" w:pos="1803"/>
        </w:tabs>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a Financial Distress Event has occurred since the later of the previous Board Confirmation and the Effective Date or is subsisting; or</w:t>
      </w:r>
    </w:p>
    <w:p w:rsidR="00000000" w:rsidDel="00000000" w:rsidP="00000000" w:rsidRDefault="00000000" w:rsidRPr="00000000" w14:paraId="0000013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720"/>
          <w:tab w:val="left" w:leader="none" w:pos="1803"/>
        </w:tabs>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any matters which have occurred or are subsisting that could reasonably be expected to cause a Financial Distress Event</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behalf of the Board of Directors:</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Chair</w:t>
        <w:tab/>
        <w:tab/>
        <w:t xml:space="preserve">…………………………………</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Signed</w:t>
        <w:tab/>
        <w:tab/>
        <w:t xml:space="preserve">…………………………………</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tab/>
        <w:tab/>
        <w:t xml:space="preserve">…………………………………</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w:t>
        <w:tab/>
        <w:tab/>
        <w:t xml:space="preserve">…………………………………</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Signed</w:t>
        <w:tab/>
        <w:tab/>
        <w:t xml:space="preserve">…………………………………</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tab/>
        <w:tab/>
        <w:t xml:space="preserve">…………………………………</w:t>
      </w:r>
    </w:p>
    <w:p w:rsidR="00000000" w:rsidDel="00000000" w:rsidP="00000000" w:rsidRDefault="00000000" w:rsidRPr="00000000" w14:paraId="00000147">
      <w:pPr>
        <w:spacing w:after="200" w:line="276" w:lineRule="auto"/>
        <w:jc w:val="left"/>
        <w:rPr>
          <w:rFonts w:ascii="Arial" w:cs="Arial" w:eastAsia="Arial" w:hAnsi="Arial"/>
          <w:sz w:val="24"/>
          <w:szCs w:val="24"/>
        </w:rPr>
      </w:pPr>
      <w:bookmarkStart w:colFirst="0" w:colLast="0" w:name="_17dp8vu" w:id="10"/>
      <w:bookmarkEnd w:id="10"/>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tab/>
      <w:t xml:space="preserve">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v3.6</w:t>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tabs>
        <w:tab w:val="center" w:leader="none" w:pos="4513"/>
        <w:tab w:val="right" w:leader="none" w:pos="9026"/>
      </w:tabs>
      <w:spacing w:after="0" w:lineRule="auto"/>
      <w:rPr>
        <w:color w:val="bfbfbf"/>
      </w:rPr>
    </w:pPr>
    <w:r w:rsidDel="00000000" w:rsidR="00000000" w:rsidRPr="00000000">
      <w:rPr>
        <w:color w:val="bfbfbf"/>
        <w:rtl w:val="0"/>
      </w:rPr>
      <w:t xml:space="preserve">Framework Ref: RM</w:t>
      <w:tab/>
      <w:t xml:space="preserve">                                           </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bfbfbf"/>
        <w:sz w:val="22"/>
        <w:szCs w:val="22"/>
        <w:u w:val="none"/>
        <w:shd w:fill="auto" w:val="clear"/>
        <w:vertAlign w:val="baseline"/>
      </w:rPr>
    </w:pPr>
    <w:r w:rsidDel="00000000" w:rsidR="00000000" w:rsidRPr="00000000">
      <w:rPr>
        <w:rFonts w:ascii="Calibri" w:cs="Calibri" w:eastAsia="Calibri" w:hAnsi="Calibri"/>
        <w:b w:val="0"/>
        <w:i w:val="0"/>
        <w:smallCaps w:val="0"/>
        <w:strike w:val="0"/>
        <w:color w:val="bfbfbf"/>
        <w:sz w:val="22"/>
        <w:szCs w:val="22"/>
        <w:u w:val="none"/>
        <w:shd w:fill="auto" w:val="clear"/>
        <w:vertAlign w:val="baseline"/>
        <w:rtl w:val="0"/>
      </w:rPr>
      <w:t xml:space="preserve">Project Version: v1.0</w:t>
      <w:tab/>
      <w:tab/>
      <w:tab/>
      <w:t xml:space="preserve"> </w:t>
    </w:r>
    <w:r w:rsidDel="00000000" w:rsidR="00000000" w:rsidRPr="00000000">
      <w:rPr>
        <w:rFonts w:ascii="Calibri" w:cs="Calibri" w:eastAsia="Calibri" w:hAnsi="Calibri"/>
        <w:b w:val="0"/>
        <w:i w:val="0"/>
        <w:smallCaps w:val="0"/>
        <w:strike w:val="0"/>
        <w:color w:val="bfbfbf"/>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2">
    <w:pPr>
      <w:spacing w:after="0" w:lineRule="auto"/>
      <w:rPr>
        <w:rFonts w:ascii="Arial" w:cs="Arial" w:eastAsia="Arial" w:hAnsi="Arial"/>
        <w:color w:val="bfbfbf"/>
        <w:sz w:val="20"/>
        <w:szCs w:val="20"/>
      </w:rPr>
    </w:pPr>
    <w:r w:rsidDel="00000000" w:rsidR="00000000" w:rsidRPr="00000000">
      <w:rPr>
        <w:color w:val="bfbfbf"/>
        <w:rtl w:val="0"/>
      </w:rPr>
      <w:t xml:space="preserve">Model Version : v3.0</w:t>
      <w:tab/>
      <w:tab/>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Joint Schedule 7 (Financial Difficulties)</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2023</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gov.uk/government/publications/strategic-suppliers" TargetMode="Externa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