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956" w:rsidRDefault="00F16956" w:rsidP="00AD5C61">
      <w:pPr>
        <w:pStyle w:val="Appendix1"/>
        <w:numPr>
          <w:ilvl w:val="0"/>
          <w:numId w:val="0"/>
        </w:numPr>
        <w:spacing w:before="360"/>
      </w:pPr>
      <w:bookmarkStart w:id="0" w:name="_Toc437593961"/>
      <w:r>
        <w:t>Supplementary rock density information</w:t>
      </w:r>
      <w:bookmarkEnd w:id="0"/>
    </w:p>
    <w:p w:rsidR="00F16956" w:rsidRDefault="00F16956" w:rsidP="00F16956">
      <w:r>
        <w:t xml:space="preserve">The supplementary information on rock densities comprises digital files compiled during the analysis of digital density logs. </w:t>
      </w:r>
    </w:p>
    <w:p w:rsidR="00F16956" w:rsidRPr="001D160F" w:rsidRDefault="00F16956" w:rsidP="00F16956">
      <w:pPr>
        <w:pStyle w:val="Appendix2"/>
      </w:pPr>
      <w:bookmarkStart w:id="1" w:name="_Toc437593962"/>
      <w:r w:rsidRPr="001D160F">
        <w:t>Density logs for individual wells</w:t>
      </w:r>
      <w:bookmarkEnd w:id="1"/>
    </w:p>
    <w:p w:rsidR="00F16956" w:rsidRDefault="00F16956" w:rsidP="00F16956">
      <w:r w:rsidRPr="00DC165B">
        <w:t xml:space="preserve">Plots of the density logs for individual wells are provided in the </w:t>
      </w:r>
      <w:r>
        <w:t xml:space="preserve">PDF files described below. </w:t>
      </w:r>
      <w:r w:rsidRPr="00DC165B">
        <w:t xml:space="preserve">In these the corrected saturated bulk density values from the log are plotted against depth below seabed and annotated with </w:t>
      </w:r>
      <w:r>
        <w:t>markers</w:t>
      </w:r>
      <w:r w:rsidRPr="00DC165B">
        <w:t xml:space="preserve"> based on the DECC well tops database (i.e. not including refinements resulting from the present project)</w:t>
      </w:r>
      <w:r>
        <w:t xml:space="preserve">. </w:t>
      </w:r>
      <w:r w:rsidRPr="00DC165B">
        <w:t>An example of one of these plots is provided in Figure 10 of this report.</w:t>
      </w:r>
      <w:r>
        <w:t xml:space="preserve"> Some wells used have been omitted from these collections for confidentiality reasons.</w:t>
      </w:r>
    </w:p>
    <w:tbl>
      <w:tblPr>
        <w:tblStyle w:val="TableGrid"/>
        <w:tblW w:w="0" w:type="auto"/>
        <w:tblLook w:val="04A0" w:firstRow="1" w:lastRow="0" w:firstColumn="1" w:lastColumn="0" w:noHBand="0" w:noVBand="1"/>
      </w:tblPr>
      <w:tblGrid>
        <w:gridCol w:w="3936"/>
        <w:gridCol w:w="5306"/>
      </w:tblGrid>
      <w:tr w:rsidR="00F16956" w:rsidTr="00CB6009">
        <w:tc>
          <w:tcPr>
            <w:tcW w:w="3936" w:type="dxa"/>
            <w:vAlign w:val="center"/>
          </w:tcPr>
          <w:p w:rsidR="00F16956" w:rsidRPr="00A663A2" w:rsidRDefault="00F16956" w:rsidP="00975AC5">
            <w:pPr>
              <w:jc w:val="left"/>
              <w:rPr>
                <w:rFonts w:ascii="Arial" w:hAnsi="Arial" w:cs="Arial"/>
                <w:sz w:val="20"/>
              </w:rPr>
            </w:pPr>
            <w:r>
              <w:rPr>
                <w:rFonts w:ascii="Arial" w:hAnsi="Arial" w:cs="Arial"/>
                <w:sz w:val="20"/>
              </w:rPr>
              <w:t>WellPlotsWith</w:t>
            </w:r>
            <w:r w:rsidR="00975AC5">
              <w:rPr>
                <w:rFonts w:ascii="Arial" w:hAnsi="Arial" w:cs="Arial"/>
                <w:sz w:val="20"/>
              </w:rPr>
              <w:t>Model</w:t>
            </w:r>
            <w:r>
              <w:rPr>
                <w:rFonts w:ascii="Arial" w:hAnsi="Arial" w:cs="Arial"/>
                <w:sz w:val="20"/>
              </w:rPr>
              <w:t>Markers</w:t>
            </w:r>
            <w:r w:rsidRPr="00A663A2">
              <w:rPr>
                <w:rFonts w:ascii="Arial" w:hAnsi="Arial" w:cs="Arial"/>
                <w:sz w:val="20"/>
              </w:rPr>
              <w:t>.pdf</w:t>
            </w:r>
          </w:p>
        </w:tc>
        <w:tc>
          <w:tcPr>
            <w:tcW w:w="5306" w:type="dxa"/>
            <w:vAlign w:val="center"/>
          </w:tcPr>
          <w:p w:rsidR="00F16956" w:rsidRPr="00A663A2" w:rsidRDefault="00F16956" w:rsidP="00CB6009">
            <w:pPr>
              <w:jc w:val="left"/>
              <w:rPr>
                <w:rFonts w:ascii="Arial" w:hAnsi="Arial" w:cs="Arial"/>
                <w:sz w:val="20"/>
              </w:rPr>
            </w:pPr>
            <w:r>
              <w:rPr>
                <w:rFonts w:ascii="Arial" w:hAnsi="Arial" w:cs="Arial"/>
                <w:sz w:val="20"/>
              </w:rPr>
              <w:t>Plots of density logs from wells used in the study, with the regionally interpreted markers used in the gravity modelling superimposed. TC = top Chalk, BC = base Chalk, TZ = top Zechstein, BZ = base Zechstein, LP = top Carboniferous and older.</w:t>
            </w:r>
          </w:p>
        </w:tc>
      </w:tr>
      <w:tr w:rsidR="00F16956" w:rsidTr="00CB6009">
        <w:tc>
          <w:tcPr>
            <w:tcW w:w="3936" w:type="dxa"/>
            <w:vAlign w:val="center"/>
          </w:tcPr>
          <w:p w:rsidR="00F16956" w:rsidRPr="00A663A2" w:rsidRDefault="00F16956" w:rsidP="00975AC5">
            <w:pPr>
              <w:jc w:val="left"/>
              <w:rPr>
                <w:rFonts w:ascii="Arial" w:hAnsi="Arial" w:cs="Arial"/>
                <w:sz w:val="20"/>
              </w:rPr>
            </w:pPr>
            <w:r w:rsidRPr="00A663A2">
              <w:rPr>
                <w:rFonts w:ascii="Arial" w:hAnsi="Arial" w:cs="Arial"/>
                <w:sz w:val="20"/>
              </w:rPr>
              <w:t>Well</w:t>
            </w:r>
            <w:r>
              <w:rPr>
                <w:rFonts w:ascii="Arial" w:hAnsi="Arial" w:cs="Arial"/>
                <w:sz w:val="20"/>
              </w:rPr>
              <w:t>PlotsWith</w:t>
            </w:r>
            <w:r w:rsidR="00975AC5">
              <w:rPr>
                <w:rFonts w:ascii="Arial" w:hAnsi="Arial" w:cs="Arial"/>
                <w:sz w:val="20"/>
              </w:rPr>
              <w:t>ChronostratMarkers</w:t>
            </w:r>
            <w:r w:rsidRPr="00A663A2">
              <w:rPr>
                <w:rFonts w:ascii="Arial" w:hAnsi="Arial" w:cs="Arial"/>
                <w:sz w:val="20"/>
              </w:rPr>
              <w:t>.pdf</w:t>
            </w:r>
          </w:p>
        </w:tc>
        <w:tc>
          <w:tcPr>
            <w:tcW w:w="5306" w:type="dxa"/>
            <w:vAlign w:val="center"/>
          </w:tcPr>
          <w:p w:rsidR="00F16956" w:rsidRPr="00A663A2" w:rsidRDefault="00F16956" w:rsidP="00CB6009">
            <w:pPr>
              <w:jc w:val="left"/>
              <w:rPr>
                <w:rFonts w:ascii="Arial" w:hAnsi="Arial" w:cs="Arial"/>
                <w:sz w:val="20"/>
              </w:rPr>
            </w:pPr>
            <w:r>
              <w:rPr>
                <w:rFonts w:ascii="Arial" w:hAnsi="Arial" w:cs="Arial"/>
                <w:sz w:val="20"/>
              </w:rPr>
              <w:t>Plots of density logs from wells used in the study, with DECC well tops superimposed. Q = top Quaternary, N = top Neogene, G = top Palaeogene, K = top Cretaceous, J = top Jurassic, TU = top Upper Triassic, TL = top Lower Triassic, T = top Triassic (undifferentiated), PU = top Upper Permian, PL = top Lower Permian, P = top Permian (undifferentiated), C = top Carboniferous, D = top Devonian</w:t>
            </w:r>
          </w:p>
        </w:tc>
      </w:tr>
    </w:tbl>
    <w:p w:rsidR="00F16956" w:rsidRDefault="00F16956" w:rsidP="00F16956"/>
    <w:p w:rsidR="00F16956" w:rsidRPr="001D160F" w:rsidRDefault="00F16956" w:rsidP="00F16956">
      <w:pPr>
        <w:pStyle w:val="Appendix2"/>
      </w:pPr>
      <w:bookmarkStart w:id="2" w:name="_Toc437593963"/>
      <w:r w:rsidRPr="001D160F">
        <w:t>Summary densities</w:t>
      </w:r>
      <w:bookmarkEnd w:id="2"/>
    </w:p>
    <w:p w:rsidR="00F16956" w:rsidRDefault="00F16956" w:rsidP="00F16956">
      <w:r>
        <w:t xml:space="preserve">For each model layer defined by regional seismic picks, the logged density values were </w:t>
      </w:r>
      <w:bookmarkStart w:id="3" w:name="_GoBack"/>
      <w:r>
        <w:t xml:space="preserve">collated and used to produce summary plots shown in the first PDF file listed below. At each </w:t>
      </w:r>
      <w:bookmarkEnd w:id="3"/>
      <w:r>
        <w:t xml:space="preserve">well, the average density for each layer was computed, and these values are given in the spreadsheet. Finally, plots were also produced summarising the density values according to the DECC </w:t>
      </w:r>
      <w:proofErr w:type="spellStart"/>
      <w:r>
        <w:t>chronostratigraphic</w:t>
      </w:r>
      <w:proofErr w:type="spellEnd"/>
      <w:r>
        <w:t xml:space="preserve"> intervals, and these are given in the second PDF file listed below.</w:t>
      </w:r>
    </w:p>
    <w:tbl>
      <w:tblPr>
        <w:tblStyle w:val="TableGrid"/>
        <w:tblW w:w="0" w:type="auto"/>
        <w:tblLook w:val="04A0" w:firstRow="1" w:lastRow="0" w:firstColumn="1" w:lastColumn="0" w:noHBand="0" w:noVBand="1"/>
      </w:tblPr>
      <w:tblGrid>
        <w:gridCol w:w="3929"/>
        <w:gridCol w:w="5313"/>
      </w:tblGrid>
      <w:tr w:rsidR="00F16956" w:rsidTr="00CB6009">
        <w:tc>
          <w:tcPr>
            <w:tcW w:w="3929" w:type="dxa"/>
            <w:vAlign w:val="center"/>
          </w:tcPr>
          <w:p w:rsidR="00F16956" w:rsidRPr="00A663A2" w:rsidRDefault="00F16956" w:rsidP="00CB6009">
            <w:pPr>
              <w:spacing w:before="60" w:after="60"/>
              <w:jc w:val="left"/>
              <w:rPr>
                <w:rFonts w:ascii="Arial" w:hAnsi="Arial" w:cs="Arial"/>
                <w:sz w:val="20"/>
              </w:rPr>
            </w:pPr>
            <w:r>
              <w:rPr>
                <w:rFonts w:ascii="Arial" w:hAnsi="Arial" w:cs="Arial"/>
                <w:sz w:val="20"/>
              </w:rPr>
              <w:t>SummaryPlotsByModelLayer</w:t>
            </w:r>
            <w:r w:rsidRPr="00A663A2">
              <w:rPr>
                <w:rFonts w:ascii="Arial" w:hAnsi="Arial" w:cs="Arial"/>
                <w:sz w:val="20"/>
              </w:rPr>
              <w:t>.pdf</w:t>
            </w:r>
          </w:p>
        </w:tc>
        <w:tc>
          <w:tcPr>
            <w:tcW w:w="5313" w:type="dxa"/>
            <w:vAlign w:val="center"/>
          </w:tcPr>
          <w:p w:rsidR="00F16956" w:rsidRPr="00A663A2" w:rsidRDefault="00F16956" w:rsidP="00CB6009">
            <w:pPr>
              <w:spacing w:before="60" w:after="60"/>
              <w:jc w:val="left"/>
              <w:rPr>
                <w:rFonts w:ascii="Arial" w:hAnsi="Arial" w:cs="Arial"/>
                <w:sz w:val="20"/>
              </w:rPr>
            </w:pPr>
            <w:r>
              <w:rPr>
                <w:rFonts w:ascii="Arial" w:hAnsi="Arial" w:cs="Arial"/>
                <w:sz w:val="20"/>
              </w:rPr>
              <w:t>Summary density plots for the five model layers defined by regional seismic picks. Data points are coloured by quadrant number.</w:t>
            </w:r>
          </w:p>
        </w:tc>
      </w:tr>
      <w:tr w:rsidR="00F16956" w:rsidTr="00CB6009">
        <w:tc>
          <w:tcPr>
            <w:tcW w:w="3929" w:type="dxa"/>
            <w:vAlign w:val="center"/>
          </w:tcPr>
          <w:p w:rsidR="00F16956" w:rsidRDefault="00F16956" w:rsidP="00CB6009">
            <w:pPr>
              <w:spacing w:before="60" w:after="60"/>
              <w:jc w:val="left"/>
              <w:rPr>
                <w:rFonts w:ascii="Arial" w:hAnsi="Arial" w:cs="Arial"/>
                <w:sz w:val="20"/>
              </w:rPr>
            </w:pPr>
            <w:r>
              <w:rPr>
                <w:rFonts w:ascii="Arial" w:hAnsi="Arial" w:cs="Arial"/>
                <w:sz w:val="20"/>
              </w:rPr>
              <w:t>AverageWellDensitiesPerModelLayer.xlsx</w:t>
            </w:r>
          </w:p>
        </w:tc>
        <w:tc>
          <w:tcPr>
            <w:tcW w:w="5313" w:type="dxa"/>
            <w:vAlign w:val="center"/>
          </w:tcPr>
          <w:p w:rsidR="00F16956" w:rsidRDefault="00F16956" w:rsidP="00CB6009">
            <w:pPr>
              <w:spacing w:before="60" w:after="60"/>
              <w:jc w:val="left"/>
              <w:rPr>
                <w:rFonts w:ascii="Arial" w:hAnsi="Arial" w:cs="Arial"/>
                <w:sz w:val="20"/>
              </w:rPr>
            </w:pPr>
            <w:r>
              <w:rPr>
                <w:rFonts w:ascii="Arial" w:hAnsi="Arial" w:cs="Arial"/>
                <w:sz w:val="20"/>
              </w:rPr>
              <w:t>Spreadsheet of average density per model layer for each well used in the study.</w:t>
            </w:r>
          </w:p>
        </w:tc>
      </w:tr>
      <w:tr w:rsidR="00F16956" w:rsidTr="00CB6009">
        <w:tc>
          <w:tcPr>
            <w:tcW w:w="3929" w:type="dxa"/>
            <w:vAlign w:val="center"/>
          </w:tcPr>
          <w:p w:rsidR="00F16956" w:rsidRDefault="00F16956" w:rsidP="00CB6009">
            <w:pPr>
              <w:spacing w:before="60" w:after="60"/>
              <w:jc w:val="left"/>
              <w:rPr>
                <w:rFonts w:ascii="Arial" w:hAnsi="Arial" w:cs="Arial"/>
                <w:sz w:val="20"/>
              </w:rPr>
            </w:pPr>
            <w:r>
              <w:rPr>
                <w:rFonts w:ascii="Arial" w:hAnsi="Arial" w:cs="Arial"/>
                <w:sz w:val="20"/>
              </w:rPr>
              <w:t>SummaryPlotsByInterval.pdf</w:t>
            </w:r>
          </w:p>
        </w:tc>
        <w:tc>
          <w:tcPr>
            <w:tcW w:w="5313" w:type="dxa"/>
            <w:vAlign w:val="center"/>
          </w:tcPr>
          <w:p w:rsidR="00F16956" w:rsidRDefault="00F16956" w:rsidP="00CB6009">
            <w:pPr>
              <w:spacing w:before="60" w:after="60"/>
              <w:jc w:val="left"/>
              <w:rPr>
                <w:rFonts w:ascii="Arial" w:hAnsi="Arial" w:cs="Arial"/>
                <w:sz w:val="20"/>
              </w:rPr>
            </w:pPr>
            <w:r>
              <w:rPr>
                <w:rFonts w:ascii="Arial" w:hAnsi="Arial" w:cs="Arial"/>
                <w:sz w:val="20"/>
              </w:rPr>
              <w:t xml:space="preserve">Summary density plots by </w:t>
            </w:r>
            <w:proofErr w:type="spellStart"/>
            <w:r>
              <w:rPr>
                <w:rFonts w:ascii="Arial" w:hAnsi="Arial" w:cs="Arial"/>
                <w:sz w:val="20"/>
              </w:rPr>
              <w:t>chronostratigraphic</w:t>
            </w:r>
            <w:proofErr w:type="spellEnd"/>
            <w:r>
              <w:rPr>
                <w:rFonts w:ascii="Arial" w:hAnsi="Arial" w:cs="Arial"/>
                <w:sz w:val="20"/>
              </w:rPr>
              <w:t xml:space="preserve"> interval (Q = Quaternary, N = Neogene, G = Palaeogene, K = Cretaceous, J = Jurassic, T = Triassic, PU = Upper Permian, PL = Lower Permian, C = Carboniferous, D = Devonian)</w:t>
            </w:r>
          </w:p>
        </w:tc>
      </w:tr>
    </w:tbl>
    <w:p w:rsidR="00F16956" w:rsidRDefault="00F16956" w:rsidP="00F16956"/>
    <w:p w:rsidR="00F16956" w:rsidRPr="001D160F" w:rsidRDefault="00F16956" w:rsidP="00F16956">
      <w:pPr>
        <w:pStyle w:val="Appendix2"/>
      </w:pPr>
      <w:bookmarkStart w:id="4" w:name="_Toc437593964"/>
      <w:r w:rsidRPr="001D160F">
        <w:t>Density maps</w:t>
      </w:r>
      <w:bookmarkEnd w:id="4"/>
    </w:p>
    <w:p w:rsidR="00F16956" w:rsidRDefault="00F16956" w:rsidP="00F16956">
      <w:r>
        <w:t xml:space="preserve">For each layer, the average value per well was mapped out across the study area using kriging in ArcGIS’s </w:t>
      </w:r>
      <w:proofErr w:type="spellStart"/>
      <w:r>
        <w:t>Ge</w:t>
      </w:r>
      <w:r w:rsidR="003B07C4">
        <w:t>ostatistical</w:t>
      </w:r>
      <w:proofErr w:type="spellEnd"/>
      <w:r w:rsidR="003B07C4">
        <w:t xml:space="preserve"> Wizard. For the upper three layers</w:t>
      </w:r>
      <w:r>
        <w:t xml:space="preserve"> </w:t>
      </w:r>
      <w:r w:rsidR="003B07C4">
        <w:t xml:space="preserve">(post-Zechstein) </w:t>
      </w:r>
      <w:r>
        <w:t xml:space="preserve">ordinary </w:t>
      </w:r>
      <w:r>
        <w:lastRenderedPageBreak/>
        <w:t xml:space="preserve">kriging was used, using the ‘stable’ </w:t>
      </w:r>
      <w:proofErr w:type="spellStart"/>
      <w:r>
        <w:t>variogram</w:t>
      </w:r>
      <w:proofErr w:type="spellEnd"/>
      <w:r>
        <w:t xml:space="preserve"> model, while for layer 5 </w:t>
      </w:r>
      <w:r w:rsidR="003B07C4">
        <w:t xml:space="preserve">(pre-Zechstein) </w:t>
      </w:r>
      <w:r>
        <w:t xml:space="preserve">empirical Bayesian kriging was used. The interpolation of layer 4 </w:t>
      </w:r>
      <w:r w:rsidR="003B07C4">
        <w:t xml:space="preserve">(Zechstein) </w:t>
      </w:r>
      <w:r>
        <w:t>was handled using regression kriging in the ‘</w:t>
      </w:r>
      <w:proofErr w:type="spellStart"/>
      <w:r>
        <w:t>gstat</w:t>
      </w:r>
      <w:proofErr w:type="spellEnd"/>
      <w:r>
        <w:t xml:space="preserve">’ </w:t>
      </w:r>
      <w:proofErr w:type="spellStart"/>
      <w:r>
        <w:t>geostatistical</w:t>
      </w:r>
      <w:proofErr w:type="spellEnd"/>
      <w:r>
        <w:t xml:space="preserve"> package in R (</w:t>
      </w:r>
      <w:proofErr w:type="spellStart"/>
      <w:r>
        <w:t>Pebesma</w:t>
      </w:r>
      <w:proofErr w:type="spellEnd"/>
      <w:r>
        <w:t xml:space="preserve">, 2004) using an exponential </w:t>
      </w:r>
      <w:proofErr w:type="spellStart"/>
      <w:r>
        <w:t>variogram</w:t>
      </w:r>
      <w:proofErr w:type="spellEnd"/>
      <w:r>
        <w:t xml:space="preserve"> model. </w:t>
      </w:r>
      <w:proofErr w:type="spellStart"/>
      <w:r>
        <w:t>Kriged</w:t>
      </w:r>
      <w:proofErr w:type="spellEnd"/>
      <w:r>
        <w:t xml:space="preserve"> density maps for layers 1 to 5 are given in the PDF file below.</w:t>
      </w:r>
    </w:p>
    <w:tbl>
      <w:tblPr>
        <w:tblStyle w:val="TableGrid"/>
        <w:tblW w:w="0" w:type="auto"/>
        <w:tblLook w:val="04A0" w:firstRow="1" w:lastRow="0" w:firstColumn="1" w:lastColumn="0" w:noHBand="0" w:noVBand="1"/>
      </w:tblPr>
      <w:tblGrid>
        <w:gridCol w:w="3936"/>
        <w:gridCol w:w="5306"/>
      </w:tblGrid>
      <w:tr w:rsidR="00F16956" w:rsidTr="00CB6009">
        <w:tc>
          <w:tcPr>
            <w:tcW w:w="3936" w:type="dxa"/>
            <w:vAlign w:val="center"/>
          </w:tcPr>
          <w:p w:rsidR="00F16956" w:rsidRPr="00A663A2" w:rsidRDefault="00F16956" w:rsidP="00CB6009">
            <w:pPr>
              <w:spacing w:before="60" w:after="60"/>
              <w:jc w:val="left"/>
              <w:rPr>
                <w:rFonts w:ascii="Arial" w:hAnsi="Arial" w:cs="Arial"/>
                <w:sz w:val="20"/>
              </w:rPr>
            </w:pPr>
            <w:r>
              <w:rPr>
                <w:rFonts w:ascii="Arial" w:hAnsi="Arial" w:cs="Arial"/>
                <w:sz w:val="20"/>
              </w:rPr>
              <w:t>LayerDensityMaps</w:t>
            </w:r>
            <w:r w:rsidRPr="00A663A2">
              <w:rPr>
                <w:rFonts w:ascii="Arial" w:hAnsi="Arial" w:cs="Arial"/>
                <w:sz w:val="20"/>
              </w:rPr>
              <w:t>.pdf</w:t>
            </w:r>
          </w:p>
        </w:tc>
        <w:tc>
          <w:tcPr>
            <w:tcW w:w="5306" w:type="dxa"/>
            <w:vAlign w:val="center"/>
          </w:tcPr>
          <w:p w:rsidR="00F16956" w:rsidRPr="00A663A2" w:rsidRDefault="00F16956" w:rsidP="00CB6009">
            <w:pPr>
              <w:spacing w:before="60" w:after="60"/>
              <w:jc w:val="left"/>
              <w:rPr>
                <w:rFonts w:ascii="Arial" w:hAnsi="Arial" w:cs="Arial"/>
                <w:sz w:val="20"/>
              </w:rPr>
            </w:pPr>
            <w:r>
              <w:rPr>
                <w:rFonts w:ascii="Arial" w:hAnsi="Arial" w:cs="Arial"/>
                <w:sz w:val="20"/>
              </w:rPr>
              <w:t>Maps of average layer densities for the five model layers defined by regional seismic picks</w:t>
            </w:r>
          </w:p>
        </w:tc>
      </w:tr>
    </w:tbl>
    <w:p w:rsidR="00F16956" w:rsidRDefault="00F16956" w:rsidP="00F16956"/>
    <w:p w:rsidR="00F16956" w:rsidRPr="007040B9" w:rsidRDefault="00F16956" w:rsidP="00F16956">
      <w:pPr>
        <w:rPr>
          <w:b/>
        </w:rPr>
      </w:pPr>
      <w:r w:rsidRPr="007040B9">
        <w:rPr>
          <w:b/>
        </w:rPr>
        <w:t>BURIAL ANOMALIES</w:t>
      </w:r>
    </w:p>
    <w:p w:rsidR="00F16956" w:rsidRDefault="00F16956" w:rsidP="00F16956">
      <w:r>
        <w:t xml:space="preserve">The deviation of measured densities from the normal compaction curves of </w:t>
      </w:r>
      <w:proofErr w:type="spellStart"/>
      <w:r>
        <w:t>Sclater</w:t>
      </w:r>
      <w:proofErr w:type="spellEnd"/>
      <w:r>
        <w:t xml:space="preserve"> and Christie (1980) can be characterised at each well by a burial anomaly, defined as the amount by which the depth must be shifted so as to fit the measured data to the theoretical curves. This is a simplified version of the approach of </w:t>
      </w:r>
      <w:proofErr w:type="spellStart"/>
      <w:r>
        <w:t>Japsen</w:t>
      </w:r>
      <w:proofErr w:type="spellEnd"/>
      <w:r>
        <w:t xml:space="preserve"> (1998, 1999, 2000), who used sonic log data to establish the burial history of formations in the North Sea.</w:t>
      </w:r>
    </w:p>
    <w:p w:rsidR="00F16956" w:rsidRDefault="00F16956" w:rsidP="00F16956">
      <w:r>
        <w:t>The PDF file below contains a set of plots for the Carboniferous sequence in individual wells, in each of which the normal compaction relationships were fitted to the measured densities by least-squares, adjusting the depth offset required to achieve a fit. Applying this procedure for the compaction relationships (“chalk”, “sand”, “</w:t>
      </w:r>
      <w:proofErr w:type="spellStart"/>
      <w:r>
        <w:t>shaly</w:t>
      </w:r>
      <w:proofErr w:type="spellEnd"/>
      <w:r>
        <w:t xml:space="preserve"> sand” and “shale”) gives four estimates of burial anomaly for each well, from which one was selected based on the known dominant lithology for the interval. It is recognised that these are simple estimates that may be affected by factors including lithological and </w:t>
      </w:r>
      <w:proofErr w:type="spellStart"/>
      <w:r>
        <w:t>diagenetic</w:t>
      </w:r>
      <w:proofErr w:type="spellEnd"/>
      <w:r>
        <w:t xml:space="preserve"> variations. An attempt at a similar approach to the Devonian densities did not provide satisfactory results.</w:t>
      </w:r>
    </w:p>
    <w:tbl>
      <w:tblPr>
        <w:tblStyle w:val="TableGrid"/>
        <w:tblW w:w="0" w:type="auto"/>
        <w:tblLook w:val="04A0" w:firstRow="1" w:lastRow="0" w:firstColumn="1" w:lastColumn="0" w:noHBand="0" w:noVBand="1"/>
      </w:tblPr>
      <w:tblGrid>
        <w:gridCol w:w="3936"/>
        <w:gridCol w:w="5306"/>
      </w:tblGrid>
      <w:tr w:rsidR="00F16956" w:rsidTr="00CB6009">
        <w:tc>
          <w:tcPr>
            <w:tcW w:w="3936" w:type="dxa"/>
            <w:vAlign w:val="center"/>
          </w:tcPr>
          <w:p w:rsidR="00F16956" w:rsidRPr="00A663A2" w:rsidRDefault="00F16956" w:rsidP="00CB6009">
            <w:pPr>
              <w:jc w:val="left"/>
              <w:rPr>
                <w:rFonts w:ascii="Arial" w:hAnsi="Arial" w:cs="Arial"/>
                <w:sz w:val="20"/>
              </w:rPr>
            </w:pPr>
            <w:r>
              <w:rPr>
                <w:rFonts w:ascii="Arial" w:hAnsi="Arial" w:cs="Arial"/>
                <w:sz w:val="20"/>
              </w:rPr>
              <w:t>CarboniferousCompactionPlots</w:t>
            </w:r>
            <w:r w:rsidRPr="00A663A2">
              <w:rPr>
                <w:rFonts w:ascii="Arial" w:hAnsi="Arial" w:cs="Arial"/>
                <w:sz w:val="20"/>
              </w:rPr>
              <w:t>.pdf</w:t>
            </w:r>
          </w:p>
        </w:tc>
        <w:tc>
          <w:tcPr>
            <w:tcW w:w="5306" w:type="dxa"/>
            <w:vAlign w:val="center"/>
          </w:tcPr>
          <w:p w:rsidR="00F16956" w:rsidRPr="00A663A2" w:rsidRDefault="00F16956" w:rsidP="00CB6009">
            <w:pPr>
              <w:jc w:val="left"/>
              <w:rPr>
                <w:rFonts w:ascii="Arial" w:hAnsi="Arial" w:cs="Arial"/>
                <w:sz w:val="20"/>
              </w:rPr>
            </w:pPr>
            <w:r>
              <w:rPr>
                <w:rFonts w:ascii="Arial" w:hAnsi="Arial" w:cs="Arial"/>
                <w:sz w:val="20"/>
              </w:rPr>
              <w:t xml:space="preserve">Plots of density log data for the Carboniferous, illustrating the burial anomaly required to fit the normal compaction curves of </w:t>
            </w:r>
            <w:proofErr w:type="spellStart"/>
            <w:r>
              <w:rPr>
                <w:rFonts w:ascii="Arial" w:hAnsi="Arial" w:cs="Arial"/>
                <w:sz w:val="20"/>
              </w:rPr>
              <w:t>Sclater</w:t>
            </w:r>
            <w:proofErr w:type="spellEnd"/>
            <w:r>
              <w:rPr>
                <w:rFonts w:ascii="Arial" w:hAnsi="Arial" w:cs="Arial"/>
                <w:sz w:val="20"/>
              </w:rPr>
              <w:t xml:space="preserve"> &amp; Christie (1980)</w:t>
            </w:r>
          </w:p>
        </w:tc>
      </w:tr>
      <w:tr w:rsidR="00F16956" w:rsidTr="00CB6009">
        <w:tc>
          <w:tcPr>
            <w:tcW w:w="3936" w:type="dxa"/>
            <w:vAlign w:val="center"/>
          </w:tcPr>
          <w:p w:rsidR="00F16956" w:rsidRDefault="00F16956" w:rsidP="00CB6009">
            <w:pPr>
              <w:jc w:val="left"/>
              <w:rPr>
                <w:rFonts w:ascii="Arial" w:hAnsi="Arial" w:cs="Arial"/>
                <w:sz w:val="20"/>
              </w:rPr>
            </w:pPr>
            <w:r>
              <w:rPr>
                <w:rFonts w:ascii="Arial" w:hAnsi="Arial" w:cs="Arial"/>
                <w:sz w:val="20"/>
              </w:rPr>
              <w:t>CarboniferousBurialAnomalies.xlsx</w:t>
            </w:r>
          </w:p>
        </w:tc>
        <w:tc>
          <w:tcPr>
            <w:tcW w:w="5306" w:type="dxa"/>
            <w:vAlign w:val="center"/>
          </w:tcPr>
          <w:p w:rsidR="00F16956" w:rsidRDefault="00F16956" w:rsidP="00CB6009">
            <w:pPr>
              <w:jc w:val="left"/>
              <w:rPr>
                <w:rFonts w:ascii="Arial" w:hAnsi="Arial" w:cs="Arial"/>
                <w:sz w:val="20"/>
              </w:rPr>
            </w:pPr>
            <w:r>
              <w:rPr>
                <w:rFonts w:ascii="Arial" w:hAnsi="Arial" w:cs="Arial"/>
                <w:sz w:val="20"/>
              </w:rPr>
              <w:t>Spreadsheet of burial anomalies (km) for the Carboniferous computed using curve matching. Negative values indicate apparent uplift.</w:t>
            </w:r>
          </w:p>
        </w:tc>
      </w:tr>
    </w:tbl>
    <w:p w:rsidR="00E51A0F" w:rsidRPr="00F16956" w:rsidRDefault="00E51A0F" w:rsidP="00F16956"/>
    <w:sectPr w:rsidR="00E51A0F" w:rsidRPr="00F16956" w:rsidSect="00273815">
      <w:headerReference w:type="default" r:id="rId8"/>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C61" w:rsidRDefault="00AD5C61" w:rsidP="00AD5C61">
      <w:pPr>
        <w:spacing w:after="0"/>
      </w:pPr>
      <w:r>
        <w:separator/>
      </w:r>
    </w:p>
  </w:endnote>
  <w:endnote w:type="continuationSeparator" w:id="0">
    <w:p w:rsidR="00AD5C61" w:rsidRDefault="00AD5C61" w:rsidP="00AD5C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C61" w:rsidRDefault="00AD5C61" w:rsidP="00AD5C61">
      <w:pPr>
        <w:spacing w:after="0"/>
      </w:pPr>
      <w:r>
        <w:separator/>
      </w:r>
    </w:p>
  </w:footnote>
  <w:footnote w:type="continuationSeparator" w:id="0">
    <w:p w:rsidR="00AD5C61" w:rsidRDefault="00AD5C61" w:rsidP="00AD5C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C61" w:rsidRDefault="00AD5C61">
    <w:pPr>
      <w:pStyle w:val="Header"/>
    </w:pPr>
    <w:r w:rsidRPr="00F85CA2">
      <w:rPr>
        <w:sz w:val="20"/>
      </w:rPr>
      <w:t>A gravity interpretation of the Central North Sea (B</w:t>
    </w:r>
    <w:r>
      <w:rPr>
        <w:sz w:val="20"/>
      </w:rPr>
      <w:t>GS Report CR/15/119)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D34190"/>
    <w:multiLevelType w:val="multilevel"/>
    <w:tmpl w:val="7032B8D2"/>
    <w:lvl w:ilvl="0">
      <w:start w:val="2"/>
      <w:numFmt w:val="decimal"/>
      <w:pStyle w:val="Appendix1"/>
      <w:lvlText w:val="Appendix %1"/>
      <w:lvlJc w:val="left"/>
      <w:pPr>
        <w:tabs>
          <w:tab w:val="num" w:pos="1800"/>
        </w:tabs>
        <w:ind w:left="0" w:firstLine="0"/>
      </w:pPr>
      <w:rPr>
        <w:rFonts w:hint="default"/>
      </w:rPr>
    </w:lvl>
    <w:lvl w:ilvl="1">
      <w:start w:val="1"/>
      <w:numFmt w:val="decimal"/>
      <w:lvlText w:val="%1.%2"/>
      <w:lvlJc w:val="left"/>
      <w:pPr>
        <w:tabs>
          <w:tab w:val="num" w:pos="-1692"/>
        </w:tabs>
        <w:ind w:left="-1692" w:hanging="576"/>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260"/>
        </w:tabs>
        <w:ind w:left="-1260" w:hanging="1008"/>
      </w:pPr>
      <w:rPr>
        <w:rFonts w:hint="default"/>
      </w:rPr>
    </w:lvl>
    <w:lvl w:ilvl="5">
      <w:start w:val="1"/>
      <w:numFmt w:val="decimal"/>
      <w:lvlText w:val="%1.%2.%3.%4.%5.%6"/>
      <w:lvlJc w:val="left"/>
      <w:pPr>
        <w:tabs>
          <w:tab w:val="num" w:pos="-1116"/>
        </w:tabs>
        <w:ind w:left="-1116" w:hanging="1152"/>
      </w:pPr>
      <w:rPr>
        <w:rFonts w:hint="default"/>
      </w:rPr>
    </w:lvl>
    <w:lvl w:ilvl="6">
      <w:start w:val="1"/>
      <w:numFmt w:val="decimal"/>
      <w:lvlText w:val="%1.%2.%3.%4.%5.%6.%7"/>
      <w:lvlJc w:val="left"/>
      <w:pPr>
        <w:tabs>
          <w:tab w:val="num" w:pos="-972"/>
        </w:tabs>
        <w:ind w:left="-972" w:hanging="1296"/>
      </w:pPr>
      <w:rPr>
        <w:rFonts w:hint="default"/>
      </w:rPr>
    </w:lvl>
    <w:lvl w:ilvl="7">
      <w:start w:val="1"/>
      <w:numFmt w:val="decimal"/>
      <w:lvlText w:val="%1.%2.%3.%4.%5.%6.%7.%8"/>
      <w:lvlJc w:val="left"/>
      <w:pPr>
        <w:tabs>
          <w:tab w:val="num" w:pos="-828"/>
        </w:tabs>
        <w:ind w:left="-828" w:hanging="1440"/>
      </w:pPr>
      <w:rPr>
        <w:rFonts w:hint="default"/>
      </w:rPr>
    </w:lvl>
    <w:lvl w:ilvl="8">
      <w:start w:val="1"/>
      <w:numFmt w:val="decimal"/>
      <w:lvlText w:val="%1.%2.%3.%4.%5.%6.%7.%8.%9"/>
      <w:lvlJc w:val="left"/>
      <w:pPr>
        <w:tabs>
          <w:tab w:val="num" w:pos="-684"/>
        </w:tabs>
        <w:ind w:left="-6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9E9"/>
    <w:rsid w:val="00273815"/>
    <w:rsid w:val="002979EB"/>
    <w:rsid w:val="0032787D"/>
    <w:rsid w:val="003B07C4"/>
    <w:rsid w:val="0057340F"/>
    <w:rsid w:val="005A599E"/>
    <w:rsid w:val="0065571D"/>
    <w:rsid w:val="006F56F3"/>
    <w:rsid w:val="00702635"/>
    <w:rsid w:val="007040B9"/>
    <w:rsid w:val="007939E9"/>
    <w:rsid w:val="009200D3"/>
    <w:rsid w:val="0094481D"/>
    <w:rsid w:val="00975AC5"/>
    <w:rsid w:val="00A663A2"/>
    <w:rsid w:val="00AD5C61"/>
    <w:rsid w:val="00B13600"/>
    <w:rsid w:val="00B36902"/>
    <w:rsid w:val="00DC165B"/>
    <w:rsid w:val="00E24B37"/>
    <w:rsid w:val="00E449EF"/>
    <w:rsid w:val="00E51A0F"/>
    <w:rsid w:val="00EB31DC"/>
    <w:rsid w:val="00F16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9E9"/>
    <w:pPr>
      <w:spacing w:after="12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7939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Heading1"/>
    <w:next w:val="Normal"/>
    <w:rsid w:val="007939E9"/>
    <w:pPr>
      <w:numPr>
        <w:numId w:val="1"/>
      </w:numPr>
      <w:tabs>
        <w:tab w:val="left" w:pos="363"/>
      </w:tabs>
      <w:spacing w:before="440" w:after="280"/>
    </w:pPr>
    <w:rPr>
      <w:rFonts w:ascii="Times New Roman" w:eastAsia="Times New Roman" w:hAnsi="Times New Roman" w:cs="Times New Roman"/>
      <w:b w:val="0"/>
      <w:bCs w:val="0"/>
      <w:color w:val="auto"/>
      <w:sz w:val="40"/>
      <w:szCs w:val="20"/>
    </w:rPr>
  </w:style>
  <w:style w:type="character" w:customStyle="1" w:styleId="Heading1Char">
    <w:name w:val="Heading 1 Char"/>
    <w:basedOn w:val="DefaultParagraphFont"/>
    <w:link w:val="Heading1"/>
    <w:uiPriority w:val="9"/>
    <w:rsid w:val="007939E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79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2">
    <w:name w:val="Appendix 2"/>
    <w:basedOn w:val="Normal"/>
    <w:next w:val="Normal"/>
    <w:rsid w:val="00F16956"/>
    <w:pPr>
      <w:keepNext/>
      <w:spacing w:before="320"/>
      <w:outlineLvl w:val="1"/>
    </w:pPr>
    <w:rPr>
      <w:b/>
      <w:caps/>
    </w:rPr>
  </w:style>
  <w:style w:type="paragraph" w:styleId="Header">
    <w:name w:val="header"/>
    <w:basedOn w:val="Normal"/>
    <w:link w:val="HeaderChar"/>
    <w:uiPriority w:val="99"/>
    <w:unhideWhenUsed/>
    <w:rsid w:val="00AD5C61"/>
    <w:pPr>
      <w:tabs>
        <w:tab w:val="center" w:pos="4513"/>
        <w:tab w:val="right" w:pos="9026"/>
      </w:tabs>
      <w:spacing w:after="0"/>
    </w:pPr>
  </w:style>
  <w:style w:type="character" w:customStyle="1" w:styleId="HeaderChar">
    <w:name w:val="Header Char"/>
    <w:basedOn w:val="DefaultParagraphFont"/>
    <w:link w:val="Header"/>
    <w:uiPriority w:val="99"/>
    <w:rsid w:val="00AD5C6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D5C61"/>
    <w:pPr>
      <w:tabs>
        <w:tab w:val="center" w:pos="4513"/>
        <w:tab w:val="right" w:pos="9026"/>
      </w:tabs>
      <w:spacing w:after="0"/>
    </w:pPr>
  </w:style>
  <w:style w:type="character" w:customStyle="1" w:styleId="FooterChar">
    <w:name w:val="Footer Char"/>
    <w:basedOn w:val="DefaultParagraphFont"/>
    <w:link w:val="Footer"/>
    <w:uiPriority w:val="99"/>
    <w:rsid w:val="00AD5C61"/>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9E9"/>
    <w:pPr>
      <w:spacing w:after="12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7939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Heading1"/>
    <w:next w:val="Normal"/>
    <w:rsid w:val="007939E9"/>
    <w:pPr>
      <w:numPr>
        <w:numId w:val="1"/>
      </w:numPr>
      <w:tabs>
        <w:tab w:val="left" w:pos="363"/>
      </w:tabs>
      <w:spacing w:before="440" w:after="280"/>
    </w:pPr>
    <w:rPr>
      <w:rFonts w:ascii="Times New Roman" w:eastAsia="Times New Roman" w:hAnsi="Times New Roman" w:cs="Times New Roman"/>
      <w:b w:val="0"/>
      <w:bCs w:val="0"/>
      <w:color w:val="auto"/>
      <w:sz w:val="40"/>
      <w:szCs w:val="20"/>
    </w:rPr>
  </w:style>
  <w:style w:type="character" w:customStyle="1" w:styleId="Heading1Char">
    <w:name w:val="Heading 1 Char"/>
    <w:basedOn w:val="DefaultParagraphFont"/>
    <w:link w:val="Heading1"/>
    <w:uiPriority w:val="9"/>
    <w:rsid w:val="007939E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793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2">
    <w:name w:val="Appendix 2"/>
    <w:basedOn w:val="Normal"/>
    <w:next w:val="Normal"/>
    <w:rsid w:val="00F16956"/>
    <w:pPr>
      <w:keepNext/>
      <w:spacing w:before="320"/>
      <w:outlineLvl w:val="1"/>
    </w:pPr>
    <w:rPr>
      <w:b/>
      <w:caps/>
    </w:rPr>
  </w:style>
  <w:style w:type="paragraph" w:styleId="Header">
    <w:name w:val="header"/>
    <w:basedOn w:val="Normal"/>
    <w:link w:val="HeaderChar"/>
    <w:uiPriority w:val="99"/>
    <w:unhideWhenUsed/>
    <w:rsid w:val="00AD5C61"/>
    <w:pPr>
      <w:tabs>
        <w:tab w:val="center" w:pos="4513"/>
        <w:tab w:val="right" w:pos="9026"/>
      </w:tabs>
      <w:spacing w:after="0"/>
    </w:pPr>
  </w:style>
  <w:style w:type="character" w:customStyle="1" w:styleId="HeaderChar">
    <w:name w:val="Header Char"/>
    <w:basedOn w:val="DefaultParagraphFont"/>
    <w:link w:val="Header"/>
    <w:uiPriority w:val="99"/>
    <w:rsid w:val="00AD5C61"/>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AD5C61"/>
    <w:pPr>
      <w:tabs>
        <w:tab w:val="center" w:pos="4513"/>
        <w:tab w:val="right" w:pos="9026"/>
      </w:tabs>
      <w:spacing w:after="0"/>
    </w:pPr>
  </w:style>
  <w:style w:type="character" w:customStyle="1" w:styleId="FooterChar">
    <w:name w:val="Footer Char"/>
    <w:basedOn w:val="DefaultParagraphFont"/>
    <w:link w:val="Footer"/>
    <w:uiPriority w:val="99"/>
    <w:rsid w:val="00AD5C6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The British Geological Survey</Company>
  <LinksUpToDate>false</LinksUpToDate>
  <CharactersWithSpaces>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dc:creator>
  <cp:lastModifiedBy>Paul</cp:lastModifiedBy>
  <cp:revision>11</cp:revision>
  <cp:lastPrinted>2015-12-10T14:21:00Z</cp:lastPrinted>
  <dcterms:created xsi:type="dcterms:W3CDTF">2015-12-10T10:18:00Z</dcterms:created>
  <dcterms:modified xsi:type="dcterms:W3CDTF">2015-12-11T12:57:00Z</dcterms:modified>
</cp:coreProperties>
</file>