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448" w:rsidRDefault="00513448" w:rsidP="002B7298">
      <w:pPr>
        <w:pStyle w:val="Appendix1"/>
        <w:numPr>
          <w:ilvl w:val="0"/>
          <w:numId w:val="0"/>
        </w:numPr>
        <w:spacing w:before="360" w:after="240"/>
      </w:pPr>
      <w:bookmarkStart w:id="0" w:name="_Toc437593957"/>
      <w:r>
        <w:t xml:space="preserve">Digital </w:t>
      </w:r>
      <w:bookmarkEnd w:id="0"/>
      <w:r>
        <w:t>model outputs</w:t>
      </w:r>
    </w:p>
    <w:p w:rsidR="00513448" w:rsidRDefault="00513448" w:rsidP="00513448">
      <w:pPr>
        <w:spacing w:after="120"/>
      </w:pPr>
      <w:r>
        <w:t xml:space="preserve">The gravity modelling results are provided in the form of digital grids and contour shapefiles.  All these are referred to UTM Zone 31 (ED50). </w:t>
      </w:r>
    </w:p>
    <w:p w:rsidR="00513448" w:rsidRDefault="00513448" w:rsidP="00513448">
      <w:pPr>
        <w:pStyle w:val="Appendix2"/>
      </w:pPr>
      <w:bookmarkStart w:id="1" w:name="_Toc437593959"/>
      <w:r>
        <w:t>Model grids</w:t>
      </w:r>
      <w:bookmarkEnd w:id="1"/>
    </w:p>
    <w:p w:rsidR="00513448" w:rsidRDefault="00513448" w:rsidP="00513448">
      <w:r>
        <w:t xml:space="preserve">The model grids all have a 2.5 km grid node spacing, but the structural grids were derived by interpolation from input grids with a 5 km node spacing. </w:t>
      </w:r>
      <w:r w:rsidRPr="00D65E65">
        <w:t>The grids are provided in ESRI (ArcGIS), ESRI binary (flt), Zmap, Geosoft, and ASCII (xyz) formats. Layer files are included with the first of these which contain the colour symbology used in displaying these grids in the current report</w:t>
      </w:r>
      <w:r>
        <w:t>.</w:t>
      </w:r>
    </w:p>
    <w:p w:rsidR="00513448" w:rsidRPr="003225F5" w:rsidRDefault="00513448" w:rsidP="00513448"/>
    <w:tbl>
      <w:tblPr>
        <w:tblStyle w:val="TableGrid"/>
        <w:tblW w:w="9322" w:type="dxa"/>
        <w:tblLayout w:type="fixed"/>
        <w:tblLook w:val="04A0" w:firstRow="1" w:lastRow="0" w:firstColumn="1" w:lastColumn="0" w:noHBand="0" w:noVBand="1"/>
      </w:tblPr>
      <w:tblGrid>
        <w:gridCol w:w="2802"/>
        <w:gridCol w:w="6520"/>
      </w:tblGrid>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ginv_v1_gobs</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Observed gravity field (free-air anomalies offshore, Bouguer anomalies onshore) (mGal). Shown in Figure 22 of the report.</w:t>
            </w:r>
          </w:p>
        </w:tc>
      </w:tr>
      <w:tr w:rsidR="00513448" w:rsidTr="00CB6009">
        <w:trPr>
          <w:cantSplit/>
          <w:trHeight w:val="340"/>
        </w:trPr>
        <w:tc>
          <w:tcPr>
            <w:tcW w:w="2802" w:type="dxa"/>
            <w:tcMar>
              <w:top w:w="57" w:type="dxa"/>
              <w:bottom w:w="57" w:type="dxa"/>
            </w:tcMar>
            <w:vAlign w:val="center"/>
          </w:tcPr>
          <w:p w:rsidR="00513448" w:rsidRDefault="00513448" w:rsidP="00CB6009">
            <w:pPr>
              <w:spacing w:before="60" w:after="60"/>
              <w:rPr>
                <w:rFonts w:ascii="Arial" w:hAnsi="Arial" w:cs="Arial"/>
                <w:sz w:val="20"/>
              </w:rPr>
            </w:pPr>
            <w:r>
              <w:rPr>
                <w:rFonts w:ascii="Arial" w:hAnsi="Arial" w:cs="Arial"/>
                <w:sz w:val="20"/>
              </w:rPr>
              <w:t>ginv_v1_gcalz</w:t>
            </w:r>
          </w:p>
        </w:tc>
        <w:tc>
          <w:tcPr>
            <w:tcW w:w="6520" w:type="dxa"/>
            <w:tcMar>
              <w:top w:w="57" w:type="dxa"/>
              <w:bottom w:w="57" w:type="dxa"/>
            </w:tcMar>
            <w:vAlign w:val="center"/>
          </w:tcPr>
          <w:p w:rsidR="00513448" w:rsidRDefault="00513448" w:rsidP="00CB6009">
            <w:pPr>
              <w:spacing w:before="60" w:after="60"/>
              <w:rPr>
                <w:rFonts w:ascii="Arial" w:hAnsi="Arial" w:cs="Arial"/>
                <w:sz w:val="20"/>
              </w:rPr>
            </w:pPr>
            <w:r>
              <w:rPr>
                <w:rFonts w:ascii="Arial" w:hAnsi="Arial" w:cs="Arial"/>
                <w:sz w:val="20"/>
              </w:rPr>
              <w:t>Calculated gravity effect of sequence down to base Zechstein (mGal). Shown in Figure 23.</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ginv_v1_gcalc</w:t>
            </w:r>
          </w:p>
        </w:tc>
        <w:tc>
          <w:tcPr>
            <w:tcW w:w="6520" w:type="dxa"/>
            <w:tcMar>
              <w:top w:w="57" w:type="dxa"/>
              <w:bottom w:w="57" w:type="dxa"/>
            </w:tcMar>
            <w:vAlign w:val="center"/>
          </w:tcPr>
          <w:p w:rsidR="00513448" w:rsidRPr="00FD1B3C" w:rsidRDefault="00513448" w:rsidP="00CB6009">
            <w:pPr>
              <w:spacing w:before="60" w:after="60"/>
              <w:rPr>
                <w:rFonts w:ascii="Arial" w:hAnsi="Arial" w:cs="Arial"/>
                <w:sz w:val="20"/>
                <w:szCs w:val="20"/>
              </w:rPr>
            </w:pPr>
            <w:r w:rsidRPr="00FD1B3C">
              <w:rPr>
                <w:rFonts w:ascii="Arial" w:hAnsi="Arial" w:cs="Arial"/>
                <w:sz w:val="20"/>
                <w:szCs w:val="20"/>
              </w:rPr>
              <w:t>Calculated gravity field of full model (mGal). Shown in Figure</w:t>
            </w:r>
            <w:r>
              <w:rPr>
                <w:rFonts w:ascii="Arial" w:hAnsi="Arial" w:cs="Arial"/>
                <w:sz w:val="20"/>
                <w:szCs w:val="20"/>
              </w:rPr>
              <w:t xml:space="preserve"> 29</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ginv_v1_bzech</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Depth to base Zechstein in the gravity model (m)</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ginv_v1_dep</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Depth to the gravity inversion surface (m). Shown in Figure 26.</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ginv_v1_pzthk</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Thickness between base Zechstein and the gravity inversion surface (m). Shown in Figures 27, 31, 33 and 44.</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ginv_v1_twt</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The gravity inversion surface expressed as two-way travel time (ms; positive downward). This grid only covers the offshore area.</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ginv_v1_twt</w:t>
            </w:r>
            <w:r w:rsidR="002C439E">
              <w:rPr>
                <w:rFonts w:ascii="Arial" w:hAnsi="Arial" w:cs="Arial"/>
                <w:sz w:val="20"/>
                <w:szCs w:val="20"/>
              </w:rPr>
              <w:t>ng</w:t>
            </w:r>
          </w:p>
        </w:tc>
        <w:tc>
          <w:tcPr>
            <w:tcW w:w="6520" w:type="dxa"/>
            <w:tcMar>
              <w:top w:w="57" w:type="dxa"/>
              <w:bottom w:w="57" w:type="dxa"/>
            </w:tcMar>
            <w:vAlign w:val="center"/>
          </w:tcPr>
          <w:p w:rsidR="00513448" w:rsidRPr="007668C0" w:rsidRDefault="00513448" w:rsidP="00513448">
            <w:pPr>
              <w:spacing w:before="60" w:after="60"/>
              <w:rPr>
                <w:rFonts w:ascii="Arial" w:hAnsi="Arial" w:cs="Arial"/>
                <w:sz w:val="20"/>
                <w:szCs w:val="20"/>
              </w:rPr>
            </w:pPr>
            <w:r>
              <w:rPr>
                <w:rFonts w:ascii="Arial" w:hAnsi="Arial" w:cs="Arial"/>
                <w:sz w:val="20"/>
                <w:szCs w:val="20"/>
              </w:rPr>
              <w:t>The gravity inversion surface expressed as two-way travel time (ms; negative downward). This grid only covers the offshore area.</w:t>
            </w:r>
          </w:p>
        </w:tc>
      </w:tr>
      <w:tr w:rsidR="00513448" w:rsidTr="00CB6009">
        <w:trPr>
          <w:cantSplit/>
          <w:trHeight w:val="340"/>
        </w:trPr>
        <w:tc>
          <w:tcPr>
            <w:tcW w:w="2802" w:type="dxa"/>
            <w:tcMar>
              <w:top w:w="57" w:type="dxa"/>
              <w:bottom w:w="57" w:type="dxa"/>
            </w:tcMar>
            <w:vAlign w:val="center"/>
          </w:tcPr>
          <w:p w:rsidR="00513448" w:rsidRDefault="00513448" w:rsidP="00CB6009">
            <w:pPr>
              <w:spacing w:before="60" w:after="60"/>
              <w:rPr>
                <w:rFonts w:ascii="Arial" w:hAnsi="Arial" w:cs="Arial"/>
                <w:sz w:val="20"/>
              </w:rPr>
            </w:pPr>
            <w:r>
              <w:rPr>
                <w:rFonts w:ascii="Arial" w:hAnsi="Arial" w:cs="Arial"/>
                <w:sz w:val="20"/>
              </w:rPr>
              <w:t>ginv_v1_bkgrd</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rPr>
            </w:pPr>
            <w:r>
              <w:rPr>
                <w:rFonts w:ascii="Arial" w:hAnsi="Arial" w:cs="Arial"/>
                <w:sz w:val="20"/>
              </w:rPr>
              <w:t>Assumed background field (mGal). Shown in Figure 24.</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ginv_v1_strip</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Gravity field after removal of the gravity effect to base Zechstein and the background field (mGal). Shown in Figure 25.</w:t>
            </w:r>
          </w:p>
        </w:tc>
      </w:tr>
      <w:tr w:rsidR="00513448" w:rsidTr="00CB6009">
        <w:trPr>
          <w:cantSplit/>
          <w:trHeight w:val="340"/>
        </w:trPr>
        <w:tc>
          <w:tcPr>
            <w:tcW w:w="280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ginv_v1_gres</w:t>
            </w:r>
          </w:p>
        </w:tc>
        <w:tc>
          <w:tcPr>
            <w:tcW w:w="6520"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Residual gravity anomalies over the full model (observed gravity - calculated gravity - background) (mGal). Shown in Figure 30.</w:t>
            </w:r>
          </w:p>
        </w:tc>
      </w:tr>
    </w:tbl>
    <w:p w:rsidR="00513448" w:rsidRDefault="00513448" w:rsidP="00513448">
      <w:pPr>
        <w:pStyle w:val="Appendix2"/>
      </w:pPr>
      <w:bookmarkStart w:id="2" w:name="_Toc437593960"/>
      <w:r>
        <w:t>Contour shapefiles</w:t>
      </w:r>
      <w:bookmarkEnd w:id="2"/>
    </w:p>
    <w:tbl>
      <w:tblPr>
        <w:tblStyle w:val="TableGrid"/>
        <w:tblW w:w="9322" w:type="dxa"/>
        <w:tblLayout w:type="fixed"/>
        <w:tblLook w:val="04A0" w:firstRow="1" w:lastRow="0" w:firstColumn="1" w:lastColumn="0" w:noHBand="0" w:noVBand="1"/>
      </w:tblPr>
      <w:tblGrid>
        <w:gridCol w:w="3652"/>
        <w:gridCol w:w="5670"/>
      </w:tblGrid>
      <w:tr w:rsidR="00513448" w:rsidTr="00CB6009">
        <w:trPr>
          <w:cantSplit/>
          <w:trHeight w:val="340"/>
        </w:trPr>
        <w:tc>
          <w:tcPr>
            <w:tcW w:w="3652" w:type="dxa"/>
            <w:tcMar>
              <w:top w:w="57" w:type="dxa"/>
              <w:bottom w:w="57" w:type="dxa"/>
            </w:tcMar>
            <w:vAlign w:val="center"/>
          </w:tcPr>
          <w:p w:rsidR="00513448" w:rsidRPr="007668C0" w:rsidRDefault="00513448" w:rsidP="00CB6009">
            <w:pPr>
              <w:spacing w:before="60" w:after="60"/>
              <w:rPr>
                <w:rFonts w:ascii="Arial" w:hAnsi="Arial" w:cs="Arial"/>
                <w:sz w:val="20"/>
                <w:szCs w:val="20"/>
              </w:rPr>
            </w:pPr>
            <w:r>
              <w:rPr>
                <w:rFonts w:ascii="Arial" w:hAnsi="Arial" w:cs="Arial"/>
                <w:sz w:val="20"/>
                <w:szCs w:val="20"/>
              </w:rPr>
              <w:t>grav_inversion_depth_contours_v1</w:t>
            </w:r>
          </w:p>
        </w:tc>
        <w:tc>
          <w:tcPr>
            <w:tcW w:w="5670" w:type="dxa"/>
            <w:tcMar>
              <w:top w:w="57" w:type="dxa"/>
              <w:bottom w:w="57" w:type="dxa"/>
            </w:tcMar>
            <w:vAlign w:val="center"/>
          </w:tcPr>
          <w:p w:rsidR="00513448" w:rsidRPr="007668C0" w:rsidRDefault="00513448" w:rsidP="005C4341">
            <w:pPr>
              <w:spacing w:before="60" w:after="60"/>
              <w:rPr>
                <w:rFonts w:ascii="Arial" w:hAnsi="Arial" w:cs="Arial"/>
                <w:sz w:val="20"/>
                <w:szCs w:val="20"/>
              </w:rPr>
            </w:pPr>
            <w:r>
              <w:rPr>
                <w:rFonts w:ascii="Arial" w:hAnsi="Arial" w:cs="Arial"/>
                <w:sz w:val="20"/>
                <w:szCs w:val="20"/>
              </w:rPr>
              <w:t xml:space="preserve">Contours of ginv_v1_dep at </w:t>
            </w:r>
            <w:r w:rsidR="005C4341">
              <w:rPr>
                <w:rFonts w:ascii="Arial" w:hAnsi="Arial" w:cs="Arial"/>
                <w:sz w:val="20"/>
                <w:szCs w:val="20"/>
              </w:rPr>
              <w:t xml:space="preserve">500 </w:t>
            </w:r>
            <w:r>
              <w:rPr>
                <w:rFonts w:ascii="Arial" w:hAnsi="Arial" w:cs="Arial"/>
                <w:sz w:val="20"/>
                <w:szCs w:val="20"/>
              </w:rPr>
              <w:t xml:space="preserve">m intervals. Shown in Figure 26) </w:t>
            </w:r>
          </w:p>
        </w:tc>
      </w:tr>
      <w:tr w:rsidR="00513448" w:rsidTr="00CB6009">
        <w:trPr>
          <w:cantSplit/>
          <w:trHeight w:val="340"/>
        </w:trPr>
        <w:tc>
          <w:tcPr>
            <w:tcW w:w="3652" w:type="dxa"/>
            <w:tcMar>
              <w:top w:w="57" w:type="dxa"/>
              <w:bottom w:w="57" w:type="dxa"/>
            </w:tcMar>
            <w:vAlign w:val="center"/>
          </w:tcPr>
          <w:p w:rsidR="00513448" w:rsidRDefault="00513448" w:rsidP="00CB6009">
            <w:pPr>
              <w:spacing w:before="60" w:after="60"/>
              <w:rPr>
                <w:rFonts w:ascii="Arial" w:hAnsi="Arial" w:cs="Arial"/>
                <w:sz w:val="20"/>
              </w:rPr>
            </w:pPr>
            <w:r>
              <w:rPr>
                <w:rFonts w:ascii="Arial" w:hAnsi="Arial" w:cs="Arial"/>
                <w:sz w:val="20"/>
              </w:rPr>
              <w:t>pre_zechstein_thickness_contours_v1</w:t>
            </w:r>
          </w:p>
        </w:tc>
        <w:tc>
          <w:tcPr>
            <w:tcW w:w="5670" w:type="dxa"/>
            <w:tcMar>
              <w:top w:w="57" w:type="dxa"/>
              <w:bottom w:w="57" w:type="dxa"/>
            </w:tcMar>
            <w:vAlign w:val="center"/>
          </w:tcPr>
          <w:p w:rsidR="00513448" w:rsidRDefault="00513448" w:rsidP="005C4341">
            <w:pPr>
              <w:spacing w:before="60" w:after="60"/>
              <w:rPr>
                <w:rFonts w:ascii="Arial" w:hAnsi="Arial" w:cs="Arial"/>
                <w:sz w:val="20"/>
              </w:rPr>
            </w:pPr>
            <w:r>
              <w:rPr>
                <w:rFonts w:ascii="Arial" w:hAnsi="Arial" w:cs="Arial"/>
                <w:sz w:val="20"/>
              </w:rPr>
              <w:t xml:space="preserve">Contours of </w:t>
            </w:r>
            <w:r>
              <w:rPr>
                <w:rFonts w:ascii="Arial" w:hAnsi="Arial" w:cs="Arial"/>
                <w:sz w:val="20"/>
                <w:szCs w:val="20"/>
              </w:rPr>
              <w:t xml:space="preserve">ginv_v1_pzthk at </w:t>
            </w:r>
            <w:r w:rsidR="005C4341">
              <w:rPr>
                <w:rFonts w:ascii="Arial" w:hAnsi="Arial" w:cs="Arial"/>
                <w:sz w:val="20"/>
                <w:szCs w:val="20"/>
              </w:rPr>
              <w:t xml:space="preserve">500 </w:t>
            </w:r>
            <w:bookmarkStart w:id="3" w:name="_GoBack"/>
            <w:bookmarkEnd w:id="3"/>
            <w:r>
              <w:rPr>
                <w:rFonts w:ascii="Arial" w:hAnsi="Arial" w:cs="Arial"/>
                <w:sz w:val="20"/>
                <w:szCs w:val="20"/>
              </w:rPr>
              <w:t>m intervals. Shown in Figures 27, 28, 31, 32, 33 and 44. The zero contour has been removed to provide a cleaner display.</w:t>
            </w:r>
          </w:p>
        </w:tc>
      </w:tr>
    </w:tbl>
    <w:p w:rsidR="00CD3A90" w:rsidRDefault="005C4341"/>
    <w:sectPr w:rsidR="00CD3A90" w:rsidSect="00513448">
      <w:headerReference w:type="default" r:id="rId8"/>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298" w:rsidRDefault="002B7298" w:rsidP="002B7298">
      <w:pPr>
        <w:spacing w:line="240" w:lineRule="auto"/>
      </w:pPr>
      <w:r>
        <w:separator/>
      </w:r>
    </w:p>
  </w:endnote>
  <w:endnote w:type="continuationSeparator" w:id="0">
    <w:p w:rsidR="002B7298" w:rsidRDefault="002B7298" w:rsidP="002B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298" w:rsidRDefault="002B7298" w:rsidP="002B7298">
      <w:pPr>
        <w:spacing w:line="240" w:lineRule="auto"/>
      </w:pPr>
      <w:r>
        <w:separator/>
      </w:r>
    </w:p>
  </w:footnote>
  <w:footnote w:type="continuationSeparator" w:id="0">
    <w:p w:rsidR="002B7298" w:rsidRDefault="002B7298" w:rsidP="002B72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298" w:rsidRPr="002B7298" w:rsidRDefault="002B7298">
    <w:pPr>
      <w:pStyle w:val="Header"/>
      <w:rPr>
        <w:sz w:val="20"/>
        <w:szCs w:val="20"/>
      </w:rPr>
    </w:pPr>
    <w:r w:rsidRPr="00F85CA2">
      <w:rPr>
        <w:sz w:val="20"/>
        <w:szCs w:val="20"/>
      </w:rPr>
      <w:t>A gravity interpretation of the Central North Sea (B</w:t>
    </w:r>
    <w:r>
      <w:rPr>
        <w:sz w:val="20"/>
        <w:szCs w:val="20"/>
      </w:rPr>
      <w:t>GS Report CR/15/119)</w:t>
    </w:r>
    <w:r>
      <w:rPr>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34190"/>
    <w:multiLevelType w:val="multilevel"/>
    <w:tmpl w:val="839EA26E"/>
    <w:lvl w:ilvl="0">
      <w:start w:val="1"/>
      <w:numFmt w:val="decimal"/>
      <w:pStyle w:val="Appendix1"/>
      <w:lvlText w:val="Appendix %1"/>
      <w:lvlJc w:val="left"/>
      <w:pPr>
        <w:tabs>
          <w:tab w:val="num" w:pos="1800"/>
        </w:tabs>
        <w:ind w:left="0" w:firstLine="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81D"/>
    <w:rsid w:val="000F0394"/>
    <w:rsid w:val="0023672A"/>
    <w:rsid w:val="002B7298"/>
    <w:rsid w:val="002C439E"/>
    <w:rsid w:val="00513448"/>
    <w:rsid w:val="005C4341"/>
    <w:rsid w:val="006B1BDF"/>
    <w:rsid w:val="007B612D"/>
    <w:rsid w:val="007D3114"/>
    <w:rsid w:val="00B42B6D"/>
    <w:rsid w:val="00C4681D"/>
    <w:rsid w:val="00E5669A"/>
    <w:rsid w:val="00F240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114"/>
  </w:style>
  <w:style w:type="paragraph" w:styleId="Heading1">
    <w:name w:val="heading 1"/>
    <w:basedOn w:val="Normal"/>
    <w:next w:val="Normal"/>
    <w:link w:val="Heading1Char"/>
    <w:uiPriority w:val="9"/>
    <w:qFormat/>
    <w:rsid w:val="00513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1">
    <w:name w:val="Appendix 1"/>
    <w:basedOn w:val="Heading1"/>
    <w:next w:val="Normal"/>
    <w:rsid w:val="00513448"/>
    <w:pPr>
      <w:numPr>
        <w:numId w:val="1"/>
      </w:numPr>
      <w:tabs>
        <w:tab w:val="clear" w:pos="1800"/>
        <w:tab w:val="left" w:pos="363"/>
      </w:tabs>
      <w:spacing w:before="440" w:after="280" w:line="240" w:lineRule="auto"/>
      <w:jc w:val="both"/>
    </w:pPr>
    <w:rPr>
      <w:rFonts w:ascii="Times New Roman" w:eastAsia="Times New Roman" w:hAnsi="Times New Roman" w:cs="Times New Roman"/>
      <w:b w:val="0"/>
      <w:bCs w:val="0"/>
      <w:color w:val="auto"/>
      <w:sz w:val="40"/>
      <w:szCs w:val="20"/>
    </w:rPr>
  </w:style>
  <w:style w:type="paragraph" w:customStyle="1" w:styleId="Appendix2">
    <w:name w:val="Appendix 2"/>
    <w:basedOn w:val="Normal"/>
    <w:next w:val="Normal"/>
    <w:rsid w:val="00513448"/>
    <w:pPr>
      <w:keepNext/>
      <w:spacing w:before="320" w:after="120" w:line="240" w:lineRule="auto"/>
      <w:jc w:val="both"/>
      <w:outlineLvl w:val="1"/>
    </w:pPr>
    <w:rPr>
      <w:rFonts w:eastAsia="Times New Roman"/>
      <w:b/>
      <w:caps/>
      <w:szCs w:val="20"/>
    </w:rPr>
  </w:style>
  <w:style w:type="table" w:styleId="TableGrid">
    <w:name w:val="Table Grid"/>
    <w:basedOn w:val="TableNormal"/>
    <w:uiPriority w:val="59"/>
    <w:rsid w:val="0051344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1344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2B7298"/>
    <w:pPr>
      <w:tabs>
        <w:tab w:val="center" w:pos="4513"/>
        <w:tab w:val="right" w:pos="9026"/>
      </w:tabs>
      <w:spacing w:line="240" w:lineRule="auto"/>
    </w:pPr>
  </w:style>
  <w:style w:type="character" w:customStyle="1" w:styleId="HeaderChar">
    <w:name w:val="Header Char"/>
    <w:basedOn w:val="DefaultParagraphFont"/>
    <w:link w:val="Header"/>
    <w:uiPriority w:val="99"/>
    <w:rsid w:val="002B7298"/>
  </w:style>
  <w:style w:type="paragraph" w:styleId="Footer">
    <w:name w:val="footer"/>
    <w:basedOn w:val="Normal"/>
    <w:link w:val="FooterChar"/>
    <w:uiPriority w:val="99"/>
    <w:unhideWhenUsed/>
    <w:rsid w:val="002B7298"/>
    <w:pPr>
      <w:tabs>
        <w:tab w:val="center" w:pos="4513"/>
        <w:tab w:val="right" w:pos="9026"/>
      </w:tabs>
      <w:spacing w:line="240" w:lineRule="auto"/>
    </w:pPr>
  </w:style>
  <w:style w:type="character" w:customStyle="1" w:styleId="FooterChar">
    <w:name w:val="Footer Char"/>
    <w:basedOn w:val="DefaultParagraphFont"/>
    <w:link w:val="Footer"/>
    <w:uiPriority w:val="99"/>
    <w:rsid w:val="002B72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114"/>
  </w:style>
  <w:style w:type="paragraph" w:styleId="Heading1">
    <w:name w:val="heading 1"/>
    <w:basedOn w:val="Normal"/>
    <w:next w:val="Normal"/>
    <w:link w:val="Heading1Char"/>
    <w:uiPriority w:val="9"/>
    <w:qFormat/>
    <w:rsid w:val="00513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1">
    <w:name w:val="Appendix 1"/>
    <w:basedOn w:val="Heading1"/>
    <w:next w:val="Normal"/>
    <w:rsid w:val="00513448"/>
    <w:pPr>
      <w:numPr>
        <w:numId w:val="1"/>
      </w:numPr>
      <w:tabs>
        <w:tab w:val="clear" w:pos="1800"/>
        <w:tab w:val="left" w:pos="363"/>
      </w:tabs>
      <w:spacing w:before="440" w:after="280" w:line="240" w:lineRule="auto"/>
      <w:jc w:val="both"/>
    </w:pPr>
    <w:rPr>
      <w:rFonts w:ascii="Times New Roman" w:eastAsia="Times New Roman" w:hAnsi="Times New Roman" w:cs="Times New Roman"/>
      <w:b w:val="0"/>
      <w:bCs w:val="0"/>
      <w:color w:val="auto"/>
      <w:sz w:val="40"/>
      <w:szCs w:val="20"/>
    </w:rPr>
  </w:style>
  <w:style w:type="paragraph" w:customStyle="1" w:styleId="Appendix2">
    <w:name w:val="Appendix 2"/>
    <w:basedOn w:val="Normal"/>
    <w:next w:val="Normal"/>
    <w:rsid w:val="00513448"/>
    <w:pPr>
      <w:keepNext/>
      <w:spacing w:before="320" w:after="120" w:line="240" w:lineRule="auto"/>
      <w:jc w:val="both"/>
      <w:outlineLvl w:val="1"/>
    </w:pPr>
    <w:rPr>
      <w:rFonts w:eastAsia="Times New Roman"/>
      <w:b/>
      <w:caps/>
      <w:szCs w:val="20"/>
    </w:rPr>
  </w:style>
  <w:style w:type="table" w:styleId="TableGrid">
    <w:name w:val="Table Grid"/>
    <w:basedOn w:val="TableNormal"/>
    <w:uiPriority w:val="59"/>
    <w:rsid w:val="0051344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1344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2B7298"/>
    <w:pPr>
      <w:tabs>
        <w:tab w:val="center" w:pos="4513"/>
        <w:tab w:val="right" w:pos="9026"/>
      </w:tabs>
      <w:spacing w:line="240" w:lineRule="auto"/>
    </w:pPr>
  </w:style>
  <w:style w:type="character" w:customStyle="1" w:styleId="HeaderChar">
    <w:name w:val="Header Char"/>
    <w:basedOn w:val="DefaultParagraphFont"/>
    <w:link w:val="Header"/>
    <w:uiPriority w:val="99"/>
    <w:rsid w:val="002B7298"/>
  </w:style>
  <w:style w:type="paragraph" w:styleId="Footer">
    <w:name w:val="footer"/>
    <w:basedOn w:val="Normal"/>
    <w:link w:val="FooterChar"/>
    <w:uiPriority w:val="99"/>
    <w:unhideWhenUsed/>
    <w:rsid w:val="002B7298"/>
    <w:pPr>
      <w:tabs>
        <w:tab w:val="center" w:pos="4513"/>
        <w:tab w:val="right" w:pos="9026"/>
      </w:tabs>
      <w:spacing w:line="240" w:lineRule="auto"/>
    </w:pPr>
  </w:style>
  <w:style w:type="character" w:customStyle="1" w:styleId="FooterChar">
    <w:name w:val="Footer Char"/>
    <w:basedOn w:val="DefaultParagraphFont"/>
    <w:link w:val="Footer"/>
    <w:uiPriority w:val="99"/>
    <w:rsid w:val="002B7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321</Words>
  <Characters>1774</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
    </vt:vector>
  </TitlesOfParts>
  <Company>The British Geological Survey</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Kimbell, Geoffrey S.</dc:creator>
  <cp:keywords/>
  <dc:description/>
  <cp:lastModifiedBy>Kimbell, Geoffrey S.</cp:lastModifiedBy>
  <cp:revision>5</cp:revision>
  <dcterms:created xsi:type="dcterms:W3CDTF">2015-12-11T11:19:00Z</dcterms:created>
  <dcterms:modified xsi:type="dcterms:W3CDTF">2015-12-16T14:11:00Z</dcterms:modified>
</cp:coreProperties>
</file>