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Default="00200CFB">
      <w:pPr>
        <w:pStyle w:val="Heading3"/>
        <w:rPr>
          <w:b/>
          <w:bCs/>
          <w:sz w:val="52"/>
          <w:szCs w:val="52"/>
        </w:rPr>
      </w:pPr>
      <w:r>
        <w:rPr>
          <w:b/>
          <w:bCs/>
          <w:sz w:val="52"/>
          <w:szCs w:val="52"/>
        </w:rPr>
        <w:t>MAPPA Guidance</w:t>
      </w:r>
    </w:p>
    <w:p w14:paraId="198A66C0" w14:textId="77777777" w:rsidR="00F2123B" w:rsidRDefault="00F2123B">
      <w:pPr>
        <w:pStyle w:val="Heading3"/>
        <w:rPr>
          <w:sz w:val="52"/>
          <w:szCs w:val="52"/>
        </w:rPr>
      </w:pPr>
    </w:p>
    <w:p w14:paraId="198A66C1" w14:textId="391B8E4A" w:rsidR="00F2123B" w:rsidRDefault="00200CFB">
      <w:pPr>
        <w:pStyle w:val="Heading3"/>
        <w:rPr>
          <w:b/>
          <w:bCs/>
        </w:rPr>
      </w:pPr>
      <w:r>
        <w:rPr>
          <w:b/>
          <w:bCs/>
        </w:rPr>
        <w:t xml:space="preserve">Updated </w:t>
      </w:r>
      <w:r w:rsidR="005E2A8F">
        <w:rPr>
          <w:b/>
          <w:bCs/>
        </w:rPr>
        <w:t>March</w:t>
      </w:r>
      <w:r>
        <w:rPr>
          <w:b/>
          <w:bCs/>
        </w:rPr>
        <w:t xml:space="preserve"> 202</w:t>
      </w:r>
      <w:r w:rsidR="005E2A8F">
        <w:rPr>
          <w:b/>
          <w:bCs/>
        </w:rPr>
        <w:t>3</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shd w:val="clear" w:color="auto" w:fill="auto"/>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shd w:val="clear" w:color="auto" w:fill="auto"/>
            <w:tcMar>
              <w:top w:w="0" w:type="dxa"/>
              <w:left w:w="108" w:type="dxa"/>
              <w:bottom w:w="0" w:type="dxa"/>
              <w:right w:w="108" w:type="dxa"/>
            </w:tcMar>
          </w:tcPr>
          <w:p w14:paraId="198A66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shd w:val="clear" w:color="auto" w:fill="auto"/>
            <w:tcMar>
              <w:top w:w="0" w:type="dxa"/>
              <w:left w:w="108" w:type="dxa"/>
              <w:bottom w:w="0" w:type="dxa"/>
              <w:right w:w="108" w:type="dxa"/>
            </w:tcMar>
          </w:tcPr>
          <w:p w14:paraId="198A66DB" w14:textId="77777777" w:rsidR="00F2123B" w:rsidRDefault="00200CFB">
            <w:pPr>
              <w:pStyle w:val="Heading4"/>
            </w:pPr>
            <w:r>
              <w:t>1</w:t>
            </w:r>
          </w:p>
        </w:tc>
        <w:tc>
          <w:tcPr>
            <w:tcW w:w="8415" w:type="dxa"/>
            <w:shd w:val="clear" w:color="auto" w:fill="auto"/>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shd w:val="clear" w:color="auto" w:fill="auto"/>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shd w:val="clear" w:color="auto" w:fill="auto"/>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shd w:val="clear" w:color="auto" w:fill="auto"/>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shd w:val="clear" w:color="auto" w:fill="auto"/>
            <w:tcMar>
              <w:top w:w="0" w:type="dxa"/>
              <w:left w:w="108" w:type="dxa"/>
              <w:bottom w:w="0" w:type="dxa"/>
              <w:right w:w="108" w:type="dxa"/>
            </w:tcMar>
          </w:tcPr>
          <w:p w14:paraId="198A66E5"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6E6"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shd w:val="clear" w:color="auto" w:fill="auto"/>
            <w:tcMar>
              <w:top w:w="0" w:type="dxa"/>
              <w:left w:w="108" w:type="dxa"/>
              <w:bottom w:w="0" w:type="dxa"/>
              <w:right w:w="108" w:type="dxa"/>
            </w:tcMar>
          </w:tcPr>
          <w:p w14:paraId="198A66E9" w14:textId="77777777" w:rsidR="00F2123B" w:rsidRDefault="00200CFB">
            <w:pPr>
              <w:pStyle w:val="Heading4"/>
            </w:pPr>
            <w:r>
              <w:t>2</w:t>
            </w:r>
          </w:p>
        </w:tc>
        <w:tc>
          <w:tcPr>
            <w:tcW w:w="8415" w:type="dxa"/>
            <w:shd w:val="clear" w:color="auto" w:fill="auto"/>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shd w:val="clear" w:color="auto" w:fill="auto"/>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shd w:val="clear" w:color="auto" w:fill="auto"/>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shd w:val="clear" w:color="auto" w:fill="auto"/>
            <w:tcMar>
              <w:top w:w="0" w:type="dxa"/>
              <w:left w:w="108" w:type="dxa"/>
              <w:bottom w:w="0" w:type="dxa"/>
              <w:right w:w="108" w:type="dxa"/>
            </w:tcMar>
          </w:tcPr>
          <w:p w14:paraId="198A66F1" w14:textId="77777777" w:rsidR="00F2123B" w:rsidRDefault="00200CFB">
            <w:pPr>
              <w:pStyle w:val="Heading4"/>
            </w:pPr>
            <w:r>
              <w:t>3</w:t>
            </w:r>
          </w:p>
        </w:tc>
        <w:tc>
          <w:tcPr>
            <w:tcW w:w="8415" w:type="dxa"/>
            <w:shd w:val="clear" w:color="auto" w:fill="auto"/>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shd w:val="clear" w:color="auto" w:fill="auto"/>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shd w:val="clear" w:color="auto" w:fill="auto"/>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shd w:val="clear" w:color="auto" w:fill="auto"/>
            <w:tcMar>
              <w:top w:w="0" w:type="dxa"/>
              <w:left w:w="108" w:type="dxa"/>
              <w:bottom w:w="0" w:type="dxa"/>
              <w:right w:w="108" w:type="dxa"/>
            </w:tcMar>
          </w:tcPr>
          <w:p w14:paraId="198A66F9" w14:textId="77777777" w:rsidR="00F2123B" w:rsidRDefault="00200CFB">
            <w:pPr>
              <w:pStyle w:val="Heading4"/>
            </w:pPr>
            <w:r>
              <w:t>4</w:t>
            </w:r>
          </w:p>
        </w:tc>
        <w:tc>
          <w:tcPr>
            <w:tcW w:w="8415" w:type="dxa"/>
            <w:shd w:val="clear" w:color="auto" w:fill="auto"/>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shd w:val="clear" w:color="auto" w:fill="auto"/>
            <w:tcMar>
              <w:top w:w="0" w:type="dxa"/>
              <w:left w:w="108" w:type="dxa"/>
              <w:bottom w:w="0" w:type="dxa"/>
              <w:right w:w="108" w:type="dxa"/>
            </w:tcMar>
          </w:tcPr>
          <w:p w14:paraId="198A66FB" w14:textId="5B9A8898" w:rsidR="00F2123B" w:rsidRDefault="00200CFB">
            <w:pPr>
              <w:pStyle w:val="Heading4"/>
            </w:pPr>
            <w:r>
              <w:t>2</w:t>
            </w:r>
            <w:r w:rsidR="00276088">
              <w:t>1</w:t>
            </w:r>
          </w:p>
        </w:tc>
      </w:tr>
      <w:tr w:rsidR="00F2123B" w14:paraId="198A6700" w14:textId="77777777">
        <w:tc>
          <w:tcPr>
            <w:tcW w:w="669" w:type="dxa"/>
            <w:shd w:val="clear" w:color="auto" w:fill="auto"/>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shd w:val="clear" w:color="auto" w:fill="auto"/>
            <w:tcMar>
              <w:top w:w="0" w:type="dxa"/>
              <w:left w:w="108" w:type="dxa"/>
              <w:bottom w:w="0" w:type="dxa"/>
              <w:right w:w="108" w:type="dxa"/>
            </w:tcMar>
          </w:tcPr>
          <w:p w14:paraId="198A6701" w14:textId="77777777" w:rsidR="00F2123B" w:rsidRDefault="00200CFB">
            <w:pPr>
              <w:pStyle w:val="Heading4"/>
            </w:pPr>
            <w:r>
              <w:t>5</w:t>
            </w:r>
          </w:p>
        </w:tc>
        <w:tc>
          <w:tcPr>
            <w:tcW w:w="8415" w:type="dxa"/>
            <w:shd w:val="clear" w:color="auto" w:fill="auto"/>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shd w:val="clear" w:color="auto" w:fill="auto"/>
            <w:tcMar>
              <w:top w:w="0" w:type="dxa"/>
              <w:left w:w="108" w:type="dxa"/>
              <w:bottom w:w="0" w:type="dxa"/>
              <w:right w:w="108" w:type="dxa"/>
            </w:tcMar>
          </w:tcPr>
          <w:p w14:paraId="198A6703" w14:textId="3E525736" w:rsidR="00F2123B" w:rsidRDefault="00200CFB">
            <w:pPr>
              <w:pStyle w:val="Heading4"/>
            </w:pPr>
            <w:r>
              <w:t>2</w:t>
            </w:r>
            <w:r w:rsidR="00276088">
              <w:t>5</w:t>
            </w:r>
          </w:p>
        </w:tc>
      </w:tr>
      <w:tr w:rsidR="00F2123B" w14:paraId="198A6708" w14:textId="77777777">
        <w:tc>
          <w:tcPr>
            <w:tcW w:w="669" w:type="dxa"/>
            <w:shd w:val="clear" w:color="auto" w:fill="auto"/>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shd w:val="clear" w:color="auto" w:fill="auto"/>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shd w:val="clear" w:color="auto" w:fill="auto"/>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shd w:val="clear" w:color="auto" w:fill="auto"/>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shd w:val="clear" w:color="auto" w:fill="auto"/>
            <w:tcMar>
              <w:top w:w="0" w:type="dxa"/>
              <w:left w:w="108" w:type="dxa"/>
              <w:bottom w:w="0" w:type="dxa"/>
              <w:right w:w="108" w:type="dxa"/>
            </w:tcMar>
          </w:tcPr>
          <w:p w14:paraId="198A670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0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shd w:val="clear" w:color="auto" w:fill="auto"/>
            <w:tcMar>
              <w:top w:w="0" w:type="dxa"/>
              <w:left w:w="108" w:type="dxa"/>
              <w:bottom w:w="0" w:type="dxa"/>
              <w:right w:w="108" w:type="dxa"/>
            </w:tcMar>
          </w:tcPr>
          <w:p w14:paraId="198A670F" w14:textId="77777777" w:rsidR="00F2123B" w:rsidRDefault="00200CFB">
            <w:pPr>
              <w:pStyle w:val="Heading4"/>
            </w:pPr>
            <w:r>
              <w:t>6</w:t>
            </w:r>
          </w:p>
        </w:tc>
        <w:tc>
          <w:tcPr>
            <w:tcW w:w="8415" w:type="dxa"/>
            <w:shd w:val="clear" w:color="auto" w:fill="auto"/>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11" w14:textId="3130015B" w:rsidR="00F2123B" w:rsidRDefault="00200CFB">
            <w:pPr>
              <w:pStyle w:val="Heading4"/>
            </w:pPr>
            <w:r>
              <w:t>3</w:t>
            </w:r>
            <w:r w:rsidR="00276088">
              <w:t>4</w:t>
            </w:r>
          </w:p>
        </w:tc>
      </w:tr>
      <w:tr w:rsidR="00F2123B" w14:paraId="198A6716" w14:textId="77777777">
        <w:tc>
          <w:tcPr>
            <w:tcW w:w="669" w:type="dxa"/>
            <w:shd w:val="clear" w:color="auto" w:fill="auto"/>
            <w:tcMar>
              <w:top w:w="0" w:type="dxa"/>
              <w:left w:w="108" w:type="dxa"/>
              <w:bottom w:w="0" w:type="dxa"/>
              <w:right w:w="108" w:type="dxa"/>
            </w:tcMar>
          </w:tcPr>
          <w:p w14:paraId="198A671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shd w:val="clear" w:color="auto" w:fill="auto"/>
            <w:tcMar>
              <w:top w:w="0" w:type="dxa"/>
              <w:left w:w="108" w:type="dxa"/>
              <w:bottom w:w="0" w:type="dxa"/>
              <w:right w:w="108" w:type="dxa"/>
            </w:tcMar>
          </w:tcPr>
          <w:p w14:paraId="198A6717" w14:textId="77777777" w:rsidR="00F2123B" w:rsidRDefault="00200CFB">
            <w:pPr>
              <w:pStyle w:val="Heading4"/>
            </w:pPr>
            <w:r>
              <w:t>7</w:t>
            </w:r>
          </w:p>
        </w:tc>
        <w:tc>
          <w:tcPr>
            <w:tcW w:w="8415" w:type="dxa"/>
            <w:shd w:val="clear" w:color="auto" w:fill="auto"/>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shd w:val="clear" w:color="auto" w:fill="auto"/>
            <w:tcMar>
              <w:top w:w="0" w:type="dxa"/>
              <w:left w:w="108" w:type="dxa"/>
              <w:bottom w:w="0" w:type="dxa"/>
              <w:right w:w="108" w:type="dxa"/>
            </w:tcMar>
          </w:tcPr>
          <w:p w14:paraId="198A6719" w14:textId="04674A7A" w:rsidR="00F2123B" w:rsidRDefault="00200CFB">
            <w:pPr>
              <w:pStyle w:val="Heading4"/>
            </w:pPr>
            <w:r>
              <w:t>4</w:t>
            </w:r>
            <w:r w:rsidR="002D4074">
              <w:t>2</w:t>
            </w:r>
          </w:p>
        </w:tc>
      </w:tr>
      <w:tr w:rsidR="00F2123B" w14:paraId="198A671E" w14:textId="77777777">
        <w:tc>
          <w:tcPr>
            <w:tcW w:w="669" w:type="dxa"/>
            <w:shd w:val="clear" w:color="auto" w:fill="auto"/>
            <w:tcMar>
              <w:top w:w="0" w:type="dxa"/>
              <w:left w:w="108" w:type="dxa"/>
              <w:bottom w:w="0" w:type="dxa"/>
              <w:right w:w="108" w:type="dxa"/>
            </w:tcMar>
          </w:tcPr>
          <w:p w14:paraId="198A671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1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1D" w14:textId="77777777" w:rsidR="00F2123B" w:rsidRDefault="00F2123B">
            <w:pPr>
              <w:pStyle w:val="Heading4"/>
            </w:pPr>
          </w:p>
        </w:tc>
      </w:tr>
      <w:tr w:rsidR="00F2123B" w14:paraId="198A6722" w14:textId="77777777">
        <w:tc>
          <w:tcPr>
            <w:tcW w:w="669" w:type="dxa"/>
            <w:shd w:val="clear" w:color="auto" w:fill="auto"/>
            <w:tcMar>
              <w:top w:w="0" w:type="dxa"/>
              <w:left w:w="108" w:type="dxa"/>
              <w:bottom w:w="0" w:type="dxa"/>
              <w:right w:w="108" w:type="dxa"/>
            </w:tcMar>
          </w:tcPr>
          <w:p w14:paraId="198A671F" w14:textId="77777777" w:rsidR="00F2123B" w:rsidRDefault="00200CFB">
            <w:pPr>
              <w:pStyle w:val="Heading4"/>
            </w:pPr>
            <w:r>
              <w:t>8</w:t>
            </w:r>
          </w:p>
        </w:tc>
        <w:tc>
          <w:tcPr>
            <w:tcW w:w="8415" w:type="dxa"/>
            <w:shd w:val="clear" w:color="auto" w:fill="auto"/>
            <w:tcMar>
              <w:top w:w="0" w:type="dxa"/>
              <w:left w:w="108" w:type="dxa"/>
              <w:bottom w:w="0" w:type="dxa"/>
              <w:right w:w="108" w:type="dxa"/>
            </w:tcMar>
          </w:tcPr>
          <w:p w14:paraId="198A6720" w14:textId="77777777" w:rsidR="00F2123B" w:rsidRDefault="00200CFB">
            <w:pPr>
              <w:pStyle w:val="Heading4"/>
            </w:pPr>
            <w:r>
              <w:t>ViSOR</w:t>
            </w:r>
          </w:p>
        </w:tc>
        <w:tc>
          <w:tcPr>
            <w:tcW w:w="734" w:type="dxa"/>
            <w:gridSpan w:val="2"/>
            <w:shd w:val="clear" w:color="auto" w:fill="auto"/>
            <w:tcMar>
              <w:top w:w="0" w:type="dxa"/>
              <w:left w:w="108" w:type="dxa"/>
              <w:bottom w:w="0" w:type="dxa"/>
              <w:right w:w="108" w:type="dxa"/>
            </w:tcMar>
          </w:tcPr>
          <w:p w14:paraId="198A6721" w14:textId="21FD2C60" w:rsidR="00F2123B" w:rsidRDefault="00200CFB">
            <w:pPr>
              <w:pStyle w:val="Heading4"/>
            </w:pPr>
            <w:r>
              <w:t>4</w:t>
            </w:r>
            <w:r w:rsidR="00BC56B4">
              <w:t>7</w:t>
            </w:r>
          </w:p>
        </w:tc>
      </w:tr>
      <w:tr w:rsidR="00F2123B" w14:paraId="198A6726" w14:textId="77777777">
        <w:tc>
          <w:tcPr>
            <w:tcW w:w="669" w:type="dxa"/>
            <w:shd w:val="clear" w:color="auto" w:fill="auto"/>
            <w:tcMar>
              <w:top w:w="0" w:type="dxa"/>
              <w:left w:w="108" w:type="dxa"/>
              <w:bottom w:w="0" w:type="dxa"/>
              <w:right w:w="108" w:type="dxa"/>
            </w:tcMar>
          </w:tcPr>
          <w:p w14:paraId="198A672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2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25" w14:textId="77777777" w:rsidR="00F2123B" w:rsidRDefault="00F2123B">
            <w:pPr>
              <w:pStyle w:val="Heading4"/>
            </w:pPr>
          </w:p>
        </w:tc>
      </w:tr>
      <w:tr w:rsidR="00F2123B" w14:paraId="198A672A" w14:textId="77777777">
        <w:tc>
          <w:tcPr>
            <w:tcW w:w="669" w:type="dxa"/>
            <w:shd w:val="clear" w:color="auto" w:fill="auto"/>
            <w:tcMar>
              <w:top w:w="0" w:type="dxa"/>
              <w:left w:w="108" w:type="dxa"/>
              <w:bottom w:w="0" w:type="dxa"/>
              <w:right w:w="108" w:type="dxa"/>
            </w:tcMar>
          </w:tcPr>
          <w:p w14:paraId="198A6727" w14:textId="77777777" w:rsidR="00F2123B" w:rsidRDefault="00200CFB">
            <w:pPr>
              <w:pStyle w:val="Heading4"/>
            </w:pPr>
            <w:r>
              <w:t>9</w:t>
            </w:r>
          </w:p>
        </w:tc>
        <w:tc>
          <w:tcPr>
            <w:tcW w:w="8415" w:type="dxa"/>
            <w:shd w:val="clear" w:color="auto" w:fill="auto"/>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shd w:val="clear" w:color="auto" w:fill="auto"/>
            <w:tcMar>
              <w:top w:w="0" w:type="dxa"/>
              <w:left w:w="108" w:type="dxa"/>
              <w:bottom w:w="0" w:type="dxa"/>
              <w:right w:w="108" w:type="dxa"/>
            </w:tcMar>
          </w:tcPr>
          <w:p w14:paraId="198A6729" w14:textId="6B809E6D" w:rsidR="00F2123B" w:rsidRDefault="00265F26">
            <w:pPr>
              <w:pStyle w:val="Heading4"/>
            </w:pPr>
            <w:r>
              <w:t>5</w:t>
            </w:r>
            <w:r w:rsidR="00BC56B4">
              <w:t>2</w:t>
            </w:r>
          </w:p>
        </w:tc>
      </w:tr>
      <w:tr w:rsidR="00F2123B" w14:paraId="198A672E" w14:textId="77777777">
        <w:tc>
          <w:tcPr>
            <w:tcW w:w="669" w:type="dxa"/>
            <w:shd w:val="clear" w:color="auto" w:fill="auto"/>
            <w:tcMar>
              <w:top w:w="0" w:type="dxa"/>
              <w:left w:w="108" w:type="dxa"/>
              <w:bottom w:w="0" w:type="dxa"/>
              <w:right w:w="108" w:type="dxa"/>
            </w:tcMar>
          </w:tcPr>
          <w:p w14:paraId="198A672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2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shd w:val="clear" w:color="auto" w:fill="auto"/>
            <w:tcMar>
              <w:top w:w="0" w:type="dxa"/>
              <w:left w:w="108" w:type="dxa"/>
              <w:bottom w:w="0" w:type="dxa"/>
              <w:right w:w="108" w:type="dxa"/>
            </w:tcMar>
          </w:tcPr>
          <w:p w14:paraId="198A672F" w14:textId="77777777" w:rsidR="00F2123B" w:rsidRDefault="00200CFB">
            <w:pPr>
              <w:pStyle w:val="Heading4"/>
            </w:pPr>
            <w:r>
              <w:t>10</w:t>
            </w:r>
          </w:p>
        </w:tc>
        <w:tc>
          <w:tcPr>
            <w:tcW w:w="8415" w:type="dxa"/>
            <w:shd w:val="clear" w:color="auto" w:fill="auto"/>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shd w:val="clear" w:color="auto" w:fill="auto"/>
            <w:tcMar>
              <w:top w:w="0" w:type="dxa"/>
              <w:left w:w="108" w:type="dxa"/>
              <w:bottom w:w="0" w:type="dxa"/>
              <w:right w:w="108" w:type="dxa"/>
            </w:tcMar>
          </w:tcPr>
          <w:p w14:paraId="198A6731" w14:textId="0D4A4247" w:rsidR="00F2123B" w:rsidRDefault="00265F26">
            <w:pPr>
              <w:pStyle w:val="Heading4"/>
            </w:pPr>
            <w:r>
              <w:t>5</w:t>
            </w:r>
            <w:r w:rsidR="00BC56B4">
              <w:t>5</w:t>
            </w:r>
          </w:p>
        </w:tc>
      </w:tr>
      <w:tr w:rsidR="00F2123B" w14:paraId="198A6736" w14:textId="77777777">
        <w:tc>
          <w:tcPr>
            <w:tcW w:w="669" w:type="dxa"/>
            <w:shd w:val="clear" w:color="auto" w:fill="auto"/>
            <w:tcMar>
              <w:top w:w="0" w:type="dxa"/>
              <w:left w:w="108" w:type="dxa"/>
              <w:bottom w:w="0" w:type="dxa"/>
              <w:right w:w="108" w:type="dxa"/>
            </w:tcMar>
          </w:tcPr>
          <w:p w14:paraId="198A673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shd w:val="clear" w:color="auto" w:fill="auto"/>
            <w:tcMar>
              <w:top w:w="0" w:type="dxa"/>
              <w:left w:w="108" w:type="dxa"/>
              <w:bottom w:w="0" w:type="dxa"/>
              <w:right w:w="108" w:type="dxa"/>
            </w:tcMar>
          </w:tcPr>
          <w:p w14:paraId="198A6737" w14:textId="77777777" w:rsidR="00F2123B" w:rsidRDefault="00200CFB">
            <w:pPr>
              <w:pStyle w:val="Heading4"/>
            </w:pPr>
            <w:r>
              <w:t>11</w:t>
            </w:r>
          </w:p>
        </w:tc>
        <w:tc>
          <w:tcPr>
            <w:tcW w:w="8415" w:type="dxa"/>
            <w:shd w:val="clear" w:color="auto" w:fill="auto"/>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shd w:val="clear" w:color="auto" w:fill="auto"/>
            <w:tcMar>
              <w:top w:w="0" w:type="dxa"/>
              <w:left w:w="108" w:type="dxa"/>
              <w:bottom w:w="0" w:type="dxa"/>
              <w:right w:w="108" w:type="dxa"/>
            </w:tcMar>
          </w:tcPr>
          <w:p w14:paraId="198A6739" w14:textId="67BA8A4D" w:rsidR="00F2123B" w:rsidRDefault="00265F26">
            <w:pPr>
              <w:pStyle w:val="Heading4"/>
            </w:pPr>
            <w:r>
              <w:t>6</w:t>
            </w:r>
            <w:r w:rsidR="00BC56B4">
              <w:t>1</w:t>
            </w:r>
          </w:p>
        </w:tc>
      </w:tr>
      <w:tr w:rsidR="00F2123B" w14:paraId="198A673E" w14:textId="77777777">
        <w:tc>
          <w:tcPr>
            <w:tcW w:w="669" w:type="dxa"/>
            <w:shd w:val="clear" w:color="auto" w:fill="auto"/>
            <w:tcMar>
              <w:top w:w="0" w:type="dxa"/>
              <w:left w:w="108" w:type="dxa"/>
              <w:bottom w:w="0" w:type="dxa"/>
              <w:right w:w="108" w:type="dxa"/>
            </w:tcMar>
          </w:tcPr>
          <w:p w14:paraId="198A673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3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shd w:val="clear" w:color="auto" w:fill="auto"/>
            <w:tcMar>
              <w:top w:w="0" w:type="dxa"/>
              <w:left w:w="108" w:type="dxa"/>
              <w:bottom w:w="0" w:type="dxa"/>
              <w:right w:w="108" w:type="dxa"/>
            </w:tcMar>
          </w:tcPr>
          <w:p w14:paraId="198A673F" w14:textId="77777777" w:rsidR="00F2123B" w:rsidRDefault="00200CFB">
            <w:pPr>
              <w:pStyle w:val="Heading4"/>
            </w:pPr>
            <w:r>
              <w:t>12</w:t>
            </w:r>
          </w:p>
        </w:tc>
        <w:tc>
          <w:tcPr>
            <w:tcW w:w="8415" w:type="dxa"/>
            <w:shd w:val="clear" w:color="auto" w:fill="auto"/>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shd w:val="clear" w:color="auto" w:fill="auto"/>
            <w:tcMar>
              <w:top w:w="0" w:type="dxa"/>
              <w:left w:w="108" w:type="dxa"/>
              <w:bottom w:w="0" w:type="dxa"/>
              <w:right w:w="108" w:type="dxa"/>
            </w:tcMar>
          </w:tcPr>
          <w:p w14:paraId="198A6741" w14:textId="3179C994" w:rsidR="00F2123B" w:rsidRDefault="00265F26">
            <w:pPr>
              <w:pStyle w:val="Heading4"/>
            </w:pPr>
            <w:r>
              <w:t>6</w:t>
            </w:r>
            <w:r w:rsidR="00BC56B4">
              <w:t>5</w:t>
            </w:r>
          </w:p>
        </w:tc>
      </w:tr>
      <w:tr w:rsidR="00F2123B" w14:paraId="198A6746" w14:textId="77777777">
        <w:tc>
          <w:tcPr>
            <w:tcW w:w="669" w:type="dxa"/>
            <w:shd w:val="clear" w:color="auto" w:fill="auto"/>
            <w:tcMar>
              <w:top w:w="0" w:type="dxa"/>
              <w:left w:w="108" w:type="dxa"/>
              <w:bottom w:w="0" w:type="dxa"/>
              <w:right w:w="108" w:type="dxa"/>
            </w:tcMar>
          </w:tcPr>
          <w:p w14:paraId="198A674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shd w:val="clear" w:color="auto" w:fill="auto"/>
            <w:tcMar>
              <w:top w:w="0" w:type="dxa"/>
              <w:left w:w="108" w:type="dxa"/>
              <w:bottom w:w="0" w:type="dxa"/>
              <w:right w:w="108" w:type="dxa"/>
            </w:tcMar>
          </w:tcPr>
          <w:p w14:paraId="198A6747" w14:textId="77777777" w:rsidR="00F2123B" w:rsidRDefault="00200CFB">
            <w:pPr>
              <w:pStyle w:val="Heading4"/>
            </w:pPr>
            <w:r>
              <w:t>13a</w:t>
            </w:r>
          </w:p>
        </w:tc>
        <w:tc>
          <w:tcPr>
            <w:tcW w:w="8415" w:type="dxa"/>
            <w:shd w:val="clear" w:color="auto" w:fill="auto"/>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shd w:val="clear" w:color="auto" w:fill="auto"/>
            <w:tcMar>
              <w:top w:w="0" w:type="dxa"/>
              <w:left w:w="108" w:type="dxa"/>
              <w:bottom w:w="0" w:type="dxa"/>
              <w:right w:w="108" w:type="dxa"/>
            </w:tcMar>
          </w:tcPr>
          <w:p w14:paraId="198A6749" w14:textId="63A35FB4" w:rsidR="00F2123B" w:rsidRDefault="00265F26">
            <w:pPr>
              <w:pStyle w:val="Heading4"/>
            </w:pPr>
            <w:r>
              <w:t>7</w:t>
            </w:r>
            <w:r w:rsidR="00BC56B4">
              <w:t>1</w:t>
            </w:r>
          </w:p>
        </w:tc>
      </w:tr>
      <w:tr w:rsidR="00F2123B" w14:paraId="198A674E" w14:textId="77777777">
        <w:tc>
          <w:tcPr>
            <w:tcW w:w="669" w:type="dxa"/>
            <w:shd w:val="clear" w:color="auto" w:fill="auto"/>
            <w:tcMar>
              <w:top w:w="0" w:type="dxa"/>
              <w:left w:w="108" w:type="dxa"/>
              <w:bottom w:w="0" w:type="dxa"/>
              <w:right w:w="108" w:type="dxa"/>
            </w:tcMar>
          </w:tcPr>
          <w:p w14:paraId="198A674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4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shd w:val="clear" w:color="auto" w:fill="auto"/>
            <w:tcMar>
              <w:top w:w="0" w:type="dxa"/>
              <w:left w:w="108" w:type="dxa"/>
              <w:bottom w:w="0" w:type="dxa"/>
              <w:right w:w="108" w:type="dxa"/>
            </w:tcMar>
          </w:tcPr>
          <w:p w14:paraId="198A674F" w14:textId="77777777" w:rsidR="00F2123B" w:rsidRDefault="00200CFB">
            <w:pPr>
              <w:pStyle w:val="Heading4"/>
            </w:pPr>
            <w:r>
              <w:t>13b</w:t>
            </w:r>
          </w:p>
        </w:tc>
        <w:tc>
          <w:tcPr>
            <w:tcW w:w="8415" w:type="dxa"/>
            <w:shd w:val="clear" w:color="auto" w:fill="auto"/>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shd w:val="clear" w:color="auto" w:fill="auto"/>
            <w:tcMar>
              <w:top w:w="0" w:type="dxa"/>
              <w:left w:w="108" w:type="dxa"/>
              <w:bottom w:w="0" w:type="dxa"/>
              <w:right w:w="108" w:type="dxa"/>
            </w:tcMar>
          </w:tcPr>
          <w:p w14:paraId="198A6751" w14:textId="1BEE9F9B" w:rsidR="00F2123B" w:rsidRDefault="003C492E">
            <w:pPr>
              <w:pStyle w:val="Heading4"/>
            </w:pPr>
            <w:r>
              <w:t>7</w:t>
            </w:r>
            <w:r w:rsidR="00BC56B4">
              <w:t>8</w:t>
            </w:r>
          </w:p>
        </w:tc>
      </w:tr>
      <w:tr w:rsidR="00F2123B" w14:paraId="198A6756" w14:textId="77777777">
        <w:tc>
          <w:tcPr>
            <w:tcW w:w="669" w:type="dxa"/>
            <w:shd w:val="clear" w:color="auto" w:fill="auto"/>
            <w:tcMar>
              <w:top w:w="0" w:type="dxa"/>
              <w:left w:w="108" w:type="dxa"/>
              <w:bottom w:w="0" w:type="dxa"/>
              <w:right w:w="108" w:type="dxa"/>
            </w:tcMar>
          </w:tcPr>
          <w:p w14:paraId="198A675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5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55" w14:textId="77777777" w:rsidR="00F2123B" w:rsidRDefault="00F2123B">
            <w:pPr>
              <w:pStyle w:val="Heading4"/>
            </w:pPr>
          </w:p>
        </w:tc>
      </w:tr>
      <w:tr w:rsidR="00F2123B" w14:paraId="198A675A" w14:textId="77777777">
        <w:tc>
          <w:tcPr>
            <w:tcW w:w="669" w:type="dxa"/>
            <w:shd w:val="clear" w:color="auto" w:fill="auto"/>
            <w:tcMar>
              <w:top w:w="0" w:type="dxa"/>
              <w:left w:w="108" w:type="dxa"/>
              <w:bottom w:w="0" w:type="dxa"/>
              <w:right w:w="108" w:type="dxa"/>
            </w:tcMar>
          </w:tcPr>
          <w:p w14:paraId="198A6757" w14:textId="77777777" w:rsidR="00F2123B" w:rsidRDefault="00200CFB">
            <w:pPr>
              <w:pStyle w:val="Heading4"/>
            </w:pPr>
            <w:r>
              <w:t>14</w:t>
            </w:r>
          </w:p>
        </w:tc>
        <w:tc>
          <w:tcPr>
            <w:tcW w:w="8415" w:type="dxa"/>
            <w:shd w:val="clear" w:color="auto" w:fill="auto"/>
            <w:tcMar>
              <w:top w:w="0" w:type="dxa"/>
              <w:left w:w="108" w:type="dxa"/>
              <w:bottom w:w="0" w:type="dxa"/>
              <w:right w:w="108" w:type="dxa"/>
            </w:tcMar>
          </w:tcPr>
          <w:p w14:paraId="198A6758" w14:textId="77777777" w:rsidR="00F2123B" w:rsidRDefault="00200CFB">
            <w:pPr>
              <w:pStyle w:val="Heading4"/>
            </w:pPr>
            <w:r>
              <w:t>MAPPA</w:t>
            </w:r>
            <w:r>
              <w:rPr>
                <w:rFonts w:eastAsia="Arial"/>
              </w:rPr>
              <w:t xml:space="preserve"> </w:t>
            </w:r>
            <w:r>
              <w:t>Document</w:t>
            </w:r>
            <w:r>
              <w:rPr>
                <w:rFonts w:eastAsia="Arial"/>
              </w:rPr>
              <w:t xml:space="preserve"> </w:t>
            </w:r>
            <w:r>
              <w:t>Set</w:t>
            </w:r>
          </w:p>
        </w:tc>
        <w:tc>
          <w:tcPr>
            <w:tcW w:w="734" w:type="dxa"/>
            <w:gridSpan w:val="2"/>
            <w:shd w:val="clear" w:color="auto" w:fill="auto"/>
            <w:tcMar>
              <w:top w:w="0" w:type="dxa"/>
              <w:left w:w="108" w:type="dxa"/>
              <w:bottom w:w="0" w:type="dxa"/>
              <w:right w:w="108" w:type="dxa"/>
            </w:tcMar>
          </w:tcPr>
          <w:p w14:paraId="198A6759" w14:textId="0B7F2E84" w:rsidR="00F2123B" w:rsidRDefault="003C492E">
            <w:pPr>
              <w:pStyle w:val="Heading4"/>
            </w:pPr>
            <w:r>
              <w:t>8</w:t>
            </w:r>
            <w:r w:rsidR="00BC56B4">
              <w:t>5</w:t>
            </w:r>
          </w:p>
        </w:tc>
      </w:tr>
      <w:tr w:rsidR="00F2123B" w14:paraId="198A675E" w14:textId="77777777">
        <w:tc>
          <w:tcPr>
            <w:tcW w:w="669" w:type="dxa"/>
            <w:shd w:val="clear" w:color="auto" w:fill="auto"/>
            <w:tcMar>
              <w:top w:w="0" w:type="dxa"/>
              <w:left w:w="108" w:type="dxa"/>
              <w:bottom w:w="0" w:type="dxa"/>
              <w:right w:w="108" w:type="dxa"/>
            </w:tcMar>
          </w:tcPr>
          <w:p w14:paraId="198A675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5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5D" w14:textId="77777777" w:rsidR="00F2123B" w:rsidRDefault="00F2123B">
            <w:pPr>
              <w:pStyle w:val="Heading4"/>
            </w:pPr>
          </w:p>
        </w:tc>
      </w:tr>
      <w:tr w:rsidR="00F2123B" w14:paraId="198A6762" w14:textId="77777777">
        <w:tc>
          <w:tcPr>
            <w:tcW w:w="669" w:type="dxa"/>
            <w:shd w:val="clear" w:color="auto" w:fill="auto"/>
            <w:tcMar>
              <w:top w:w="0" w:type="dxa"/>
              <w:left w:w="108" w:type="dxa"/>
              <w:bottom w:w="0" w:type="dxa"/>
              <w:right w:w="108" w:type="dxa"/>
            </w:tcMar>
          </w:tcPr>
          <w:p w14:paraId="198A675F" w14:textId="77777777" w:rsidR="00F2123B" w:rsidRDefault="00200CFB">
            <w:pPr>
              <w:pStyle w:val="Heading4"/>
            </w:pPr>
            <w:r>
              <w:t>15</w:t>
            </w:r>
          </w:p>
        </w:tc>
        <w:tc>
          <w:tcPr>
            <w:tcW w:w="8415" w:type="dxa"/>
            <w:shd w:val="clear" w:color="auto" w:fill="auto"/>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shd w:val="clear" w:color="auto" w:fill="auto"/>
            <w:tcMar>
              <w:top w:w="0" w:type="dxa"/>
              <w:left w:w="108" w:type="dxa"/>
              <w:bottom w:w="0" w:type="dxa"/>
              <w:right w:w="108" w:type="dxa"/>
            </w:tcMar>
          </w:tcPr>
          <w:p w14:paraId="198A6761" w14:textId="7957A2C8" w:rsidR="00F2123B" w:rsidRDefault="00BC56B4">
            <w:pPr>
              <w:pStyle w:val="Heading4"/>
            </w:pPr>
            <w:r>
              <w:t>90</w:t>
            </w:r>
          </w:p>
        </w:tc>
      </w:tr>
      <w:tr w:rsidR="00F2123B" w14:paraId="198A6766" w14:textId="77777777">
        <w:tc>
          <w:tcPr>
            <w:tcW w:w="669" w:type="dxa"/>
            <w:shd w:val="clear" w:color="auto" w:fill="auto"/>
            <w:tcMar>
              <w:top w:w="0" w:type="dxa"/>
              <w:left w:w="108" w:type="dxa"/>
              <w:bottom w:w="0" w:type="dxa"/>
              <w:right w:w="108" w:type="dxa"/>
            </w:tcMar>
          </w:tcPr>
          <w:p w14:paraId="198A676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shd w:val="clear" w:color="auto" w:fill="auto"/>
            <w:tcMar>
              <w:top w:w="0" w:type="dxa"/>
              <w:left w:w="108" w:type="dxa"/>
              <w:bottom w:w="0" w:type="dxa"/>
              <w:right w:w="108" w:type="dxa"/>
            </w:tcMar>
          </w:tcPr>
          <w:p w14:paraId="198A6767" w14:textId="77777777" w:rsidR="00F2123B" w:rsidRDefault="00200CFB">
            <w:pPr>
              <w:pStyle w:val="Heading4"/>
            </w:pPr>
            <w:r>
              <w:t>16</w:t>
            </w:r>
          </w:p>
        </w:tc>
        <w:tc>
          <w:tcPr>
            <w:tcW w:w="8415" w:type="dxa"/>
            <w:shd w:val="clear" w:color="auto" w:fill="auto"/>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shd w:val="clear" w:color="auto" w:fill="auto"/>
            <w:tcMar>
              <w:top w:w="0" w:type="dxa"/>
              <w:left w:w="108" w:type="dxa"/>
              <w:bottom w:w="0" w:type="dxa"/>
              <w:right w:w="108" w:type="dxa"/>
            </w:tcMar>
          </w:tcPr>
          <w:p w14:paraId="198A6769" w14:textId="31BFCB22" w:rsidR="00F2123B" w:rsidRDefault="003C492E">
            <w:pPr>
              <w:pStyle w:val="Heading4"/>
            </w:pPr>
            <w:r>
              <w:t>9</w:t>
            </w:r>
            <w:r w:rsidR="00BC56B4">
              <w:t>7</w:t>
            </w:r>
          </w:p>
        </w:tc>
      </w:tr>
      <w:tr w:rsidR="00F2123B" w14:paraId="198A676E" w14:textId="77777777">
        <w:tc>
          <w:tcPr>
            <w:tcW w:w="669" w:type="dxa"/>
            <w:shd w:val="clear" w:color="auto" w:fill="auto"/>
            <w:tcMar>
              <w:top w:w="0" w:type="dxa"/>
              <w:left w:w="108" w:type="dxa"/>
              <w:bottom w:w="0" w:type="dxa"/>
              <w:right w:w="108" w:type="dxa"/>
            </w:tcMar>
          </w:tcPr>
          <w:p w14:paraId="198A676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6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shd w:val="clear" w:color="auto" w:fill="auto"/>
            <w:tcMar>
              <w:top w:w="0" w:type="dxa"/>
              <w:left w:w="108" w:type="dxa"/>
              <w:bottom w:w="0" w:type="dxa"/>
              <w:right w:w="108" w:type="dxa"/>
            </w:tcMar>
          </w:tcPr>
          <w:p w14:paraId="198A676F" w14:textId="77777777" w:rsidR="00F2123B" w:rsidRDefault="00200CFB">
            <w:pPr>
              <w:pStyle w:val="Heading4"/>
            </w:pPr>
            <w:r>
              <w:t>17</w:t>
            </w:r>
          </w:p>
        </w:tc>
        <w:tc>
          <w:tcPr>
            <w:tcW w:w="8415" w:type="dxa"/>
            <w:shd w:val="clear" w:color="auto" w:fill="auto"/>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1" w14:textId="3870512C" w:rsidR="00F2123B" w:rsidRDefault="00836362">
            <w:pPr>
              <w:pStyle w:val="Heading4"/>
            </w:pPr>
            <w:r>
              <w:t>10</w:t>
            </w:r>
            <w:r w:rsidR="00BC56B4">
              <w:t>1</w:t>
            </w:r>
          </w:p>
        </w:tc>
      </w:tr>
      <w:tr w:rsidR="00F2123B" w14:paraId="198A6776" w14:textId="77777777">
        <w:tc>
          <w:tcPr>
            <w:tcW w:w="669" w:type="dxa"/>
            <w:shd w:val="clear" w:color="auto" w:fill="auto"/>
            <w:tcMar>
              <w:top w:w="0" w:type="dxa"/>
              <w:left w:w="108" w:type="dxa"/>
              <w:bottom w:w="0" w:type="dxa"/>
              <w:right w:w="108" w:type="dxa"/>
            </w:tcMar>
          </w:tcPr>
          <w:p w14:paraId="198A677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5" w14:textId="77777777" w:rsidR="00F2123B" w:rsidRDefault="00F2123B">
            <w:pPr>
              <w:pStyle w:val="Heading4"/>
            </w:pPr>
          </w:p>
        </w:tc>
      </w:tr>
      <w:tr w:rsidR="00F2123B" w14:paraId="198A677A" w14:textId="77777777">
        <w:tc>
          <w:tcPr>
            <w:tcW w:w="669" w:type="dxa"/>
            <w:shd w:val="clear" w:color="auto" w:fill="auto"/>
            <w:tcMar>
              <w:top w:w="0" w:type="dxa"/>
              <w:left w:w="108" w:type="dxa"/>
              <w:bottom w:w="0" w:type="dxa"/>
              <w:right w:w="108" w:type="dxa"/>
            </w:tcMar>
          </w:tcPr>
          <w:p w14:paraId="198A6777" w14:textId="77777777" w:rsidR="00F2123B" w:rsidRDefault="00200CFB">
            <w:pPr>
              <w:pStyle w:val="Heading4"/>
            </w:pPr>
            <w:r>
              <w:t>19</w:t>
            </w:r>
          </w:p>
        </w:tc>
        <w:tc>
          <w:tcPr>
            <w:tcW w:w="8415" w:type="dxa"/>
            <w:shd w:val="clear" w:color="auto" w:fill="auto"/>
            <w:tcMar>
              <w:top w:w="0" w:type="dxa"/>
              <w:left w:w="108" w:type="dxa"/>
              <w:bottom w:w="0" w:type="dxa"/>
              <w:right w:w="108" w:type="dxa"/>
            </w:tcMar>
          </w:tcPr>
          <w:p w14:paraId="198A6778" w14:textId="77777777" w:rsidR="00F2123B" w:rsidRDefault="00200CFB">
            <w:pPr>
              <w:pStyle w:val="Heading4"/>
            </w:pPr>
            <w:r>
              <w:t>Critical</w:t>
            </w:r>
            <w:r>
              <w:rPr>
                <w:rFonts w:eastAsia="Arial"/>
              </w:rPr>
              <w:t xml:space="preserve"> </w:t>
            </w:r>
            <w:r>
              <w:t>Public</w:t>
            </w:r>
            <w:r>
              <w:rPr>
                <w:rFonts w:eastAsia="Arial"/>
              </w:rPr>
              <w:t xml:space="preserve"> </w:t>
            </w:r>
            <w:r>
              <w:t>Protection</w:t>
            </w:r>
            <w:r>
              <w:rPr>
                <w:rFonts w:eastAsia="Arial"/>
              </w:rPr>
              <w:t xml:space="preserve"> </w:t>
            </w:r>
            <w:r>
              <w:t>Cases</w:t>
            </w:r>
          </w:p>
        </w:tc>
        <w:tc>
          <w:tcPr>
            <w:tcW w:w="734" w:type="dxa"/>
            <w:gridSpan w:val="2"/>
            <w:shd w:val="clear" w:color="auto" w:fill="auto"/>
            <w:tcMar>
              <w:top w:w="0" w:type="dxa"/>
              <w:left w:w="108" w:type="dxa"/>
              <w:bottom w:w="0" w:type="dxa"/>
              <w:right w:w="108" w:type="dxa"/>
            </w:tcMar>
          </w:tcPr>
          <w:p w14:paraId="198A6779" w14:textId="7C9AD1DE" w:rsidR="00F2123B" w:rsidRDefault="003C492E">
            <w:pPr>
              <w:pStyle w:val="Heading4"/>
            </w:pPr>
            <w:r>
              <w:t>10</w:t>
            </w:r>
            <w:r w:rsidR="00BC56B4">
              <w:t>3</w:t>
            </w:r>
          </w:p>
        </w:tc>
      </w:tr>
      <w:tr w:rsidR="00F2123B" w14:paraId="198A677E" w14:textId="77777777">
        <w:tc>
          <w:tcPr>
            <w:tcW w:w="669" w:type="dxa"/>
            <w:shd w:val="clear" w:color="auto" w:fill="auto"/>
            <w:tcMar>
              <w:top w:w="0" w:type="dxa"/>
              <w:left w:w="108" w:type="dxa"/>
              <w:bottom w:w="0" w:type="dxa"/>
              <w:right w:w="108" w:type="dxa"/>
            </w:tcMar>
          </w:tcPr>
          <w:p w14:paraId="198A677B"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7C"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7D" w14:textId="77777777" w:rsidR="00F2123B" w:rsidRDefault="00F2123B">
            <w:pPr>
              <w:pStyle w:val="Heading4"/>
            </w:pPr>
          </w:p>
        </w:tc>
      </w:tr>
      <w:tr w:rsidR="00F2123B" w14:paraId="198A6782" w14:textId="77777777">
        <w:tc>
          <w:tcPr>
            <w:tcW w:w="669" w:type="dxa"/>
            <w:shd w:val="clear" w:color="auto" w:fill="auto"/>
            <w:tcMar>
              <w:top w:w="0" w:type="dxa"/>
              <w:left w:w="108" w:type="dxa"/>
              <w:bottom w:w="0" w:type="dxa"/>
              <w:right w:w="108" w:type="dxa"/>
            </w:tcMar>
          </w:tcPr>
          <w:p w14:paraId="198A677F" w14:textId="77777777" w:rsidR="00F2123B" w:rsidRDefault="00200CFB">
            <w:pPr>
              <w:pStyle w:val="Heading4"/>
            </w:pPr>
            <w:r>
              <w:t>20</w:t>
            </w:r>
          </w:p>
        </w:tc>
        <w:tc>
          <w:tcPr>
            <w:tcW w:w="8415" w:type="dxa"/>
            <w:shd w:val="clear" w:color="auto" w:fill="auto"/>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shd w:val="clear" w:color="auto" w:fill="auto"/>
            <w:tcMar>
              <w:top w:w="0" w:type="dxa"/>
              <w:left w:w="108" w:type="dxa"/>
              <w:bottom w:w="0" w:type="dxa"/>
              <w:right w:w="108" w:type="dxa"/>
            </w:tcMar>
          </w:tcPr>
          <w:p w14:paraId="198A6781" w14:textId="692EB288" w:rsidR="00F2123B" w:rsidRDefault="003C492E">
            <w:pPr>
              <w:pStyle w:val="Heading4"/>
            </w:pPr>
            <w:r>
              <w:t>10</w:t>
            </w:r>
            <w:r w:rsidR="00BC56B4">
              <w:t>5</w:t>
            </w:r>
          </w:p>
        </w:tc>
      </w:tr>
      <w:tr w:rsidR="00F2123B" w14:paraId="198A6786" w14:textId="77777777">
        <w:tc>
          <w:tcPr>
            <w:tcW w:w="669" w:type="dxa"/>
            <w:shd w:val="clear" w:color="auto" w:fill="auto"/>
            <w:tcMar>
              <w:top w:w="0" w:type="dxa"/>
              <w:left w:w="108" w:type="dxa"/>
              <w:bottom w:w="0" w:type="dxa"/>
              <w:right w:w="108" w:type="dxa"/>
            </w:tcMar>
          </w:tcPr>
          <w:p w14:paraId="198A6783"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4"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shd w:val="clear" w:color="auto" w:fill="auto"/>
            <w:tcMar>
              <w:top w:w="0" w:type="dxa"/>
              <w:left w:w="108" w:type="dxa"/>
              <w:bottom w:w="0" w:type="dxa"/>
              <w:right w:w="108" w:type="dxa"/>
            </w:tcMar>
          </w:tcPr>
          <w:p w14:paraId="34073342" w14:textId="672A106C" w:rsidR="00136955" w:rsidRDefault="00136955">
            <w:pPr>
              <w:pStyle w:val="Heading4"/>
            </w:pPr>
            <w:r>
              <w:t>21</w:t>
            </w:r>
          </w:p>
        </w:tc>
        <w:tc>
          <w:tcPr>
            <w:tcW w:w="8415" w:type="dxa"/>
            <w:shd w:val="clear" w:color="auto" w:fill="auto"/>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shd w:val="clear" w:color="auto" w:fill="auto"/>
            <w:tcMar>
              <w:top w:w="0" w:type="dxa"/>
              <w:left w:w="108" w:type="dxa"/>
              <w:bottom w:w="0" w:type="dxa"/>
              <w:right w:w="108" w:type="dxa"/>
            </w:tcMar>
          </w:tcPr>
          <w:p w14:paraId="062D413F" w14:textId="430F8746" w:rsidR="00136955" w:rsidRDefault="00184C2F">
            <w:pPr>
              <w:pStyle w:val="Heading4"/>
            </w:pPr>
            <w:r>
              <w:t>1</w:t>
            </w:r>
            <w:r w:rsidR="003C492E">
              <w:t>1</w:t>
            </w:r>
            <w:r w:rsidR="00BC56B4">
              <w:t>2</w:t>
            </w:r>
          </w:p>
        </w:tc>
      </w:tr>
      <w:tr w:rsidR="00136955" w14:paraId="572EAD03" w14:textId="77777777">
        <w:tc>
          <w:tcPr>
            <w:tcW w:w="669" w:type="dxa"/>
            <w:shd w:val="clear" w:color="auto" w:fill="auto"/>
            <w:tcMar>
              <w:top w:w="0" w:type="dxa"/>
              <w:left w:w="108" w:type="dxa"/>
              <w:bottom w:w="0" w:type="dxa"/>
              <w:right w:w="108" w:type="dxa"/>
            </w:tcMar>
          </w:tcPr>
          <w:p w14:paraId="2217BECB" w14:textId="77777777" w:rsidR="00136955" w:rsidRDefault="00136955">
            <w:pPr>
              <w:pStyle w:val="Heading4"/>
            </w:pPr>
          </w:p>
        </w:tc>
        <w:tc>
          <w:tcPr>
            <w:tcW w:w="8415" w:type="dxa"/>
            <w:shd w:val="clear" w:color="auto" w:fill="auto"/>
            <w:tcMar>
              <w:top w:w="0" w:type="dxa"/>
              <w:left w:w="108" w:type="dxa"/>
              <w:bottom w:w="0" w:type="dxa"/>
              <w:right w:w="108" w:type="dxa"/>
            </w:tcMar>
          </w:tcPr>
          <w:p w14:paraId="03FF3A35" w14:textId="77777777" w:rsidR="00136955" w:rsidRDefault="00136955">
            <w:pPr>
              <w:pStyle w:val="Heading4"/>
            </w:pPr>
          </w:p>
        </w:tc>
        <w:tc>
          <w:tcPr>
            <w:tcW w:w="734" w:type="dxa"/>
            <w:gridSpan w:val="2"/>
            <w:shd w:val="clear" w:color="auto" w:fill="auto"/>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shd w:val="clear" w:color="auto" w:fill="auto"/>
            <w:tcMar>
              <w:top w:w="0" w:type="dxa"/>
              <w:left w:w="108" w:type="dxa"/>
              <w:bottom w:w="0" w:type="dxa"/>
              <w:right w:w="108" w:type="dxa"/>
            </w:tcMar>
          </w:tcPr>
          <w:p w14:paraId="198A6787" w14:textId="77777777" w:rsidR="00F2123B" w:rsidRDefault="00200CFB">
            <w:pPr>
              <w:pStyle w:val="Heading4"/>
            </w:pPr>
            <w:r>
              <w:rPr>
                <w:i/>
                <w:iCs/>
                <w:sz w:val="28"/>
                <w:szCs w:val="28"/>
              </w:rPr>
              <w:t>Particular</w:t>
            </w:r>
            <w:r>
              <w:rPr>
                <w:rFonts w:eastAsia="Arial"/>
                <w:i/>
                <w:iCs/>
                <w:sz w:val="28"/>
                <w:szCs w:val="28"/>
              </w:rPr>
              <w:t xml:space="preserve"> </w:t>
            </w:r>
            <w:r>
              <w:rPr>
                <w:i/>
                <w:iCs/>
                <w:sz w:val="28"/>
                <w:szCs w:val="28"/>
              </w:rPr>
              <w:t>groups</w:t>
            </w:r>
          </w:p>
        </w:tc>
      </w:tr>
      <w:tr w:rsidR="00F2123B" w14:paraId="198A678C" w14:textId="77777777">
        <w:tc>
          <w:tcPr>
            <w:tcW w:w="669" w:type="dxa"/>
            <w:shd w:val="clear" w:color="auto" w:fill="auto"/>
            <w:tcMar>
              <w:top w:w="0" w:type="dxa"/>
              <w:left w:w="108" w:type="dxa"/>
              <w:bottom w:w="0" w:type="dxa"/>
              <w:right w:w="108" w:type="dxa"/>
            </w:tcMar>
          </w:tcPr>
          <w:p w14:paraId="198A678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8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shd w:val="clear" w:color="auto" w:fill="auto"/>
            <w:tcMar>
              <w:top w:w="0" w:type="dxa"/>
              <w:left w:w="108" w:type="dxa"/>
              <w:bottom w:w="0" w:type="dxa"/>
              <w:right w:w="108" w:type="dxa"/>
            </w:tcMar>
          </w:tcPr>
          <w:p w14:paraId="198A678D" w14:textId="77777777" w:rsidR="00F2123B" w:rsidRDefault="00200CFB">
            <w:pPr>
              <w:pStyle w:val="Heading4"/>
            </w:pPr>
            <w:r>
              <w:t>22</w:t>
            </w:r>
          </w:p>
        </w:tc>
        <w:tc>
          <w:tcPr>
            <w:tcW w:w="8415" w:type="dxa"/>
            <w:shd w:val="clear" w:color="auto" w:fill="auto"/>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shd w:val="clear" w:color="auto" w:fill="auto"/>
            <w:tcMar>
              <w:top w:w="0" w:type="dxa"/>
              <w:left w:w="108" w:type="dxa"/>
              <w:bottom w:w="0" w:type="dxa"/>
              <w:right w:w="108" w:type="dxa"/>
            </w:tcMar>
          </w:tcPr>
          <w:p w14:paraId="198A678F" w14:textId="03948076" w:rsidR="00F2123B" w:rsidRDefault="00200CFB">
            <w:pPr>
              <w:pStyle w:val="Heading4"/>
            </w:pPr>
            <w:r>
              <w:t>11</w:t>
            </w:r>
            <w:r w:rsidR="00BC56B4">
              <w:t>7</w:t>
            </w:r>
          </w:p>
        </w:tc>
      </w:tr>
      <w:tr w:rsidR="00F2123B" w14:paraId="198A6794" w14:textId="77777777">
        <w:tc>
          <w:tcPr>
            <w:tcW w:w="669" w:type="dxa"/>
            <w:shd w:val="clear" w:color="auto" w:fill="auto"/>
            <w:tcMar>
              <w:top w:w="0" w:type="dxa"/>
              <w:left w:w="108" w:type="dxa"/>
              <w:bottom w:w="0" w:type="dxa"/>
              <w:right w:w="108" w:type="dxa"/>
            </w:tcMar>
          </w:tcPr>
          <w:p w14:paraId="198A679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shd w:val="clear" w:color="auto" w:fill="auto"/>
            <w:tcMar>
              <w:top w:w="0" w:type="dxa"/>
              <w:left w:w="108" w:type="dxa"/>
              <w:bottom w:w="0" w:type="dxa"/>
              <w:right w:w="108" w:type="dxa"/>
            </w:tcMar>
          </w:tcPr>
          <w:p w14:paraId="198A6795" w14:textId="77777777" w:rsidR="00F2123B" w:rsidRDefault="00200CFB">
            <w:pPr>
              <w:pStyle w:val="Heading4"/>
            </w:pPr>
            <w:r>
              <w:t>23</w:t>
            </w:r>
          </w:p>
        </w:tc>
        <w:tc>
          <w:tcPr>
            <w:tcW w:w="8415" w:type="dxa"/>
            <w:shd w:val="clear" w:color="auto" w:fill="auto"/>
            <w:tcMar>
              <w:top w:w="0" w:type="dxa"/>
              <w:left w:w="108" w:type="dxa"/>
              <w:bottom w:w="0" w:type="dxa"/>
              <w:right w:w="108" w:type="dxa"/>
            </w:tcMar>
          </w:tcPr>
          <w:p w14:paraId="198A6796" w14:textId="77777777" w:rsidR="00F2123B" w:rsidRDefault="00200CFB">
            <w:pPr>
              <w:pStyle w:val="Heading4"/>
            </w:pPr>
            <w:r>
              <w:t>Children</w:t>
            </w:r>
            <w:r>
              <w:rPr>
                <w:rFonts w:eastAsia="Arial"/>
              </w:rPr>
              <w:t xml:space="preserve"> </w:t>
            </w:r>
            <w:r>
              <w:t>and</w:t>
            </w:r>
            <w:r>
              <w:rPr>
                <w:rFonts w:eastAsia="Arial"/>
              </w:rPr>
              <w:t xml:space="preserve"> </w:t>
            </w:r>
            <w:r>
              <w:t>Young</w:t>
            </w:r>
            <w:r>
              <w:rPr>
                <w:rFonts w:eastAsia="Arial"/>
              </w:rPr>
              <w:t xml:space="preserve"> </w:t>
            </w:r>
            <w:r>
              <w:t>People</w:t>
            </w:r>
          </w:p>
        </w:tc>
        <w:tc>
          <w:tcPr>
            <w:tcW w:w="734" w:type="dxa"/>
            <w:gridSpan w:val="2"/>
            <w:shd w:val="clear" w:color="auto" w:fill="auto"/>
            <w:tcMar>
              <w:top w:w="0" w:type="dxa"/>
              <w:left w:w="108" w:type="dxa"/>
              <w:bottom w:w="0" w:type="dxa"/>
              <w:right w:w="108" w:type="dxa"/>
            </w:tcMar>
          </w:tcPr>
          <w:p w14:paraId="198A6797" w14:textId="67A5F436" w:rsidR="00F2123B" w:rsidRDefault="00200CFB">
            <w:pPr>
              <w:pStyle w:val="Heading4"/>
            </w:pPr>
            <w:r>
              <w:t>1</w:t>
            </w:r>
            <w:r w:rsidR="003C492E">
              <w:t>2</w:t>
            </w:r>
            <w:r w:rsidR="00BC56B4">
              <w:t>2</w:t>
            </w:r>
          </w:p>
        </w:tc>
      </w:tr>
      <w:tr w:rsidR="00F2123B" w14:paraId="198A679C" w14:textId="77777777">
        <w:tc>
          <w:tcPr>
            <w:tcW w:w="669" w:type="dxa"/>
            <w:shd w:val="clear" w:color="auto" w:fill="auto"/>
            <w:tcMar>
              <w:top w:w="0" w:type="dxa"/>
              <w:left w:w="108" w:type="dxa"/>
              <w:bottom w:w="0" w:type="dxa"/>
              <w:right w:w="108" w:type="dxa"/>
            </w:tcMar>
          </w:tcPr>
          <w:p w14:paraId="198A679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9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shd w:val="clear" w:color="auto" w:fill="auto"/>
            <w:tcMar>
              <w:top w:w="0" w:type="dxa"/>
              <w:left w:w="108" w:type="dxa"/>
              <w:bottom w:w="0" w:type="dxa"/>
              <w:right w:w="108" w:type="dxa"/>
            </w:tcMar>
          </w:tcPr>
          <w:p w14:paraId="198A679D" w14:textId="77777777" w:rsidR="00F2123B" w:rsidRDefault="00200CFB">
            <w:pPr>
              <w:pStyle w:val="Heading4"/>
            </w:pPr>
            <w:r>
              <w:t>24</w:t>
            </w:r>
          </w:p>
        </w:tc>
        <w:tc>
          <w:tcPr>
            <w:tcW w:w="8415" w:type="dxa"/>
            <w:shd w:val="clear" w:color="auto" w:fill="auto"/>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shd w:val="clear" w:color="auto" w:fill="auto"/>
            <w:tcMar>
              <w:top w:w="0" w:type="dxa"/>
              <w:left w:w="108" w:type="dxa"/>
              <w:bottom w:w="0" w:type="dxa"/>
              <w:right w:w="108" w:type="dxa"/>
            </w:tcMar>
          </w:tcPr>
          <w:p w14:paraId="198A679F" w14:textId="023AE0CC" w:rsidR="00F2123B" w:rsidRDefault="00200CFB">
            <w:pPr>
              <w:pStyle w:val="Heading4"/>
            </w:pPr>
            <w:r>
              <w:t>1</w:t>
            </w:r>
            <w:r w:rsidR="00184C2F">
              <w:t>2</w:t>
            </w:r>
            <w:r w:rsidR="00BC56B4">
              <w:t>8</w:t>
            </w:r>
          </w:p>
        </w:tc>
      </w:tr>
      <w:tr w:rsidR="00F2123B" w14:paraId="198A67A4" w14:textId="77777777">
        <w:tc>
          <w:tcPr>
            <w:tcW w:w="669" w:type="dxa"/>
            <w:shd w:val="clear" w:color="auto" w:fill="auto"/>
            <w:tcMar>
              <w:top w:w="0" w:type="dxa"/>
              <w:left w:w="108" w:type="dxa"/>
              <w:bottom w:w="0" w:type="dxa"/>
              <w:right w:w="108" w:type="dxa"/>
            </w:tcMar>
          </w:tcPr>
          <w:p w14:paraId="198A67A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shd w:val="clear" w:color="auto" w:fill="auto"/>
            <w:tcMar>
              <w:top w:w="0" w:type="dxa"/>
              <w:left w:w="108" w:type="dxa"/>
              <w:bottom w:w="0" w:type="dxa"/>
              <w:right w:w="108" w:type="dxa"/>
            </w:tcMar>
          </w:tcPr>
          <w:p w14:paraId="198A67A5" w14:textId="77777777" w:rsidR="00F2123B" w:rsidRDefault="00200CFB">
            <w:pPr>
              <w:pStyle w:val="Heading4"/>
            </w:pPr>
            <w:r>
              <w:t>25</w:t>
            </w:r>
          </w:p>
        </w:tc>
        <w:tc>
          <w:tcPr>
            <w:tcW w:w="8415" w:type="dxa"/>
            <w:shd w:val="clear" w:color="auto" w:fill="auto"/>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shd w:val="clear" w:color="auto" w:fill="auto"/>
            <w:tcMar>
              <w:top w:w="0" w:type="dxa"/>
              <w:left w:w="108" w:type="dxa"/>
              <w:bottom w:w="0" w:type="dxa"/>
              <w:right w:w="108" w:type="dxa"/>
            </w:tcMar>
          </w:tcPr>
          <w:p w14:paraId="198A67A7" w14:textId="40269D71" w:rsidR="00F2123B" w:rsidRDefault="00200CFB">
            <w:pPr>
              <w:pStyle w:val="Heading4"/>
            </w:pPr>
            <w:r>
              <w:t>1</w:t>
            </w:r>
            <w:r w:rsidR="003C492E">
              <w:t>3</w:t>
            </w:r>
            <w:r w:rsidR="004D7648">
              <w:t>3</w:t>
            </w:r>
          </w:p>
        </w:tc>
      </w:tr>
      <w:tr w:rsidR="00F2123B" w14:paraId="198A67AC" w14:textId="77777777">
        <w:tc>
          <w:tcPr>
            <w:tcW w:w="669" w:type="dxa"/>
            <w:shd w:val="clear" w:color="auto" w:fill="auto"/>
            <w:tcMar>
              <w:top w:w="0" w:type="dxa"/>
              <w:left w:w="108" w:type="dxa"/>
              <w:bottom w:w="0" w:type="dxa"/>
              <w:right w:w="108" w:type="dxa"/>
            </w:tcMar>
          </w:tcPr>
          <w:p w14:paraId="198A67A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A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shd w:val="clear" w:color="auto" w:fill="auto"/>
            <w:tcMar>
              <w:top w:w="0" w:type="dxa"/>
              <w:left w:w="108" w:type="dxa"/>
              <w:bottom w:w="0" w:type="dxa"/>
              <w:right w:w="108" w:type="dxa"/>
            </w:tcMar>
          </w:tcPr>
          <w:p w14:paraId="198A67AD" w14:textId="77777777" w:rsidR="00F2123B" w:rsidRDefault="00200CFB">
            <w:pPr>
              <w:pStyle w:val="Heading4"/>
            </w:pPr>
            <w:r>
              <w:t>26</w:t>
            </w:r>
          </w:p>
        </w:tc>
        <w:tc>
          <w:tcPr>
            <w:tcW w:w="8415" w:type="dxa"/>
            <w:shd w:val="clear" w:color="auto" w:fill="auto"/>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AF" w14:textId="65C2544A" w:rsidR="00F2123B" w:rsidRDefault="00200CFB">
            <w:pPr>
              <w:pStyle w:val="Heading4"/>
            </w:pPr>
            <w:r>
              <w:t>1</w:t>
            </w:r>
            <w:r w:rsidR="003C492E">
              <w:t>3</w:t>
            </w:r>
            <w:r w:rsidR="004D7648">
              <w:t>5</w:t>
            </w:r>
          </w:p>
        </w:tc>
      </w:tr>
      <w:tr w:rsidR="00F2123B" w14:paraId="198A67B4" w14:textId="77777777">
        <w:tc>
          <w:tcPr>
            <w:tcW w:w="669" w:type="dxa"/>
            <w:shd w:val="clear" w:color="auto" w:fill="auto"/>
            <w:tcMar>
              <w:top w:w="0" w:type="dxa"/>
              <w:left w:w="108" w:type="dxa"/>
              <w:bottom w:w="0" w:type="dxa"/>
              <w:right w:w="108" w:type="dxa"/>
            </w:tcMar>
          </w:tcPr>
          <w:p w14:paraId="198A67B1"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2"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shd w:val="clear" w:color="auto" w:fill="auto"/>
            <w:tcMar>
              <w:top w:w="0" w:type="dxa"/>
              <w:left w:w="108" w:type="dxa"/>
              <w:bottom w:w="0" w:type="dxa"/>
              <w:right w:w="108" w:type="dxa"/>
            </w:tcMar>
          </w:tcPr>
          <w:p w14:paraId="198A67B5" w14:textId="77777777" w:rsidR="00F2123B" w:rsidRDefault="00200CFB">
            <w:pPr>
              <w:pStyle w:val="Heading4"/>
            </w:pPr>
            <w:r>
              <w:t>27</w:t>
            </w:r>
          </w:p>
        </w:tc>
        <w:tc>
          <w:tcPr>
            <w:tcW w:w="8415" w:type="dxa"/>
            <w:shd w:val="clear" w:color="auto" w:fill="auto"/>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shd w:val="clear" w:color="auto" w:fill="auto"/>
            <w:tcMar>
              <w:top w:w="0" w:type="dxa"/>
              <w:left w:w="108" w:type="dxa"/>
              <w:bottom w:w="0" w:type="dxa"/>
              <w:right w:w="108" w:type="dxa"/>
            </w:tcMar>
          </w:tcPr>
          <w:p w14:paraId="198A67B7" w14:textId="0C34D64F" w:rsidR="00F2123B" w:rsidRDefault="00200CFB">
            <w:pPr>
              <w:pStyle w:val="Heading4"/>
            </w:pPr>
            <w:r>
              <w:t>1</w:t>
            </w:r>
            <w:r w:rsidR="00184C2F">
              <w:t>4</w:t>
            </w:r>
            <w:r w:rsidR="004D7648">
              <w:t>7</w:t>
            </w:r>
          </w:p>
        </w:tc>
      </w:tr>
      <w:tr w:rsidR="00F2123B" w14:paraId="198A67BC" w14:textId="77777777">
        <w:tc>
          <w:tcPr>
            <w:tcW w:w="669" w:type="dxa"/>
            <w:shd w:val="clear" w:color="auto" w:fill="auto"/>
            <w:tcMar>
              <w:top w:w="0" w:type="dxa"/>
              <w:left w:w="108" w:type="dxa"/>
              <w:bottom w:w="0" w:type="dxa"/>
              <w:right w:w="108" w:type="dxa"/>
            </w:tcMar>
          </w:tcPr>
          <w:p w14:paraId="198A67B9"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BA"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shd w:val="clear" w:color="auto" w:fill="auto"/>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shd w:val="clear" w:color="auto" w:fill="auto"/>
            <w:tcMar>
              <w:top w:w="0" w:type="dxa"/>
              <w:left w:w="108" w:type="dxa"/>
              <w:bottom w:w="0" w:type="dxa"/>
              <w:right w:w="108" w:type="dxa"/>
            </w:tcMar>
          </w:tcPr>
          <w:p w14:paraId="198A67B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shd w:val="clear" w:color="auto" w:fill="auto"/>
            <w:tcMar>
              <w:top w:w="0" w:type="dxa"/>
              <w:left w:w="108" w:type="dxa"/>
              <w:bottom w:w="0" w:type="dxa"/>
              <w:right w:w="108" w:type="dxa"/>
            </w:tcMar>
          </w:tcPr>
          <w:p w14:paraId="198A67C3" w14:textId="77777777" w:rsidR="00F2123B" w:rsidRDefault="00200CFB">
            <w:pPr>
              <w:pStyle w:val="Heading4"/>
            </w:pPr>
            <w:r>
              <w:t>28</w:t>
            </w:r>
          </w:p>
        </w:tc>
        <w:tc>
          <w:tcPr>
            <w:tcW w:w="8415" w:type="dxa"/>
            <w:shd w:val="clear" w:color="auto" w:fill="auto"/>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shd w:val="clear" w:color="auto" w:fill="auto"/>
            <w:tcMar>
              <w:top w:w="0" w:type="dxa"/>
              <w:left w:w="108" w:type="dxa"/>
              <w:bottom w:w="0" w:type="dxa"/>
              <w:right w:w="108" w:type="dxa"/>
            </w:tcMar>
          </w:tcPr>
          <w:p w14:paraId="198A67C5" w14:textId="5C4691BD" w:rsidR="00F2123B" w:rsidRDefault="00200CFB">
            <w:pPr>
              <w:pStyle w:val="Heading4"/>
            </w:pPr>
            <w:r>
              <w:t>1</w:t>
            </w:r>
            <w:r w:rsidR="00184C2F">
              <w:t>5</w:t>
            </w:r>
            <w:r w:rsidR="004D7648">
              <w:t>7</w:t>
            </w:r>
          </w:p>
        </w:tc>
      </w:tr>
      <w:tr w:rsidR="00F2123B" w14:paraId="198A67CA" w14:textId="77777777">
        <w:tc>
          <w:tcPr>
            <w:tcW w:w="669" w:type="dxa"/>
            <w:shd w:val="clear" w:color="auto" w:fill="auto"/>
            <w:tcMar>
              <w:top w:w="0" w:type="dxa"/>
              <w:left w:w="108" w:type="dxa"/>
              <w:bottom w:w="0" w:type="dxa"/>
              <w:right w:w="108" w:type="dxa"/>
            </w:tcMar>
          </w:tcPr>
          <w:p w14:paraId="198A67C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C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shd w:val="clear" w:color="auto" w:fill="auto"/>
            <w:tcMar>
              <w:top w:w="0" w:type="dxa"/>
              <w:left w:w="108" w:type="dxa"/>
              <w:bottom w:w="0" w:type="dxa"/>
              <w:right w:w="108" w:type="dxa"/>
            </w:tcMar>
          </w:tcPr>
          <w:p w14:paraId="198A67CB" w14:textId="77777777" w:rsidR="00F2123B" w:rsidRDefault="00200CFB">
            <w:pPr>
              <w:pStyle w:val="Heading4"/>
            </w:pPr>
            <w:r>
              <w:t>29</w:t>
            </w:r>
          </w:p>
        </w:tc>
        <w:tc>
          <w:tcPr>
            <w:tcW w:w="8415" w:type="dxa"/>
            <w:shd w:val="clear" w:color="auto" w:fill="auto"/>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shd w:val="clear" w:color="auto" w:fill="auto"/>
            <w:tcMar>
              <w:top w:w="0" w:type="dxa"/>
              <w:left w:w="108" w:type="dxa"/>
              <w:bottom w:w="0" w:type="dxa"/>
              <w:right w:w="108" w:type="dxa"/>
            </w:tcMar>
          </w:tcPr>
          <w:p w14:paraId="198A67CD" w14:textId="522B887F" w:rsidR="00F2123B" w:rsidRDefault="00200CFB">
            <w:pPr>
              <w:pStyle w:val="Heading4"/>
            </w:pPr>
            <w:r>
              <w:t>1</w:t>
            </w:r>
            <w:r w:rsidR="003205C5">
              <w:t>6</w:t>
            </w:r>
            <w:r w:rsidR="004D7648">
              <w:t>1</w:t>
            </w:r>
          </w:p>
        </w:tc>
      </w:tr>
      <w:tr w:rsidR="00F2123B" w14:paraId="198A67D2" w14:textId="77777777">
        <w:tc>
          <w:tcPr>
            <w:tcW w:w="669" w:type="dxa"/>
            <w:shd w:val="clear" w:color="auto" w:fill="auto"/>
            <w:tcMar>
              <w:top w:w="0" w:type="dxa"/>
              <w:left w:w="108" w:type="dxa"/>
              <w:bottom w:w="0" w:type="dxa"/>
              <w:right w:w="108" w:type="dxa"/>
            </w:tcMar>
          </w:tcPr>
          <w:p w14:paraId="198A67C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shd w:val="clear" w:color="auto" w:fill="auto"/>
            <w:tcMar>
              <w:top w:w="0" w:type="dxa"/>
              <w:left w:w="108" w:type="dxa"/>
              <w:bottom w:w="0" w:type="dxa"/>
              <w:right w:w="108" w:type="dxa"/>
            </w:tcMar>
          </w:tcPr>
          <w:p w14:paraId="198A67D3" w14:textId="77777777" w:rsidR="00F2123B" w:rsidRDefault="00200CFB">
            <w:pPr>
              <w:pStyle w:val="Heading4"/>
            </w:pPr>
            <w:r>
              <w:t>30</w:t>
            </w:r>
          </w:p>
        </w:tc>
        <w:tc>
          <w:tcPr>
            <w:tcW w:w="8415" w:type="dxa"/>
            <w:shd w:val="clear" w:color="auto" w:fill="auto"/>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shd w:val="clear" w:color="auto" w:fill="auto"/>
            <w:tcMar>
              <w:top w:w="0" w:type="dxa"/>
              <w:left w:w="108" w:type="dxa"/>
              <w:bottom w:w="0" w:type="dxa"/>
              <w:right w:w="108" w:type="dxa"/>
            </w:tcMar>
          </w:tcPr>
          <w:p w14:paraId="198A67D5" w14:textId="53692EF8" w:rsidR="00F2123B" w:rsidRDefault="00200CFB">
            <w:pPr>
              <w:pStyle w:val="Heading4"/>
            </w:pPr>
            <w:r>
              <w:t>1</w:t>
            </w:r>
            <w:r w:rsidR="003205C5">
              <w:t>6</w:t>
            </w:r>
            <w:r w:rsidR="004D7648">
              <w:t>3</w:t>
            </w:r>
          </w:p>
        </w:tc>
      </w:tr>
      <w:tr w:rsidR="00F2123B" w14:paraId="198A67DA" w14:textId="77777777">
        <w:tc>
          <w:tcPr>
            <w:tcW w:w="669" w:type="dxa"/>
            <w:shd w:val="clear" w:color="auto" w:fill="auto"/>
            <w:tcMar>
              <w:top w:w="0" w:type="dxa"/>
              <w:left w:w="108" w:type="dxa"/>
              <w:bottom w:w="0" w:type="dxa"/>
              <w:right w:w="108" w:type="dxa"/>
            </w:tcMar>
          </w:tcPr>
          <w:p w14:paraId="198A67D7"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D8"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shd w:val="clear" w:color="auto" w:fill="auto"/>
            <w:tcMar>
              <w:top w:w="0" w:type="dxa"/>
              <w:left w:w="108" w:type="dxa"/>
              <w:bottom w:w="0" w:type="dxa"/>
              <w:right w:w="108" w:type="dxa"/>
            </w:tcMar>
          </w:tcPr>
          <w:p w14:paraId="198A67DB" w14:textId="77777777" w:rsidR="00F2123B" w:rsidRDefault="00200CFB">
            <w:pPr>
              <w:pStyle w:val="Heading4"/>
            </w:pPr>
            <w:r>
              <w:t>31</w:t>
            </w:r>
          </w:p>
        </w:tc>
        <w:tc>
          <w:tcPr>
            <w:tcW w:w="8415" w:type="dxa"/>
            <w:shd w:val="clear" w:color="auto" w:fill="auto"/>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shd w:val="clear" w:color="auto" w:fill="auto"/>
            <w:tcMar>
              <w:top w:w="0" w:type="dxa"/>
              <w:left w:w="108" w:type="dxa"/>
              <w:bottom w:w="0" w:type="dxa"/>
              <w:right w:w="108" w:type="dxa"/>
            </w:tcMar>
          </w:tcPr>
          <w:p w14:paraId="198A67DD" w14:textId="7756EE02" w:rsidR="00F2123B" w:rsidRDefault="00200CFB">
            <w:pPr>
              <w:pStyle w:val="Heading4"/>
            </w:pPr>
            <w:r>
              <w:t>1</w:t>
            </w:r>
            <w:r w:rsidR="00184C2F">
              <w:t>6</w:t>
            </w:r>
            <w:r w:rsidR="00F87D9E">
              <w:t>6</w:t>
            </w:r>
          </w:p>
        </w:tc>
      </w:tr>
      <w:tr w:rsidR="00F2123B" w14:paraId="198A67E2" w14:textId="77777777">
        <w:tc>
          <w:tcPr>
            <w:tcW w:w="669" w:type="dxa"/>
            <w:shd w:val="clear" w:color="auto" w:fill="auto"/>
            <w:tcMar>
              <w:top w:w="0" w:type="dxa"/>
              <w:left w:w="108" w:type="dxa"/>
              <w:bottom w:w="0" w:type="dxa"/>
              <w:right w:w="108" w:type="dxa"/>
            </w:tcMar>
          </w:tcPr>
          <w:p w14:paraId="198A67DF" w14:textId="77777777" w:rsidR="00F2123B" w:rsidRDefault="00F2123B">
            <w:pPr>
              <w:pStyle w:val="Heading4"/>
            </w:pPr>
          </w:p>
        </w:tc>
        <w:tc>
          <w:tcPr>
            <w:tcW w:w="8415" w:type="dxa"/>
            <w:shd w:val="clear" w:color="auto" w:fill="auto"/>
            <w:tcMar>
              <w:top w:w="0" w:type="dxa"/>
              <w:left w:w="108" w:type="dxa"/>
              <w:bottom w:w="0" w:type="dxa"/>
              <w:right w:w="108" w:type="dxa"/>
            </w:tcMar>
          </w:tcPr>
          <w:p w14:paraId="198A67E0" w14:textId="77777777" w:rsidR="00F2123B" w:rsidRDefault="00F2123B">
            <w:pPr>
              <w:pStyle w:val="Heading4"/>
            </w:pPr>
          </w:p>
        </w:tc>
        <w:tc>
          <w:tcPr>
            <w:tcW w:w="734" w:type="dxa"/>
            <w:gridSpan w:val="2"/>
            <w:shd w:val="clear" w:color="auto" w:fill="auto"/>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shd w:val="clear" w:color="auto" w:fill="auto"/>
            <w:tcMar>
              <w:top w:w="0" w:type="dxa"/>
              <w:left w:w="108" w:type="dxa"/>
              <w:bottom w:w="0" w:type="dxa"/>
              <w:right w:w="108" w:type="dxa"/>
            </w:tcMar>
          </w:tcPr>
          <w:p w14:paraId="198A67E3" w14:textId="77777777" w:rsidR="00F2123B" w:rsidRDefault="00200CFB">
            <w:pPr>
              <w:pStyle w:val="Heading4"/>
            </w:pPr>
            <w:r>
              <w:t>32</w:t>
            </w:r>
          </w:p>
        </w:tc>
        <w:tc>
          <w:tcPr>
            <w:tcW w:w="8415" w:type="dxa"/>
            <w:shd w:val="clear" w:color="auto" w:fill="auto"/>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shd w:val="clear" w:color="auto" w:fill="auto"/>
            <w:tcMar>
              <w:top w:w="0" w:type="dxa"/>
              <w:left w:w="108" w:type="dxa"/>
              <w:bottom w:w="0" w:type="dxa"/>
              <w:right w:w="108" w:type="dxa"/>
            </w:tcMar>
          </w:tcPr>
          <w:p w14:paraId="198A67E5" w14:textId="577E21A9" w:rsidR="00F2123B" w:rsidRDefault="00200CFB">
            <w:pPr>
              <w:pStyle w:val="Heading4"/>
            </w:pPr>
            <w:r>
              <w:t>1</w:t>
            </w:r>
            <w:r w:rsidR="004770B3">
              <w:t>7</w:t>
            </w:r>
            <w:r w:rsidR="00F87D9E">
              <w:t>0</w:t>
            </w:r>
          </w:p>
        </w:tc>
      </w:tr>
      <w:tr w:rsidR="00F2123B" w14:paraId="198A67E8" w14:textId="77777777">
        <w:tc>
          <w:tcPr>
            <w:tcW w:w="9818" w:type="dxa"/>
            <w:gridSpan w:val="4"/>
            <w:shd w:val="clear" w:color="auto" w:fill="auto"/>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shd w:val="clear" w:color="auto" w:fill="auto"/>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shd w:val="clear" w:color="auto" w:fill="auto"/>
            <w:tcMar>
              <w:top w:w="0" w:type="dxa"/>
              <w:left w:w="108" w:type="dxa"/>
              <w:bottom w:w="0" w:type="dxa"/>
              <w:right w:w="108" w:type="dxa"/>
            </w:tcMar>
          </w:tcPr>
          <w:p w14:paraId="198A67EA" w14:textId="138B2003" w:rsidR="00F2123B" w:rsidRDefault="00200CFB">
            <w:pPr>
              <w:pStyle w:val="Heading4"/>
            </w:pPr>
            <w:r>
              <w:t>1</w:t>
            </w:r>
            <w:r w:rsidR="003205C5">
              <w:t>7</w:t>
            </w:r>
            <w:r w:rsidR="00F87D9E">
              <w:t>2</w:t>
            </w:r>
          </w:p>
        </w:tc>
      </w:tr>
      <w:tr w:rsidR="00F2123B" w14:paraId="198A67ED" w14:textId="77777777">
        <w:tc>
          <w:tcPr>
            <w:tcW w:w="9818" w:type="dxa"/>
            <w:gridSpan w:val="4"/>
            <w:shd w:val="clear" w:color="auto" w:fill="auto"/>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t>1.</w:t>
      </w:r>
      <w:r>
        <w:rPr>
          <w:rFonts w:eastAsia="Arial"/>
          <w:sz w:val="36"/>
          <w:szCs w:val="36"/>
        </w:rPr>
        <w:t xml:space="preserve"> </w:t>
      </w:r>
      <w:r>
        <w:rPr>
          <w:sz w:val="36"/>
          <w:szCs w:val="36"/>
        </w:rPr>
        <w:t>Introduction</w:t>
      </w:r>
    </w:p>
    <w:p w14:paraId="198A67F0" w14:textId="77777777" w:rsidR="00F2123B" w:rsidRDefault="00F2123B">
      <w:pPr>
        <w:spacing w:line="280" w:lineRule="atLeast"/>
        <w:rPr>
          <w:rFonts w:ascii="Arial" w:hAnsi="Arial" w:cs="Arial"/>
          <w:sz w:val="20"/>
          <w:szCs w:val="20"/>
        </w:rPr>
      </w:pPr>
    </w:p>
    <w:p w14:paraId="198A67F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a</w:t>
      </w:r>
      <w:r>
        <w:rPr>
          <w:rFonts w:eastAsia="Arial"/>
          <w:sz w:val="28"/>
          <w:szCs w:val="28"/>
        </w:rPr>
        <w:t xml:space="preserve"> </w:t>
      </w:r>
      <w:r>
        <w:rPr>
          <w:sz w:val="28"/>
          <w:szCs w:val="28"/>
        </w:rPr>
        <w:t>basic</w:t>
      </w:r>
      <w:r>
        <w:rPr>
          <w:rFonts w:eastAsia="Arial"/>
          <w:sz w:val="28"/>
          <w:szCs w:val="28"/>
        </w:rPr>
        <w:t xml:space="preserve"> </w:t>
      </w:r>
      <w:r>
        <w:rPr>
          <w:sz w:val="28"/>
          <w:szCs w:val="28"/>
        </w:rPr>
        <w:t>guide</w:t>
      </w:r>
    </w:p>
    <w:p w14:paraId="198A67F2" w14:textId="77777777" w:rsidR="00F2123B" w:rsidRDefault="00F2123B">
      <w:pPr>
        <w:spacing w:line="280" w:lineRule="atLeast"/>
        <w:rPr>
          <w:rFonts w:ascii="Arial" w:hAnsi="Arial" w:cs="Arial"/>
          <w:sz w:val="20"/>
          <w:szCs w:val="20"/>
        </w:rPr>
      </w:pPr>
    </w:p>
    <w:p w14:paraId="198A67F3" w14:textId="77777777" w:rsidR="00F2123B" w:rsidRDefault="00200CFB">
      <w:pPr>
        <w:spacing w:line="280" w:lineRule="atLeast"/>
      </w:pPr>
      <w:r>
        <w:rPr>
          <w:rFonts w:ascii="Arial" w:hAnsi="Arial" w:cs="Arial"/>
          <w:i/>
          <w:sz w:val="20"/>
          <w:szCs w:val="20"/>
        </w:rPr>
        <w:t>This</w:t>
      </w:r>
      <w:r>
        <w:rPr>
          <w:rFonts w:ascii="Arial" w:eastAsia="Arial" w:hAnsi="Arial" w:cs="Arial"/>
          <w:i/>
          <w:sz w:val="20"/>
          <w:szCs w:val="20"/>
        </w:rPr>
        <w:t xml:space="preserve"> </w:t>
      </w:r>
      <w:r>
        <w:rPr>
          <w:rFonts w:ascii="Arial" w:hAnsi="Arial" w:cs="Arial"/>
          <w:i/>
          <w:sz w:val="20"/>
          <w:szCs w:val="20"/>
        </w:rPr>
        <w:t>is</w:t>
      </w:r>
      <w:r>
        <w:rPr>
          <w:rFonts w:ascii="Arial" w:eastAsia="Arial" w:hAnsi="Arial" w:cs="Arial"/>
          <w:i/>
          <w:sz w:val="20"/>
          <w:szCs w:val="20"/>
        </w:rPr>
        <w:t xml:space="preserve"> </w:t>
      </w:r>
      <w:r>
        <w:rPr>
          <w:rFonts w:ascii="Arial" w:hAnsi="Arial" w:cs="Arial"/>
          <w:i/>
          <w:sz w:val="20"/>
          <w:szCs w:val="20"/>
        </w:rPr>
        <w:t>a</w:t>
      </w:r>
      <w:r>
        <w:rPr>
          <w:rFonts w:ascii="Arial" w:eastAsia="Arial" w:hAnsi="Arial" w:cs="Arial"/>
          <w:i/>
          <w:sz w:val="20"/>
          <w:szCs w:val="20"/>
        </w:rPr>
        <w:t xml:space="preserve"> </w:t>
      </w:r>
      <w:r>
        <w:rPr>
          <w:rFonts w:ascii="Arial" w:hAnsi="Arial" w:cs="Arial"/>
          <w:i/>
          <w:sz w:val="20"/>
          <w:szCs w:val="20"/>
        </w:rPr>
        <w:t>summary</w:t>
      </w:r>
      <w:r>
        <w:rPr>
          <w:rFonts w:ascii="Arial" w:eastAsia="Arial" w:hAnsi="Arial" w:cs="Arial"/>
          <w:i/>
          <w:sz w:val="20"/>
          <w:szCs w:val="20"/>
        </w:rPr>
        <w:t xml:space="preserve"> </w:t>
      </w:r>
      <w:r>
        <w:rPr>
          <w:rFonts w:ascii="Arial" w:hAnsi="Arial" w:cs="Arial"/>
          <w:i/>
          <w:sz w:val="20"/>
          <w:szCs w:val="20"/>
        </w:rPr>
        <w:t>of</w:t>
      </w:r>
      <w:r>
        <w:rPr>
          <w:rFonts w:ascii="Arial" w:eastAsia="Arial" w:hAnsi="Arial" w:cs="Arial"/>
          <w:i/>
          <w:sz w:val="20"/>
          <w:szCs w:val="20"/>
        </w:rPr>
        <w:t xml:space="preserve"> </w:t>
      </w:r>
      <w:r>
        <w:rPr>
          <w:rFonts w:ascii="Arial" w:hAnsi="Arial" w:cs="Arial"/>
          <w:i/>
          <w:sz w:val="20"/>
          <w:szCs w:val="20"/>
        </w:rPr>
        <w:t>MAPPA:</w:t>
      </w:r>
      <w:r>
        <w:rPr>
          <w:rFonts w:ascii="Arial" w:eastAsia="Arial" w:hAnsi="Arial" w:cs="Arial"/>
          <w:i/>
          <w:sz w:val="20"/>
          <w:szCs w:val="20"/>
        </w:rPr>
        <w:t xml:space="preserve"> </w:t>
      </w:r>
      <w:r>
        <w:rPr>
          <w:rFonts w:ascii="Arial" w:hAnsi="Arial" w:cs="Arial"/>
          <w:i/>
          <w:sz w:val="20"/>
          <w:szCs w:val="20"/>
        </w:rPr>
        <w:t>please</w:t>
      </w:r>
      <w:r>
        <w:rPr>
          <w:rFonts w:ascii="Arial" w:eastAsia="Arial" w:hAnsi="Arial" w:cs="Arial"/>
          <w:i/>
          <w:sz w:val="20"/>
          <w:szCs w:val="20"/>
        </w:rPr>
        <w:t xml:space="preserve"> </w:t>
      </w:r>
      <w:r>
        <w:rPr>
          <w:rFonts w:ascii="Arial" w:hAnsi="Arial" w:cs="Arial"/>
          <w:i/>
          <w:sz w:val="20"/>
          <w:szCs w:val="20"/>
        </w:rPr>
        <w:t>see</w:t>
      </w:r>
      <w:r>
        <w:rPr>
          <w:rFonts w:ascii="Arial" w:eastAsia="Arial" w:hAnsi="Arial" w:cs="Arial"/>
          <w:i/>
          <w:sz w:val="20"/>
          <w:szCs w:val="20"/>
        </w:rPr>
        <w:t xml:space="preserve"> </w:t>
      </w:r>
      <w:r>
        <w:rPr>
          <w:rFonts w:ascii="Arial" w:hAnsi="Arial" w:cs="Arial"/>
          <w:i/>
          <w:sz w:val="20"/>
          <w:szCs w:val="20"/>
        </w:rPr>
        <w:t>the</w:t>
      </w:r>
      <w:r>
        <w:rPr>
          <w:rFonts w:ascii="Arial" w:eastAsia="Arial" w:hAnsi="Arial" w:cs="Arial"/>
          <w:i/>
          <w:sz w:val="20"/>
          <w:szCs w:val="20"/>
        </w:rPr>
        <w:t xml:space="preserve"> </w:t>
      </w:r>
      <w:r>
        <w:rPr>
          <w:rFonts w:ascii="Arial" w:hAnsi="Arial" w:cs="Arial"/>
          <w:i/>
          <w:sz w:val="20"/>
          <w:szCs w:val="20"/>
        </w:rPr>
        <w:t>relevant</w:t>
      </w:r>
      <w:r>
        <w:rPr>
          <w:rFonts w:ascii="Arial" w:eastAsia="Arial" w:hAnsi="Arial" w:cs="Arial"/>
          <w:i/>
          <w:sz w:val="20"/>
          <w:szCs w:val="20"/>
        </w:rPr>
        <w:t xml:space="preserve"> </w:t>
      </w:r>
      <w:r>
        <w:rPr>
          <w:rFonts w:ascii="Arial" w:hAnsi="Arial" w:cs="Arial"/>
          <w:i/>
          <w:sz w:val="20"/>
          <w:szCs w:val="20"/>
        </w:rPr>
        <w:t>chapters</w:t>
      </w:r>
      <w:r>
        <w:rPr>
          <w:rFonts w:ascii="Arial" w:eastAsia="Arial" w:hAnsi="Arial" w:cs="Arial"/>
          <w:i/>
          <w:sz w:val="20"/>
          <w:szCs w:val="20"/>
        </w:rPr>
        <w:t xml:space="preserve"> </w:t>
      </w:r>
      <w:r>
        <w:rPr>
          <w:rFonts w:ascii="Arial" w:hAnsi="Arial" w:cs="Arial"/>
          <w:i/>
          <w:sz w:val="20"/>
          <w:szCs w:val="20"/>
        </w:rPr>
        <w:t>for</w:t>
      </w:r>
      <w:r>
        <w:rPr>
          <w:rFonts w:ascii="Arial" w:eastAsia="Arial" w:hAnsi="Arial" w:cs="Arial"/>
          <w:i/>
          <w:sz w:val="20"/>
          <w:szCs w:val="20"/>
        </w:rPr>
        <w:t xml:space="preserve"> </w:t>
      </w:r>
      <w:r>
        <w:rPr>
          <w:rFonts w:ascii="Arial" w:hAnsi="Arial" w:cs="Arial"/>
          <w:i/>
          <w:sz w:val="20"/>
          <w:szCs w:val="20"/>
        </w:rPr>
        <w:t>details.</w:t>
      </w:r>
    </w:p>
    <w:p w14:paraId="198A67F4" w14:textId="77777777" w:rsidR="00F2123B" w:rsidRDefault="00F2123B">
      <w:pPr>
        <w:spacing w:line="280" w:lineRule="atLeast"/>
        <w:rPr>
          <w:rFonts w:ascii="Arial" w:hAnsi="Arial" w:cs="Arial"/>
          <w:sz w:val="20"/>
          <w:szCs w:val="20"/>
        </w:rPr>
      </w:pPr>
    </w:p>
    <w:p w14:paraId="198A67F5" w14:textId="77777777" w:rsidR="00F2123B" w:rsidRDefault="00200CFB">
      <w:pPr>
        <w:spacing w:line="280" w:lineRule="atLeast"/>
      </w:pPr>
      <w:r>
        <w:rPr>
          <w:rFonts w:ascii="Arial" w:hAnsi="Arial" w:cs="Arial"/>
          <w:sz w:val="20"/>
          <w:szCs w:val="20"/>
        </w:rPr>
        <w:t>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MAPPA</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42</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previous</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partnership</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offenders.</w:t>
      </w:r>
    </w:p>
    <w:p w14:paraId="198A67F6" w14:textId="77777777" w:rsidR="00F2123B" w:rsidRDefault="00F2123B">
      <w:pPr>
        <w:spacing w:line="280" w:lineRule="atLeast"/>
        <w:rPr>
          <w:rFonts w:ascii="Arial" w:hAnsi="Arial" w:cs="Arial"/>
          <w:sz w:val="20"/>
          <w:szCs w:val="20"/>
        </w:rPr>
      </w:pPr>
    </w:p>
    <w:p w14:paraId="198A67F7" w14:textId="77777777" w:rsidR="00F2123B" w:rsidRDefault="00200CFB">
      <w:pPr>
        <w:spacing w:line="280" w:lineRule="atLeast"/>
      </w:pPr>
      <w:r>
        <w:rPr>
          <w:rFonts w:ascii="Arial" w:hAnsi="Arial" w:cs="Arial"/>
          <w:sz w:val="20"/>
          <w:szCs w:val="20"/>
        </w:rPr>
        <w:t>1.2</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help</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regard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(so</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demonstrate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reasons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depart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it).</w:t>
      </w:r>
    </w:p>
    <w:p w14:paraId="198A67F8" w14:textId="77777777" w:rsidR="00F2123B" w:rsidRDefault="00F2123B">
      <w:pPr>
        <w:spacing w:line="280" w:lineRule="atLeast"/>
        <w:rPr>
          <w:rFonts w:ascii="Arial" w:hAnsi="Arial" w:cs="Arial"/>
          <w:sz w:val="20"/>
          <w:szCs w:val="20"/>
        </w:rPr>
      </w:pPr>
    </w:p>
    <w:p w14:paraId="198A67F9" w14:textId="77777777" w:rsidR="00F2123B" w:rsidRDefault="00200CFB">
      <w:pPr>
        <w:spacing w:line="280" w:lineRule="atLeast"/>
      </w:pPr>
      <w:r>
        <w:rPr>
          <w:rFonts w:ascii="Arial" w:hAnsi="Arial" w:cs="Arial"/>
          <w:sz w:val="20"/>
          <w:szCs w:val="20"/>
        </w:rPr>
        <w:t>1.3</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mechanism</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better</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protect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co-ordinated</w:t>
      </w:r>
      <w:r>
        <w:rPr>
          <w:rFonts w:ascii="Arial" w:eastAsia="Arial" w:hAnsi="Arial" w:cs="Arial"/>
          <w:sz w:val="20"/>
          <w:szCs w:val="20"/>
        </w:rPr>
        <w:t xml:space="preserve"> </w:t>
      </w:r>
      <w:r>
        <w:rPr>
          <w:rFonts w:ascii="Arial" w:hAnsi="Arial" w:cs="Arial"/>
          <w:sz w:val="20"/>
          <w:szCs w:val="20"/>
        </w:rPr>
        <w:t>manner.</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times</w:t>
      </w:r>
      <w:r>
        <w:rPr>
          <w:rFonts w:ascii="Arial" w:eastAsia="Arial" w:hAnsi="Arial" w:cs="Arial"/>
          <w:sz w:val="20"/>
          <w:szCs w:val="20"/>
        </w:rPr>
        <w:t xml:space="preserve"> </w:t>
      </w:r>
      <w:r>
        <w:rPr>
          <w:rFonts w:ascii="Arial" w:hAnsi="Arial" w:cs="Arial"/>
          <w:sz w:val="20"/>
          <w:szCs w:val="20"/>
        </w:rPr>
        <w:t>retain</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compromised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feel</w:t>
      </w:r>
      <w:r>
        <w:rPr>
          <w:rFonts w:ascii="Arial" w:eastAsia="Arial" w:hAnsi="Arial" w:cs="Arial"/>
          <w:sz w:val="20"/>
          <w:szCs w:val="20"/>
        </w:rPr>
        <w:t xml:space="preserve"> </w:t>
      </w:r>
      <w:r>
        <w:rPr>
          <w:rFonts w:ascii="Arial" w:hAnsi="Arial" w:cs="Arial"/>
          <w:sz w:val="20"/>
          <w:szCs w:val="20"/>
        </w:rPr>
        <w:t>pressured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agree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course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action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conflict</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obligations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wider</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p>
    <w:p w14:paraId="198A67FA" w14:textId="77777777" w:rsidR="00F2123B" w:rsidRDefault="00F2123B">
      <w:pPr>
        <w:spacing w:line="280" w:lineRule="atLeast"/>
        <w:rPr>
          <w:rFonts w:ascii="Arial" w:hAnsi="Arial" w:cs="Arial"/>
          <w:sz w:val="20"/>
          <w:szCs w:val="20"/>
        </w:rPr>
      </w:pPr>
    </w:p>
    <w:p w14:paraId="198A67FB" w14:textId="77777777" w:rsidR="00F2123B" w:rsidRDefault="00200CFB">
      <w:pPr>
        <w:spacing w:line="280" w:lineRule="atLeast"/>
      </w:pPr>
      <w:r>
        <w:rPr>
          <w:rFonts w:ascii="Arial" w:hAnsi="Arial" w:cs="Arial"/>
          <w:sz w:val="20"/>
          <w:szCs w:val="20"/>
        </w:rPr>
        <w:t>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free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discrimination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equal</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particularly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race,</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gender</w:t>
      </w:r>
      <w:r>
        <w:rPr>
          <w:rFonts w:ascii="Arial" w:eastAsia="Arial" w:hAnsi="Arial" w:cs="Arial"/>
          <w:sz w:val="20"/>
          <w:szCs w:val="20"/>
        </w:rPr>
        <w:t xml:space="preserve"> </w:t>
      </w:r>
      <w:r>
        <w:rPr>
          <w:rFonts w:ascii="Arial" w:hAnsi="Arial" w:cs="Arial"/>
          <w:sz w:val="20"/>
          <w:szCs w:val="20"/>
        </w:rPr>
        <w:t>identity,</w:t>
      </w:r>
      <w:r>
        <w:rPr>
          <w:rFonts w:ascii="Arial" w:eastAsia="Arial" w:hAnsi="Arial" w:cs="Arial"/>
          <w:sz w:val="20"/>
          <w:szCs w:val="20"/>
        </w:rPr>
        <w:t xml:space="preserve"> </w:t>
      </w:r>
      <w:r>
        <w:rPr>
          <w:rFonts w:ascii="Arial" w:hAnsi="Arial" w:cs="Arial"/>
          <w:sz w:val="20"/>
          <w:szCs w:val="20"/>
        </w:rPr>
        <w:t>age,</w:t>
      </w:r>
      <w:r>
        <w:rPr>
          <w:rFonts w:ascii="Arial" w:eastAsia="Arial" w:hAnsi="Arial" w:cs="Arial"/>
          <w:sz w:val="20"/>
          <w:szCs w:val="20"/>
        </w:rPr>
        <w:t xml:space="preserve"> </w:t>
      </w:r>
      <w:r>
        <w:rPr>
          <w:rFonts w:ascii="Arial" w:hAnsi="Arial" w:cs="Arial"/>
          <w:sz w:val="20"/>
          <w:szCs w:val="20"/>
        </w:rPr>
        <w:t>religious</w:t>
      </w:r>
      <w:r>
        <w:rPr>
          <w:rFonts w:ascii="Arial" w:eastAsia="Arial" w:hAnsi="Arial" w:cs="Arial"/>
          <w:sz w:val="20"/>
          <w:szCs w:val="20"/>
        </w:rPr>
        <w:t xml:space="preserve"> </w:t>
      </w:r>
      <w:r>
        <w:rPr>
          <w:rFonts w:ascii="Arial" w:hAnsi="Arial" w:cs="Arial"/>
          <w:sz w:val="20"/>
          <w:szCs w:val="20"/>
        </w:rPr>
        <w:t>belief,</w:t>
      </w:r>
      <w:r>
        <w:rPr>
          <w:rFonts w:ascii="Arial" w:eastAsia="Arial" w:hAnsi="Arial" w:cs="Arial"/>
          <w:sz w:val="20"/>
          <w:szCs w:val="20"/>
        </w:rPr>
        <w:t xml:space="preserve"> </w:t>
      </w:r>
      <w:r>
        <w:rPr>
          <w:rFonts w:ascii="Arial" w:hAnsi="Arial" w:cs="Arial"/>
          <w:sz w:val="20"/>
          <w:szCs w:val="20"/>
        </w:rPr>
        <w:t>sexuality,</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orientation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disability.</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actions</w:t>
      </w:r>
      <w:r>
        <w:rPr>
          <w:rFonts w:ascii="Arial" w:eastAsia="Arial" w:hAnsi="Arial" w:cs="Arial"/>
          <w:sz w:val="20"/>
          <w:szCs w:val="20"/>
        </w:rPr>
        <w:t xml:space="preserve"> </w:t>
      </w:r>
      <w:r>
        <w:rPr>
          <w:rFonts w:ascii="Arial" w:hAnsi="Arial" w:cs="Arial"/>
          <w:sz w:val="20"/>
          <w:szCs w:val="20"/>
        </w:rPr>
        <w:t>undertaken</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recommended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policies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procedures,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based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assessments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draw</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stereotypical</w:t>
      </w:r>
      <w:r>
        <w:rPr>
          <w:rFonts w:ascii="Arial" w:eastAsia="Arial" w:hAnsi="Arial" w:cs="Arial"/>
          <w:sz w:val="20"/>
          <w:szCs w:val="20"/>
        </w:rPr>
        <w:t xml:space="preserve"> </w:t>
      </w:r>
      <w:r>
        <w:rPr>
          <w:rFonts w:ascii="Arial" w:hAnsi="Arial" w:cs="Arial"/>
          <w:sz w:val="20"/>
          <w:szCs w:val="20"/>
        </w:rPr>
        <w:t>assumptions</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discriminatory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outcome.</w:t>
      </w:r>
    </w:p>
    <w:p w14:paraId="198A67FC" w14:textId="77777777" w:rsidR="00F2123B" w:rsidRDefault="00200CFB">
      <w:pPr>
        <w:spacing w:line="280" w:lineRule="atLeast"/>
        <w:rPr>
          <w:rFonts w:ascii="Arial" w:eastAsia="Arial" w:hAnsi="Arial" w:cs="Arial"/>
          <w:sz w:val="20"/>
          <w:szCs w:val="20"/>
        </w:rPr>
      </w:pPr>
      <w:r>
        <w:rPr>
          <w:rFonts w:ascii="Arial" w:eastAsia="Arial" w:hAnsi="Arial" w:cs="Arial"/>
          <w:sz w:val="20"/>
          <w:szCs w:val="20"/>
        </w:rPr>
        <w:t xml:space="preserve"> </w:t>
      </w:r>
    </w:p>
    <w:p w14:paraId="198A67FD" w14:textId="77777777" w:rsidR="00F2123B" w:rsidRDefault="00200CFB">
      <w:pPr>
        <w:spacing w:line="280" w:lineRule="atLeast"/>
      </w:pPr>
      <w:r>
        <w:rPr>
          <w:rFonts w:ascii="Arial" w:hAnsi="Arial" w:cs="Arial"/>
          <w:sz w:val="20"/>
          <w:szCs w:val="20"/>
        </w:rPr>
        <w:t>1.5</w:t>
      </w:r>
      <w:r>
        <w:rPr>
          <w:rFonts w:ascii="Arial" w:hAnsi="Arial" w:cs="Arial"/>
          <w:sz w:val="20"/>
          <w:szCs w:val="20"/>
        </w:rPr>
        <w:tab/>
        <w:t>In</w:t>
      </w:r>
      <w:r>
        <w:rPr>
          <w:rFonts w:ascii="Arial" w:eastAsia="Arial" w:hAnsi="Arial" w:cs="Arial"/>
          <w:sz w:val="20"/>
          <w:szCs w:val="20"/>
        </w:rPr>
        <w:t xml:space="preserve"> </w:t>
      </w:r>
      <w:r>
        <w:rPr>
          <w:rFonts w:ascii="Arial" w:hAnsi="Arial" w:cs="Arial"/>
          <w:sz w:val="20"/>
          <w:szCs w:val="20"/>
        </w:rPr>
        <w:t>undertaking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sensitive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responsive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differences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integrate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understanding</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delivery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nobody</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disadvantaged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result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belonging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assist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achieving</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 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plans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implemented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issues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diversity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addressed.</w:t>
      </w:r>
      <w:r>
        <w:rPr>
          <w:rFonts w:ascii="Arial" w:eastAsia="Arial" w:hAnsi="Arial" w:cs="Arial"/>
          <w:sz w:val="20"/>
          <w:szCs w:val="20"/>
        </w:rPr>
        <w:t xml:space="preserve"> </w:t>
      </w:r>
    </w:p>
    <w:p w14:paraId="198A67FE" w14:textId="77777777" w:rsidR="00F2123B" w:rsidRDefault="00F2123B">
      <w:pPr>
        <w:spacing w:line="280" w:lineRule="atLeast"/>
        <w:rPr>
          <w:rFonts w:ascii="Arial" w:hAnsi="Arial" w:cs="Arial"/>
          <w:sz w:val="20"/>
          <w:szCs w:val="20"/>
        </w:rPr>
      </w:pPr>
    </w:p>
    <w:p w14:paraId="198A67FF" w14:textId="77777777" w:rsidR="00F2123B" w:rsidRDefault="00200CFB">
      <w:pPr>
        <w:spacing w:line="280" w:lineRule="atLeast"/>
      </w:pPr>
      <w:r>
        <w:rPr>
          <w:rFonts w:ascii="Arial" w:hAnsi="Arial" w:cs="Arial"/>
          <w:sz w:val="20"/>
          <w:szCs w:val="20"/>
        </w:rPr>
        <w:t>1.6</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relies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b/>
          <w:sz w:val="20"/>
          <w:szCs w:val="20"/>
        </w:rPr>
        <w:t>component</w:t>
      </w:r>
      <w:r>
        <w:rPr>
          <w:rFonts w:ascii="Arial" w:eastAsia="Arial" w:hAnsi="Arial" w:cs="Arial"/>
          <w:b/>
          <w:sz w:val="20"/>
          <w:szCs w:val="20"/>
        </w:rPr>
        <w:t xml:space="preserve"> </w:t>
      </w:r>
      <w:r>
        <w:rPr>
          <w:rFonts w:ascii="Arial" w:hAnsi="Arial" w:cs="Arial"/>
          <w:b/>
          <w:sz w:val="20"/>
          <w:szCs w:val="20"/>
        </w:rPr>
        <w:t>bodies</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b/>
          <w:sz w:val="20"/>
          <w:szCs w:val="20"/>
        </w:rPr>
        <w:t>process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making</w:t>
      </w:r>
      <w:r>
        <w:rPr>
          <w:rFonts w:ascii="Arial" w:eastAsia="Arial" w:hAnsi="Arial" w:cs="Arial"/>
          <w:sz w:val="20"/>
          <w:szCs w:val="20"/>
        </w:rPr>
        <w:t xml:space="preserve"> </w:t>
      </w:r>
      <w:r>
        <w:rPr>
          <w:rFonts w:ascii="Arial" w:hAnsi="Arial" w:cs="Arial"/>
          <w:sz w:val="20"/>
          <w:szCs w:val="20"/>
        </w:rPr>
        <w:t>provision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b/>
          <w:sz w:val="20"/>
          <w:szCs w:val="20"/>
        </w:rPr>
        <w:t>particular</w:t>
      </w:r>
      <w:r>
        <w:rPr>
          <w:rFonts w:ascii="Arial" w:eastAsia="Arial" w:hAnsi="Arial" w:cs="Arial"/>
          <w:b/>
          <w:sz w:val="20"/>
          <w:szCs w:val="20"/>
        </w:rPr>
        <w:t xml:space="preserve"> </w:t>
      </w:r>
      <w:r>
        <w:rPr>
          <w:rFonts w:ascii="Arial" w:hAnsi="Arial" w:cs="Arial"/>
          <w:b/>
          <w:sz w:val="20"/>
          <w:szCs w:val="20"/>
        </w:rPr>
        <w:t>groups,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b/>
          <w:sz w:val="20"/>
          <w:szCs w:val="20"/>
        </w:rPr>
        <w:t>regulation</w:t>
      </w:r>
      <w:r>
        <w:rPr>
          <w:rFonts w:ascii="Arial" w:eastAsia="Arial" w:hAnsi="Arial" w:cs="Arial"/>
          <w:b/>
          <w:sz w:val="20"/>
          <w:szCs w:val="20"/>
        </w:rPr>
        <w:t xml:space="preserve"> </w:t>
      </w:r>
      <w:r>
        <w:rPr>
          <w:rFonts w:ascii="Arial" w:hAnsi="Arial" w:cs="Arial"/>
          <w:b/>
          <w:sz w:val="20"/>
          <w:szCs w:val="20"/>
        </w:rPr>
        <w:t>and</w:t>
      </w:r>
      <w:r>
        <w:rPr>
          <w:rFonts w:ascii="Arial" w:eastAsia="Arial" w:hAnsi="Arial" w:cs="Arial"/>
          <w:b/>
          <w:sz w:val="20"/>
          <w:szCs w:val="20"/>
        </w:rPr>
        <w:t xml:space="preserve"> </w:t>
      </w:r>
      <w:r>
        <w:rPr>
          <w:rFonts w:ascii="Arial" w:hAnsi="Arial" w:cs="Arial"/>
          <w:b/>
          <w:sz w:val="20"/>
          <w:szCs w:val="20"/>
        </w:rPr>
        <w:t>review.</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elements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briefly</w:t>
      </w:r>
      <w:r>
        <w:rPr>
          <w:rFonts w:ascii="Arial" w:eastAsia="Arial" w:hAnsi="Arial" w:cs="Arial"/>
          <w:sz w:val="20"/>
          <w:szCs w:val="20"/>
        </w:rPr>
        <w:t xml:space="preserve"> </w:t>
      </w:r>
      <w:r>
        <w:rPr>
          <w:rFonts w:ascii="Arial" w:hAnsi="Arial" w:cs="Arial"/>
          <w:sz w:val="20"/>
          <w:szCs w:val="20"/>
        </w:rPr>
        <w:t>explored</w:t>
      </w:r>
      <w:r>
        <w:rPr>
          <w:rFonts w:ascii="Arial" w:eastAsia="Arial" w:hAnsi="Arial" w:cs="Arial"/>
          <w:sz w:val="20"/>
          <w:szCs w:val="20"/>
        </w:rPr>
        <w:t xml:space="preserve"> </w:t>
      </w:r>
      <w:r>
        <w:rPr>
          <w:rFonts w:ascii="Arial" w:hAnsi="Arial" w:cs="Arial"/>
          <w:sz w:val="20"/>
          <w:szCs w:val="20"/>
        </w:rPr>
        <w:t>below</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detail</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body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chapters</w:t>
      </w:r>
      <w:r>
        <w:rPr>
          <w:rFonts w:ascii="Arial" w:eastAsia="Arial" w:hAnsi="Arial" w:cs="Arial"/>
          <w:sz w:val="20"/>
          <w:szCs w:val="20"/>
        </w:rPr>
        <w:t xml:space="preserve"> </w:t>
      </w:r>
      <w:r>
        <w:rPr>
          <w:rFonts w:ascii="Arial" w:hAnsi="Arial" w:cs="Arial"/>
          <w:sz w:val="20"/>
          <w:szCs w:val="20"/>
        </w:rPr>
        <w:t>shown.</w:t>
      </w:r>
    </w:p>
    <w:p w14:paraId="198A6800" w14:textId="77777777" w:rsidR="00F2123B" w:rsidRDefault="00F2123B">
      <w:pPr>
        <w:spacing w:line="280" w:lineRule="atLeast"/>
        <w:rPr>
          <w:rFonts w:ascii="Arial" w:hAnsi="Arial" w:cs="Arial"/>
          <w:sz w:val="20"/>
          <w:szCs w:val="20"/>
        </w:rPr>
      </w:pPr>
    </w:p>
    <w:p w14:paraId="198A6801"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Component</w:t>
      </w:r>
      <w:r>
        <w:rPr>
          <w:rFonts w:eastAsia="Arial"/>
          <w:sz w:val="28"/>
          <w:szCs w:val="28"/>
        </w:rPr>
        <w:t xml:space="preserve"> </w:t>
      </w:r>
      <w:r>
        <w:rPr>
          <w:sz w:val="28"/>
          <w:szCs w:val="28"/>
        </w:rPr>
        <w:t>bodies</w:t>
      </w:r>
    </w:p>
    <w:p w14:paraId="198A6802" w14:textId="77777777" w:rsidR="00F2123B" w:rsidRDefault="00F2123B">
      <w:pPr>
        <w:spacing w:line="280" w:lineRule="atLeast"/>
        <w:rPr>
          <w:rFonts w:ascii="Arial" w:hAnsi="Arial" w:cs="Arial"/>
          <w:sz w:val="20"/>
          <w:szCs w:val="20"/>
        </w:rPr>
      </w:pPr>
    </w:p>
    <w:p w14:paraId="198A6803" w14:textId="77777777" w:rsidR="00F2123B" w:rsidRDefault="00200CFB">
      <w:pPr>
        <w:spacing w:line="280" w:lineRule="atLeast"/>
      </w:pPr>
      <w:r>
        <w:rPr>
          <w:rFonts w:ascii="Arial" w:hAnsi="Arial" w:cs="Arial"/>
          <w:b/>
        </w:rPr>
        <w:t>Responsible</w:t>
      </w:r>
      <w:r>
        <w:rPr>
          <w:rFonts w:ascii="Arial" w:eastAsia="Arial" w:hAnsi="Arial" w:cs="Arial"/>
          <w:b/>
        </w:rPr>
        <w:t xml:space="preserve"> </w:t>
      </w:r>
      <w:r>
        <w:rPr>
          <w:rFonts w:ascii="Arial" w:hAnsi="Arial" w:cs="Arial"/>
          <w:b/>
        </w:rPr>
        <w:t>Authority</w:t>
      </w:r>
    </w:p>
    <w:p w14:paraId="198A6804" w14:textId="663DA7E9" w:rsidR="00F2123B" w:rsidRDefault="00200CFB">
      <w:pPr>
        <w:spacing w:line="280" w:lineRule="atLeast"/>
      </w:pPr>
      <w:r>
        <w:rPr>
          <w:rFonts w:ascii="Arial" w:hAnsi="Arial" w:cs="Arial"/>
          <w:sz w:val="20"/>
          <w:szCs w:val="20"/>
        </w:rPr>
        <w:t>1.7</w:t>
      </w:r>
      <w:r>
        <w:rPr>
          <w:rFonts w:ascii="Arial" w:hAnsi="Arial" w:cs="Arial"/>
          <w:sz w:val="20"/>
          <w:szCs w:val="20"/>
        </w:rPr>
        <w:tab/>
        <w:t>The</w:t>
      </w:r>
      <w:r>
        <w:rPr>
          <w:rFonts w:ascii="Arial" w:eastAsia="Arial" w:hAnsi="Arial" w:cs="Arial"/>
          <w:sz w:val="20"/>
          <w:szCs w:val="20"/>
        </w:rPr>
        <w:t xml:space="preserve"> Responsible Authority is the </w:t>
      </w:r>
      <w:r>
        <w:rPr>
          <w:rFonts w:ascii="Arial" w:hAnsi="Arial" w:cs="Arial"/>
          <w:sz w:val="20"/>
          <w:szCs w:val="20"/>
        </w:rPr>
        <w:t>primary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 xml:space="preserve">Probation </w:t>
      </w:r>
      <w:r w:rsidR="00682EBB">
        <w:rPr>
          <w:rFonts w:ascii="Arial" w:hAnsi="Arial" w:cs="Arial"/>
          <w:sz w:val="20"/>
          <w:szCs w:val="20"/>
        </w:rPr>
        <w:t>Service</w:t>
      </w:r>
      <w:r>
        <w:rPr>
          <w:rFonts w:ascii="Arial" w:hAnsi="Arial" w:cs="Arial"/>
          <w:sz w:val="20"/>
          <w:szCs w:val="20"/>
        </w:rPr>
        <w:t xml:space="preserve"> 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risks</w:t>
      </w:r>
      <w:r>
        <w:rPr>
          <w:rFonts w:ascii="Arial" w:eastAsia="Arial" w:hAnsi="Arial" w:cs="Arial"/>
          <w:sz w:val="20"/>
          <w:szCs w:val="20"/>
        </w:rPr>
        <w:t xml:space="preserve"> </w:t>
      </w:r>
      <w:r>
        <w:rPr>
          <w:rFonts w:ascii="Arial" w:hAnsi="Arial" w:cs="Arial"/>
          <w:sz w:val="20"/>
          <w:szCs w:val="20"/>
        </w:rPr>
        <w:t>posed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specified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appropriately.</w:t>
      </w:r>
      <w:r>
        <w:rPr>
          <w:rFonts w:ascii="Arial" w:eastAsia="Arial" w:hAnsi="Arial" w:cs="Arial"/>
          <w:sz w:val="20"/>
          <w:szCs w:val="20"/>
        </w:rPr>
        <w:t xml:space="preserve"> </w:t>
      </w:r>
    </w:p>
    <w:p w14:paraId="198A6805" w14:textId="77777777" w:rsidR="00F2123B" w:rsidRDefault="00F2123B">
      <w:pPr>
        <w:spacing w:line="280" w:lineRule="atLeast"/>
        <w:rPr>
          <w:rFonts w:ascii="Arial" w:hAnsi="Arial" w:cs="Arial"/>
          <w:sz w:val="20"/>
          <w:szCs w:val="20"/>
        </w:rPr>
      </w:pPr>
    </w:p>
    <w:p w14:paraId="198A6806" w14:textId="77777777" w:rsidR="00F2123B" w:rsidRDefault="00200CFB">
      <w:pPr>
        <w:spacing w:line="280" w:lineRule="atLeast"/>
      </w:pPr>
      <w:r>
        <w:rPr>
          <w:rFonts w:ascii="Arial" w:hAnsi="Arial" w:cs="Arial"/>
          <w:b/>
        </w:rPr>
        <w:t>Duty</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co-operate</w:t>
      </w:r>
      <w:r>
        <w:rPr>
          <w:rFonts w:ascii="Arial" w:eastAsia="Arial" w:hAnsi="Arial" w:cs="Arial"/>
          <w:b/>
        </w:rPr>
        <w:t xml:space="preserve"> </w:t>
      </w:r>
      <w:r>
        <w:rPr>
          <w:rFonts w:ascii="Arial" w:hAnsi="Arial" w:cs="Arial"/>
          <w:b/>
        </w:rPr>
        <w:t>agencies</w:t>
      </w:r>
    </w:p>
    <w:p w14:paraId="198A6807" w14:textId="77777777" w:rsidR="00F2123B" w:rsidRDefault="00200CFB">
      <w:pPr>
        <w:spacing w:line="280" w:lineRule="atLeast"/>
      </w:pPr>
      <w:r>
        <w:rPr>
          <w:rFonts w:ascii="Arial" w:hAnsi="Arial" w:cs="Arial"/>
          <w:sz w:val="20"/>
          <w:szCs w:val="20"/>
        </w:rPr>
        <w:t>1.8</w:t>
      </w:r>
      <w:r>
        <w:rPr>
          <w:rFonts w:ascii="Arial" w:hAnsi="Arial" w:cs="Arial"/>
          <w:sz w:val="20"/>
          <w:szCs w:val="20"/>
        </w:rPr>
        <w:tab/>
        <w:t>Other</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task.</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aspects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(e.g.</w:t>
      </w:r>
      <w:r>
        <w:rPr>
          <w:rFonts w:ascii="Arial" w:eastAsia="Arial" w:hAnsi="Arial" w:cs="Arial"/>
          <w:sz w:val="20"/>
          <w:szCs w:val="20"/>
        </w:rPr>
        <w:t xml:space="preserve"> </w:t>
      </w:r>
      <w:r>
        <w:rPr>
          <w:rFonts w:ascii="Arial" w:hAnsi="Arial" w:cs="Arial"/>
          <w:sz w:val="20"/>
          <w:szCs w:val="20"/>
        </w:rPr>
        <w:t>education,</w:t>
      </w:r>
      <w:r>
        <w:rPr>
          <w:rFonts w:ascii="Arial" w:eastAsia="Arial" w:hAnsi="Arial" w:cs="Arial"/>
          <w:sz w:val="20"/>
          <w:szCs w:val="20"/>
        </w:rPr>
        <w:t xml:space="preserve"> </w:t>
      </w:r>
      <w:r>
        <w:rPr>
          <w:rFonts w:ascii="Arial" w:hAnsi="Arial" w:cs="Arial"/>
          <w:sz w:val="20"/>
          <w:szCs w:val="20"/>
        </w:rPr>
        <w:t>employment,</w:t>
      </w:r>
      <w:r>
        <w:rPr>
          <w:rFonts w:ascii="Arial" w:eastAsia="Arial" w:hAnsi="Arial" w:cs="Arial"/>
          <w:sz w:val="20"/>
          <w:szCs w:val="20"/>
        </w:rPr>
        <w:t xml:space="preserve"> </w:t>
      </w:r>
      <w:r>
        <w:rPr>
          <w:rFonts w:ascii="Arial" w:hAnsi="Arial" w:cs="Arial"/>
          <w:sz w:val="20"/>
          <w:szCs w:val="20"/>
        </w:rPr>
        <w:t>housing,</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became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addition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list</w:t>
      </w:r>
      <w:r>
        <w:rPr>
          <w:rFonts w:ascii="Arial" w:eastAsia="Arial" w:hAnsi="Arial" w:cs="Arial"/>
          <w:sz w:val="20"/>
          <w:szCs w:val="20"/>
        </w:rPr>
        <w:t xml:space="preserve"> </w:t>
      </w:r>
      <w:r>
        <w:rPr>
          <w:rFonts w:ascii="Arial" w:hAnsi="Arial" w:cs="Arial"/>
          <w:sz w:val="20"/>
          <w:szCs w:val="20"/>
        </w:rPr>
        <w:t>since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scheme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implemented.</w:t>
      </w:r>
    </w:p>
    <w:p w14:paraId="198A6808" w14:textId="77777777" w:rsidR="00F2123B" w:rsidRDefault="00F2123B">
      <w:pPr>
        <w:spacing w:line="280" w:lineRule="atLeast"/>
        <w:rPr>
          <w:rFonts w:ascii="Arial" w:hAnsi="Arial" w:cs="Arial"/>
          <w:sz w:val="20"/>
          <w:szCs w:val="20"/>
        </w:rPr>
      </w:pPr>
    </w:p>
    <w:p w14:paraId="198A6809" w14:textId="77777777" w:rsidR="00F2123B" w:rsidRDefault="00200CFB">
      <w:pPr>
        <w:spacing w:line="280" w:lineRule="atLeast"/>
      </w:pPr>
      <w:r>
        <w:rPr>
          <w:rFonts w:ascii="Arial" w:hAnsi="Arial" w:cs="Arial"/>
          <w:b/>
        </w:rPr>
        <w:t>Strategic</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Board</w:t>
      </w:r>
    </w:p>
    <w:p w14:paraId="198A680A" w14:textId="77777777" w:rsidR="00F2123B" w:rsidRDefault="00200CFB">
      <w:pPr>
        <w:spacing w:line="280" w:lineRule="atLeast"/>
      </w:pPr>
      <w:r>
        <w:rPr>
          <w:rFonts w:ascii="Arial" w:hAnsi="Arial" w:cs="Arial"/>
          <w:sz w:val="20"/>
          <w:szCs w:val="20"/>
        </w:rPr>
        <w:t>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carried</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SMB</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governance-related</w:t>
      </w:r>
      <w:r>
        <w:rPr>
          <w:rFonts w:ascii="Arial" w:eastAsia="Arial" w:hAnsi="Arial" w:cs="Arial"/>
          <w:sz w:val="20"/>
          <w:szCs w:val="20"/>
        </w:rPr>
        <w:t xml:space="preserve"> </w:t>
      </w:r>
      <w:r>
        <w:rPr>
          <w:rFonts w:ascii="Arial" w:hAnsi="Arial" w:cs="Arial"/>
          <w:sz w:val="20"/>
          <w:szCs w:val="20"/>
        </w:rPr>
        <w:t>functions,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anti-discriminatory</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measuring</w:t>
      </w:r>
      <w:r>
        <w:rPr>
          <w:rFonts w:ascii="Arial" w:eastAsia="Arial" w:hAnsi="Arial" w:cs="Arial"/>
          <w:sz w:val="20"/>
          <w:szCs w:val="20"/>
        </w:rPr>
        <w:t xml:space="preserve"> </w:t>
      </w:r>
      <w:r>
        <w:rPr>
          <w:rFonts w:ascii="Arial" w:hAnsi="Arial" w:cs="Arial"/>
          <w:sz w:val="20"/>
          <w:szCs w:val="20"/>
        </w:rPr>
        <w:t>compliance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Indicators (“KPIs”),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producing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report.</w:t>
      </w:r>
      <w:r>
        <w:rPr>
          <w:rFonts w:ascii="Arial" w:eastAsia="Arial" w:hAnsi="Arial" w:cs="Arial"/>
          <w:sz w:val="20"/>
          <w:szCs w:val="20"/>
        </w:rPr>
        <w:t xml:space="preserve"> </w:t>
      </w:r>
    </w:p>
    <w:p w14:paraId="198A680B" w14:textId="77777777" w:rsidR="00F2123B" w:rsidRDefault="00F2123B">
      <w:pPr>
        <w:spacing w:line="280" w:lineRule="atLeast"/>
        <w:rPr>
          <w:rFonts w:ascii="Arial" w:hAnsi="Arial" w:cs="Arial"/>
          <w:sz w:val="20"/>
          <w:szCs w:val="20"/>
        </w:rPr>
      </w:pPr>
    </w:p>
    <w:p w14:paraId="198A680C" w14:textId="77777777" w:rsidR="00F2123B" w:rsidRDefault="00200CFB">
      <w:pPr>
        <w:spacing w:line="280" w:lineRule="atLeast"/>
      </w:pPr>
      <w:r>
        <w:rPr>
          <w:rFonts w:ascii="Arial" w:hAnsi="Arial" w:cs="Arial"/>
          <w:b/>
        </w:rPr>
        <w:t>Lay</w:t>
      </w:r>
      <w:r>
        <w:rPr>
          <w:rFonts w:ascii="Arial" w:eastAsia="Arial" w:hAnsi="Arial" w:cs="Arial"/>
          <w:b/>
        </w:rPr>
        <w:t xml:space="preserve"> </w:t>
      </w:r>
      <w:r>
        <w:rPr>
          <w:rFonts w:ascii="Arial" w:hAnsi="Arial" w:cs="Arial"/>
          <w:b/>
        </w:rPr>
        <w:t>Advisers</w:t>
      </w:r>
    </w:p>
    <w:p w14:paraId="198A680D" w14:textId="77777777" w:rsidR="00F2123B" w:rsidRDefault="00200CFB">
      <w:pPr>
        <w:spacing w:line="280" w:lineRule="atLeast"/>
      </w:pPr>
      <w:r>
        <w:rPr>
          <w:rFonts w:ascii="Arial" w:hAnsi="Arial" w:cs="Arial"/>
          <w:sz w:val="20"/>
          <w:szCs w:val="20"/>
        </w:rPr>
        <w:t>1.10</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perspective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Lay</w:t>
      </w:r>
      <w:r>
        <w:rPr>
          <w:rFonts w:ascii="Arial" w:eastAsia="Arial" w:hAnsi="Arial" w:cs="Arial"/>
          <w:sz w:val="20"/>
          <w:szCs w:val="20"/>
        </w:rPr>
        <w:t xml:space="preserve"> </w:t>
      </w:r>
      <w:r>
        <w:rPr>
          <w:rFonts w:ascii="Arial" w:hAnsi="Arial" w:cs="Arial"/>
          <w:sz w:val="20"/>
          <w:szCs w:val="20"/>
        </w:rPr>
        <w:t>Advisers,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Secretary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State</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appoint</w:t>
      </w:r>
      <w:r>
        <w:rPr>
          <w:rFonts w:ascii="Arial" w:eastAsia="Arial" w:hAnsi="Arial" w:cs="Arial"/>
          <w:sz w:val="20"/>
          <w:szCs w:val="20"/>
        </w:rPr>
        <w:t xml:space="preserve"> </w:t>
      </w:r>
      <w:r>
        <w:rPr>
          <w:rFonts w:ascii="Arial" w:hAnsi="Arial" w:cs="Arial"/>
          <w:sz w:val="20"/>
          <w:szCs w:val="20"/>
        </w:rPr>
        <w:t>two</w:t>
      </w:r>
      <w:r>
        <w:rPr>
          <w:rFonts w:ascii="Arial" w:eastAsia="Arial" w:hAnsi="Arial" w:cs="Arial"/>
          <w:sz w:val="20"/>
          <w:szCs w:val="20"/>
        </w:rPr>
        <w:t xml:space="preserve"> </w:t>
      </w:r>
      <w:r>
        <w:rPr>
          <w:rFonts w:ascii="Arial" w:hAnsi="Arial" w:cs="Arial"/>
          <w:sz w:val="20"/>
          <w:szCs w:val="20"/>
        </w:rPr>
        <w:t>Lay Advisers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p>
    <w:p w14:paraId="198A680E" w14:textId="77777777" w:rsidR="00F2123B" w:rsidRDefault="00F2123B">
      <w:pPr>
        <w:spacing w:line="280" w:lineRule="atLeast"/>
        <w:rPr>
          <w:rFonts w:ascii="Arial" w:hAnsi="Arial" w:cs="Arial"/>
          <w:sz w:val="20"/>
          <w:szCs w:val="20"/>
        </w:rPr>
      </w:pPr>
    </w:p>
    <w:p w14:paraId="198A680F"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Process</w:t>
      </w:r>
    </w:p>
    <w:p w14:paraId="198A6810" w14:textId="77777777" w:rsidR="00F2123B" w:rsidRDefault="00F2123B">
      <w:pPr>
        <w:spacing w:line="280" w:lineRule="atLeast"/>
        <w:rPr>
          <w:rFonts w:ascii="Arial" w:hAnsi="Arial" w:cs="Arial"/>
          <w:sz w:val="20"/>
          <w:szCs w:val="20"/>
        </w:rPr>
      </w:pPr>
    </w:p>
    <w:p w14:paraId="198A6811" w14:textId="77777777" w:rsidR="00F2123B" w:rsidRDefault="00200CFB">
      <w:pPr>
        <w:spacing w:line="280" w:lineRule="atLeast"/>
      </w:pPr>
      <w:r>
        <w:rPr>
          <w:rFonts w:ascii="Arial" w:hAnsi="Arial" w:cs="Arial"/>
          <w:b/>
        </w:rPr>
        <w:t>Identification</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Notification</w:t>
      </w:r>
    </w:p>
    <w:p w14:paraId="198A6812" w14:textId="77777777" w:rsidR="00F2123B" w:rsidRDefault="00200CFB">
      <w:pPr>
        <w:spacing w:line="280" w:lineRule="atLeast"/>
      </w:pPr>
      <w:r>
        <w:rPr>
          <w:rFonts w:ascii="Arial" w:hAnsi="Arial" w:cs="Arial"/>
          <w:sz w:val="20"/>
          <w:szCs w:val="20"/>
        </w:rPr>
        <w:t>1.11</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stages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may be liable to management under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consequence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caution or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later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notify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impending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or the commencement of a community order or suspended sentence,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falls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leading</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placed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categories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sentence.</w:t>
      </w:r>
    </w:p>
    <w:p w14:paraId="198A6813" w14:textId="77777777" w:rsidR="00F2123B" w:rsidRDefault="00F2123B">
      <w:pPr>
        <w:spacing w:line="280" w:lineRule="atLeast"/>
        <w:rPr>
          <w:rFonts w:ascii="Arial" w:hAnsi="Arial" w:cs="Arial"/>
          <w:sz w:val="20"/>
          <w:szCs w:val="20"/>
        </w:rPr>
      </w:pPr>
    </w:p>
    <w:p w14:paraId="198A6814" w14:textId="77777777" w:rsidR="00F2123B" w:rsidRDefault="00200CFB">
      <w:pPr>
        <w:spacing w:line="280" w:lineRule="atLeast"/>
      </w:pPr>
      <w:r>
        <w:rPr>
          <w:rFonts w:ascii="Arial" w:hAnsi="Arial" w:cs="Arial"/>
          <w:b/>
        </w:rPr>
        <w:t>Levels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management</w:t>
      </w:r>
    </w:p>
    <w:p w14:paraId="198A6815" w14:textId="2DCF0807" w:rsidR="00F2123B" w:rsidRDefault="00200CFB">
      <w:pPr>
        <w:spacing w:line="280" w:lineRule="atLeast"/>
      </w:pPr>
      <w:r>
        <w:rPr>
          <w:rFonts w:ascii="Arial" w:hAnsi="Arial" w:cs="Arial"/>
          <w:sz w:val="20"/>
          <w:szCs w:val="20"/>
        </w:rPr>
        <w:t>1.12</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levels</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extent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involvement</w:t>
      </w:r>
      <w:r>
        <w:rPr>
          <w:rFonts w:ascii="Arial" w:eastAsia="Arial" w:hAnsi="Arial" w:cs="Arial"/>
          <w:sz w:val="20"/>
          <w:szCs w:val="20"/>
        </w:rPr>
        <w:t xml:space="preserve"> </w:t>
      </w:r>
      <w:r>
        <w:rPr>
          <w:rFonts w:ascii="Arial" w:hAnsi="Arial" w:cs="Arial"/>
          <w:sz w:val="20"/>
          <w:szCs w:val="20"/>
        </w:rPr>
        <w:t>needed and the number of different agencies involved.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great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 1</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involves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does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others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senior</w:t>
      </w:r>
      <w:r>
        <w:rPr>
          <w:rFonts w:ascii="Arial" w:eastAsia="Arial" w:hAnsi="Arial" w:cs="Arial"/>
          <w:sz w:val="20"/>
          <w:szCs w:val="20"/>
        </w:rPr>
        <w:t xml:space="preserve"> representatives of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with the authority to commit resources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needed.</w:t>
      </w:r>
    </w:p>
    <w:p w14:paraId="198A6816" w14:textId="77777777" w:rsidR="00F2123B" w:rsidRDefault="00F2123B">
      <w:pPr>
        <w:spacing w:line="280" w:lineRule="atLeast"/>
        <w:rPr>
          <w:rFonts w:ascii="Arial" w:hAnsi="Arial" w:cs="Arial"/>
          <w:sz w:val="20"/>
          <w:szCs w:val="20"/>
        </w:rPr>
      </w:pPr>
    </w:p>
    <w:p w14:paraId="198A6817" w14:textId="77777777" w:rsidR="00F2123B" w:rsidRDefault="00200CFB">
      <w:pPr>
        <w:spacing w:line="280" w:lineRule="atLeast"/>
        <w:rPr>
          <w:rFonts w:ascii="Arial" w:hAnsi="Arial" w:cs="Arial"/>
          <w:b/>
        </w:rPr>
      </w:pPr>
      <w:r>
        <w:rPr>
          <w:rFonts w:ascii="Arial" w:hAnsi="Arial" w:cs="Arial"/>
          <w:b/>
        </w:rPr>
        <w:t>ViSOR</w:t>
      </w:r>
    </w:p>
    <w:p w14:paraId="198A6818" w14:textId="77777777" w:rsidR="00F2123B" w:rsidRDefault="00200CFB">
      <w:pPr>
        <w:spacing w:line="280" w:lineRule="atLeast"/>
      </w:pPr>
      <w:r>
        <w:rPr>
          <w:rFonts w:ascii="Arial" w:hAnsi="Arial" w:cs="Arial"/>
          <w:sz w:val="20"/>
          <w:szCs w:val="20"/>
        </w:rPr>
        <w:t>1.13</w:t>
      </w:r>
      <w:r>
        <w:rPr>
          <w:rFonts w:ascii="Arial" w:hAnsi="Arial" w:cs="Arial"/>
          <w:sz w:val="20"/>
          <w:szCs w:val="20"/>
        </w:rPr>
        <w:tab/>
        <w:t>Storing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essential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approach.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stored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business</w:t>
      </w:r>
      <w:r>
        <w:rPr>
          <w:rFonts w:ascii="Arial" w:eastAsia="Arial" w:hAnsi="Arial" w:cs="Arial"/>
          <w:sz w:val="20"/>
          <w:szCs w:val="20"/>
        </w:rPr>
        <w:t xml:space="preserve"> </w:t>
      </w:r>
      <w:r>
        <w:rPr>
          <w:rFonts w:ascii="Arial" w:hAnsi="Arial" w:cs="Arial"/>
          <w:sz w:val="20"/>
          <w:szCs w:val="20"/>
        </w:rPr>
        <w:t>model.</w:t>
      </w:r>
      <w:r>
        <w:rPr>
          <w:rFonts w:ascii="Arial" w:eastAsia="Arial" w:hAnsi="Arial" w:cs="Arial"/>
          <w:sz w:val="20"/>
          <w:szCs w:val="20"/>
        </w:rPr>
        <w:t xml:space="preserve"> </w:t>
      </w:r>
    </w:p>
    <w:p w14:paraId="198A6819" w14:textId="77777777" w:rsidR="00F2123B" w:rsidRDefault="00F2123B">
      <w:pPr>
        <w:spacing w:line="280" w:lineRule="atLeast"/>
        <w:rPr>
          <w:rFonts w:ascii="Arial" w:hAnsi="Arial" w:cs="Arial"/>
          <w:sz w:val="20"/>
          <w:szCs w:val="20"/>
        </w:rPr>
      </w:pPr>
    </w:p>
    <w:p w14:paraId="198A681A" w14:textId="77777777" w:rsidR="00F2123B" w:rsidRDefault="00200CFB">
      <w:pPr>
        <w:spacing w:line="280" w:lineRule="atLeast"/>
        <w:rPr>
          <w:rFonts w:ascii="Arial" w:hAnsi="Arial" w:cs="Arial"/>
          <w:b/>
        </w:rPr>
      </w:pPr>
      <w:r>
        <w:rPr>
          <w:rFonts w:ascii="Arial" w:hAnsi="Arial" w:cs="Arial"/>
          <w:b/>
        </w:rPr>
        <w:t>Information-sharing</w:t>
      </w:r>
    </w:p>
    <w:p w14:paraId="198A681B" w14:textId="77777777" w:rsidR="00F2123B" w:rsidRDefault="00200CFB">
      <w:pPr>
        <w:spacing w:line="280" w:lineRule="atLeast"/>
      </w:pPr>
      <w:r>
        <w:rPr>
          <w:rFonts w:ascii="Arial" w:hAnsi="Arial" w:cs="Arial"/>
          <w:sz w:val="20"/>
          <w:szCs w:val="20"/>
        </w:rPr>
        <w:t>1.14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information-sharing</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governed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certain</w:t>
      </w:r>
      <w:r>
        <w:rPr>
          <w:rFonts w:ascii="Arial" w:eastAsia="Arial" w:hAnsi="Arial" w:cs="Arial"/>
          <w:sz w:val="20"/>
          <w:szCs w:val="20"/>
        </w:rPr>
        <w:t xml:space="preserve"> </w:t>
      </w:r>
      <w:r>
        <w:rPr>
          <w:rFonts w:ascii="Arial" w:hAnsi="Arial" w:cs="Arial"/>
          <w:sz w:val="20"/>
          <w:szCs w:val="20"/>
        </w:rPr>
        <w:t>principles.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draws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Code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issued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2011</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p w14:paraId="198A681C" w14:textId="77777777" w:rsidR="00F2123B" w:rsidRDefault="00F2123B">
      <w:pPr>
        <w:spacing w:line="280" w:lineRule="atLeast"/>
        <w:rPr>
          <w:rFonts w:ascii="Arial" w:hAnsi="Arial" w:cs="Arial"/>
          <w:sz w:val="20"/>
          <w:szCs w:val="20"/>
        </w:rPr>
      </w:pPr>
    </w:p>
    <w:p w14:paraId="198A681D" w14:textId="77777777" w:rsidR="00F2123B" w:rsidRDefault="00200CFB">
      <w:pPr>
        <w:spacing w:line="280" w:lineRule="atLeast"/>
        <w:rPr>
          <w:rFonts w:ascii="Arial" w:hAnsi="Arial" w:cs="Arial"/>
          <w:b/>
        </w:rPr>
      </w:pPr>
      <w:r>
        <w:rPr>
          <w:rFonts w:ascii="Arial" w:hAnsi="Arial" w:cs="Arial"/>
          <w:b/>
        </w:rPr>
        <w:t>Disclosure</w:t>
      </w:r>
    </w:p>
    <w:p w14:paraId="198A681E" w14:textId="77777777" w:rsidR="00F2123B" w:rsidRDefault="00200CFB">
      <w:pPr>
        <w:spacing w:line="280" w:lineRule="atLeast"/>
      </w:pPr>
      <w:r>
        <w:rPr>
          <w:rFonts w:ascii="Arial" w:hAnsi="Arial" w:cs="Arial"/>
          <w:sz w:val="20"/>
          <w:szCs w:val="20"/>
        </w:rPr>
        <w:t>1.15</w:t>
      </w:r>
      <w:r>
        <w:rPr>
          <w:rFonts w:ascii="Arial" w:hAnsi="Arial" w:cs="Arial"/>
          <w:sz w:val="20"/>
          <w:szCs w:val="20"/>
        </w:rPr>
        <w:tab/>
        <w:t>There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disclosure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particular</w:t>
      </w:r>
      <w:r>
        <w:rPr>
          <w:rFonts w:ascii="Arial" w:eastAsia="Arial" w:hAnsi="Arial" w:cs="Arial"/>
          <w:sz w:val="20"/>
          <w:szCs w:val="20"/>
        </w:rPr>
        <w:t xml:space="preserve"> </w:t>
      </w:r>
      <w:r>
        <w:rPr>
          <w:rFonts w:ascii="Arial" w:hAnsi="Arial" w:cs="Arial"/>
          <w:sz w:val="20"/>
          <w:szCs w:val="20"/>
        </w:rPr>
        <w:t>circumstances.</w:t>
      </w:r>
      <w:r>
        <w:rPr>
          <w:rFonts w:ascii="Arial" w:eastAsia="Arial" w:hAnsi="Arial" w:cs="Arial"/>
          <w:sz w:val="20"/>
          <w:szCs w:val="20"/>
        </w:rPr>
        <w:t xml:space="preserve"> </w:t>
      </w:r>
    </w:p>
    <w:p w14:paraId="198A681F" w14:textId="77777777" w:rsidR="00F2123B" w:rsidRDefault="00F2123B">
      <w:pPr>
        <w:spacing w:line="280" w:lineRule="atLeast"/>
        <w:rPr>
          <w:rFonts w:ascii="Arial" w:hAnsi="Arial" w:cs="Arial"/>
          <w:sz w:val="20"/>
          <w:szCs w:val="20"/>
        </w:rPr>
      </w:pPr>
    </w:p>
    <w:p w14:paraId="198A6820"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assessment</w:t>
      </w:r>
    </w:p>
    <w:p w14:paraId="198A6821" w14:textId="6E0D0975" w:rsidR="00F2123B" w:rsidRDefault="00200CFB">
      <w:pPr>
        <w:spacing w:line="280" w:lineRule="atLeast"/>
        <w:rPr>
          <w:rFonts w:ascii="Arial" w:eastAsia="Arial" w:hAnsi="Arial" w:cs="Arial"/>
          <w:sz w:val="20"/>
          <w:szCs w:val="20"/>
        </w:rPr>
      </w:pPr>
      <w:r>
        <w:rPr>
          <w:rFonts w:ascii="Arial" w:hAnsi="Arial" w:cs="Arial"/>
          <w:sz w:val="20"/>
          <w:szCs w:val="20"/>
        </w:rPr>
        <w:t>1.16</w:t>
      </w:r>
      <w:r>
        <w:rPr>
          <w:rFonts w:ascii="Arial" w:hAnsi="Arial" w:cs="Arial"/>
          <w:sz w:val="20"/>
          <w:szCs w:val="20"/>
        </w:rPr>
        <w:tab/>
        <w:t>Once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identified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MAPPA offenders,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next</w:t>
      </w:r>
      <w:r>
        <w:rPr>
          <w:rFonts w:ascii="Arial" w:eastAsia="Arial" w:hAnsi="Arial" w:cs="Arial"/>
          <w:sz w:val="20"/>
          <w:szCs w:val="20"/>
        </w:rPr>
        <w:t xml:space="preserve"> </w:t>
      </w:r>
      <w:r>
        <w:rPr>
          <w:rFonts w:ascii="Arial" w:hAnsi="Arial" w:cs="Arial"/>
          <w:sz w:val="20"/>
          <w:szCs w:val="20"/>
        </w:rPr>
        <w:t>stage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assess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pose.</w:t>
      </w:r>
      <w:r>
        <w:rPr>
          <w:rFonts w:ascii="Arial" w:eastAsia="Arial" w:hAnsi="Arial" w:cs="Arial"/>
          <w:sz w:val="20"/>
          <w:szCs w:val="20"/>
        </w:rPr>
        <w:t xml:space="preserve"> This could be the risk of reconviction, the risk of reoffending, or the risk of serious harm.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purpose.</w:t>
      </w:r>
      <w:r>
        <w:rPr>
          <w:rFonts w:ascii="Arial" w:eastAsia="Arial" w:hAnsi="Arial" w:cs="Arial"/>
          <w:sz w:val="20"/>
          <w:szCs w:val="20"/>
        </w:rPr>
        <w:t xml:space="preserve"> </w:t>
      </w:r>
    </w:p>
    <w:p w14:paraId="0530C073" w14:textId="77777777" w:rsidR="001A24DE" w:rsidRDefault="001A24DE">
      <w:pPr>
        <w:spacing w:line="280" w:lineRule="atLeast"/>
      </w:pPr>
    </w:p>
    <w:p w14:paraId="198A6822" w14:textId="77777777" w:rsidR="00F2123B" w:rsidRDefault="00200CFB">
      <w:pPr>
        <w:spacing w:line="280" w:lineRule="atLeast"/>
      </w:pPr>
      <w:r>
        <w:rPr>
          <w:rFonts w:ascii="Arial" w:hAnsi="Arial" w:cs="Arial"/>
          <w:b/>
        </w:rPr>
        <w:t>Risk</w:t>
      </w:r>
      <w:r>
        <w:rPr>
          <w:rFonts w:ascii="Arial" w:eastAsia="Arial" w:hAnsi="Arial" w:cs="Arial"/>
          <w:b/>
        </w:rPr>
        <w:t xml:space="preserve"> </w:t>
      </w:r>
      <w:r>
        <w:rPr>
          <w:rFonts w:ascii="Arial" w:hAnsi="Arial" w:cs="Arial"/>
          <w:b/>
        </w:rPr>
        <w:t>Management</w:t>
      </w:r>
      <w:r>
        <w:rPr>
          <w:rFonts w:ascii="Arial" w:eastAsia="Arial" w:hAnsi="Arial" w:cs="Arial"/>
          <w:b/>
        </w:rPr>
        <w:t xml:space="preserve"> </w:t>
      </w:r>
      <w:r>
        <w:rPr>
          <w:rFonts w:ascii="Arial" w:hAnsi="Arial" w:cs="Arial"/>
          <w:b/>
        </w:rPr>
        <w:t>Plan</w:t>
      </w:r>
    </w:p>
    <w:p w14:paraId="198A6823" w14:textId="77777777" w:rsidR="00F2123B" w:rsidRDefault="00200CFB">
      <w:pPr>
        <w:spacing w:line="280" w:lineRule="atLeast"/>
      </w:pPr>
      <w:r>
        <w:rPr>
          <w:rFonts w:ascii="Arial" w:hAnsi="Arial" w:cs="Arial"/>
          <w:sz w:val="20"/>
          <w:szCs w:val="20"/>
        </w:rPr>
        <w:t>1.17</w:t>
      </w:r>
      <w:r>
        <w:rPr>
          <w:rFonts w:ascii="Arial" w:hAnsi="Arial" w:cs="Arial"/>
          <w:sz w:val="20"/>
          <w:szCs w:val="20"/>
        </w:rPr>
        <w:tab/>
        <w:t>Having</w:t>
      </w:r>
      <w:r>
        <w:rPr>
          <w:rFonts w:ascii="Arial" w:eastAsia="Arial" w:hAnsi="Arial" w:cs="Arial"/>
          <w:sz w:val="20"/>
          <w:szCs w:val="20"/>
        </w:rPr>
        <w:t xml:space="preserve"> </w:t>
      </w:r>
      <w:r>
        <w:rPr>
          <w:rFonts w:ascii="Arial" w:hAnsi="Arial" w:cs="Arial"/>
          <w:sz w:val="20"/>
          <w:szCs w:val="20"/>
        </w:rPr>
        <w:t>assessed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poses,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entail</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detailed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robust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824" w14:textId="77777777" w:rsidR="00F2123B" w:rsidRDefault="00F2123B">
      <w:pPr>
        <w:spacing w:line="280" w:lineRule="atLeast"/>
        <w:rPr>
          <w:rFonts w:ascii="Arial" w:hAnsi="Arial" w:cs="Arial"/>
          <w:b/>
        </w:rPr>
      </w:pPr>
    </w:p>
    <w:p w14:paraId="198A6825" w14:textId="3A53A178" w:rsidR="00F2123B" w:rsidRDefault="00200CFB">
      <w:pPr>
        <w:spacing w:line="280" w:lineRule="atLeast"/>
        <w:rPr>
          <w:rFonts w:ascii="Arial" w:hAnsi="Arial" w:cs="Arial"/>
          <w:b/>
        </w:rPr>
      </w:pPr>
      <w:r>
        <w:rPr>
          <w:rFonts w:ascii="Arial" w:hAnsi="Arial" w:cs="Arial"/>
          <w:b/>
        </w:rPr>
        <w:t>MAPP</w:t>
      </w:r>
      <w:r w:rsidR="001A24DE">
        <w:rPr>
          <w:rFonts w:ascii="Arial" w:hAnsi="Arial" w:cs="Arial"/>
          <w:b/>
        </w:rPr>
        <w:t>A</w:t>
      </w:r>
      <w:r>
        <w:rPr>
          <w:rFonts w:ascii="Arial" w:hAnsi="Arial" w:cs="Arial"/>
          <w:b/>
        </w:rPr>
        <w:t xml:space="preserve"> meetings</w:t>
      </w:r>
    </w:p>
    <w:p w14:paraId="198A6826" w14:textId="35663A15" w:rsidR="00F2123B" w:rsidRDefault="00200CFB">
      <w:pPr>
        <w:spacing w:line="280" w:lineRule="atLeast"/>
      </w:pPr>
      <w:r>
        <w:rPr>
          <w:rFonts w:ascii="Arial" w:hAnsi="Arial" w:cs="Arial"/>
          <w:sz w:val="20"/>
          <w:szCs w:val="20"/>
        </w:rPr>
        <w:t>1.18</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vast</w:t>
      </w:r>
      <w:r>
        <w:rPr>
          <w:rFonts w:ascii="Arial" w:eastAsia="Arial" w:hAnsi="Arial" w:cs="Arial"/>
          <w:sz w:val="20"/>
          <w:szCs w:val="20"/>
        </w:rPr>
        <w:t xml:space="preserve"> </w:t>
      </w:r>
      <w:r>
        <w:rPr>
          <w:rFonts w:ascii="Arial" w:hAnsi="Arial" w:cs="Arial"/>
          <w:sz w:val="20"/>
          <w:szCs w:val="20"/>
        </w:rPr>
        <w:t>majority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ordinary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usually</w:t>
      </w:r>
      <w:r>
        <w:rPr>
          <w:rFonts w:ascii="Arial" w:eastAsia="Arial" w:hAnsi="Arial" w:cs="Arial"/>
          <w:sz w:val="20"/>
          <w:szCs w:val="20"/>
        </w:rPr>
        <w:t xml:space="preserve"> </w:t>
      </w:r>
      <w:r>
        <w:rPr>
          <w:rFonts w:ascii="Arial" w:hAnsi="Arial" w:cs="Arial"/>
          <w:sz w:val="20"/>
          <w:szCs w:val="20"/>
        </w:rPr>
        <w:t>involve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structural</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discussion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inter-agency</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sidR="001A24DE">
        <w:rPr>
          <w:rFonts w:ascii="Arial" w:hAnsi="Arial" w:cs="Arial"/>
          <w:sz w:val="20"/>
          <w:szCs w:val="20"/>
        </w:rPr>
        <w:t>A</w:t>
      </w:r>
      <w:r>
        <w:rPr>
          <w:rFonts w:ascii="Arial" w:hAnsi="Arial" w:cs="Arial"/>
          <w:sz w:val="20"/>
          <w:szCs w:val="20"/>
        </w:rPr>
        <w:t xml:space="preserve"> meeting.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permanent</w:t>
      </w:r>
      <w:r>
        <w:rPr>
          <w:rFonts w:ascii="Arial" w:eastAsia="Arial" w:hAnsi="Arial" w:cs="Arial"/>
          <w:sz w:val="20"/>
          <w:szCs w:val="20"/>
        </w:rPr>
        <w:t xml:space="preserve"> </w:t>
      </w:r>
      <w:r>
        <w:rPr>
          <w:rFonts w:ascii="Arial" w:hAnsi="Arial" w:cs="Arial"/>
          <w:sz w:val="20"/>
          <w:szCs w:val="20"/>
        </w:rPr>
        <w:t>members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possible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every</w:t>
      </w:r>
      <w:r>
        <w:rPr>
          <w:rFonts w:ascii="Arial" w:eastAsia="Arial" w:hAnsi="Arial" w:cs="Arial"/>
          <w:sz w:val="20"/>
          <w:szCs w:val="20"/>
        </w:rPr>
        <w:t xml:space="preserve"> </w:t>
      </w:r>
      <w:r>
        <w:rPr>
          <w:rFonts w:ascii="Arial" w:hAnsi="Arial" w:cs="Arial"/>
          <w:sz w:val="20"/>
          <w:szCs w:val="20"/>
        </w:rPr>
        <w:t>meeting).</w:t>
      </w:r>
      <w:r>
        <w:rPr>
          <w:rFonts w:ascii="Arial" w:eastAsia="Arial" w:hAnsi="Arial" w:cs="Arial"/>
          <w:sz w:val="20"/>
          <w:szCs w:val="20"/>
        </w:rPr>
        <w:t xml:space="preserve"> </w:t>
      </w:r>
      <w:r>
        <w:rPr>
          <w:rFonts w:ascii="Arial" w:hAnsi="Arial" w:cs="Arial"/>
          <w:sz w:val="20"/>
          <w:szCs w:val="20"/>
        </w:rPr>
        <w:t>DTC</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invited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attend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respect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frequency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meetings</w:t>
      </w:r>
      <w:r>
        <w:rPr>
          <w:rFonts w:ascii="Arial" w:eastAsia="Arial" w:hAnsi="Arial" w:cs="Arial"/>
          <w:sz w:val="20"/>
          <w:szCs w:val="20"/>
        </w:rPr>
        <w:t xml:space="preserve"> </w:t>
      </w:r>
      <w:r>
        <w:rPr>
          <w:rFonts w:ascii="Arial" w:hAnsi="Arial" w:cs="Arial"/>
          <w:sz w:val="20"/>
          <w:szCs w:val="20"/>
        </w:rPr>
        <w:t>depends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deemed</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offender. Finally, this chapter also deals with the sharing and disclosure of MAPP meeting minutes.</w:t>
      </w:r>
    </w:p>
    <w:p w14:paraId="198A6827" w14:textId="77777777" w:rsidR="00F2123B" w:rsidRDefault="00F2123B">
      <w:pPr>
        <w:spacing w:line="280" w:lineRule="atLeast"/>
        <w:rPr>
          <w:rFonts w:ascii="Arial" w:hAnsi="Arial" w:cs="Arial"/>
          <w:sz w:val="20"/>
          <w:szCs w:val="20"/>
        </w:rPr>
      </w:pPr>
    </w:p>
    <w:p w14:paraId="198A6828"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document</w:t>
      </w:r>
      <w:r>
        <w:rPr>
          <w:rFonts w:ascii="Arial" w:eastAsia="Arial" w:hAnsi="Arial" w:cs="Arial"/>
          <w:b/>
        </w:rPr>
        <w:t xml:space="preserve"> </w:t>
      </w:r>
      <w:r>
        <w:rPr>
          <w:rFonts w:ascii="Arial" w:hAnsi="Arial" w:cs="Arial"/>
          <w:b/>
        </w:rPr>
        <w:t>set</w:t>
      </w:r>
    </w:p>
    <w:p w14:paraId="198A6829" w14:textId="77777777" w:rsidR="00F2123B" w:rsidRDefault="00200CFB">
      <w:pPr>
        <w:spacing w:line="280" w:lineRule="atLeast"/>
      </w:pPr>
      <w:r>
        <w:rPr>
          <w:rFonts w:ascii="Arial" w:hAnsi="Arial" w:cs="Arial"/>
          <w:sz w:val="20"/>
          <w:szCs w:val="20"/>
        </w:rPr>
        <w:t>1.19</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works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through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presence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appropriate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proper</w:t>
      </w:r>
      <w:r>
        <w:rPr>
          <w:rFonts w:ascii="Arial" w:eastAsia="Arial" w:hAnsi="Arial" w:cs="Arial"/>
          <w:sz w:val="20"/>
          <w:szCs w:val="20"/>
        </w:rPr>
        <w:t xml:space="preserve"> </w:t>
      </w:r>
      <w:r>
        <w:rPr>
          <w:rFonts w:ascii="Arial" w:hAnsi="Arial" w:cs="Arial"/>
          <w:sz w:val="20"/>
          <w:szCs w:val="20"/>
        </w:rPr>
        <w:t>documentation.</w:t>
      </w:r>
      <w:r>
        <w:rPr>
          <w:rFonts w:ascii="Arial" w:eastAsia="Arial" w:hAnsi="Arial" w:cs="Arial"/>
          <w:sz w:val="20"/>
          <w:szCs w:val="20"/>
        </w:rPr>
        <w:t xml:space="preserve"> It provides a consistent process for sharing information across England and Wales.</w:t>
      </w:r>
    </w:p>
    <w:p w14:paraId="198A682A" w14:textId="77777777" w:rsidR="00F2123B" w:rsidRDefault="00F2123B">
      <w:pPr>
        <w:spacing w:line="280" w:lineRule="atLeast"/>
        <w:rPr>
          <w:rFonts w:ascii="Arial" w:hAnsi="Arial" w:cs="Arial"/>
          <w:sz w:val="20"/>
          <w:szCs w:val="20"/>
        </w:rPr>
      </w:pPr>
    </w:p>
    <w:p w14:paraId="198A682B" w14:textId="77777777" w:rsidR="00F2123B" w:rsidRDefault="00200CFB">
      <w:pPr>
        <w:spacing w:line="280" w:lineRule="atLeast"/>
        <w:rPr>
          <w:rFonts w:ascii="Arial" w:hAnsi="Arial" w:cs="Arial"/>
          <w:b/>
        </w:rPr>
      </w:pPr>
      <w:r>
        <w:rPr>
          <w:rFonts w:ascii="Arial" w:hAnsi="Arial" w:cs="Arial"/>
          <w:b/>
        </w:rPr>
        <w:t>Custody</w:t>
      </w:r>
    </w:p>
    <w:p w14:paraId="198A682C" w14:textId="77777777" w:rsidR="00F2123B" w:rsidRDefault="00200CFB">
      <w:pPr>
        <w:spacing w:line="280" w:lineRule="atLeast"/>
      </w:pPr>
      <w:r>
        <w:rPr>
          <w:rFonts w:ascii="Arial" w:hAnsi="Arial" w:cs="Arial"/>
          <w:sz w:val="20"/>
          <w:szCs w:val="20"/>
        </w:rPr>
        <w:t>1.20</w:t>
      </w:r>
      <w:r>
        <w:rPr>
          <w:rFonts w:ascii="Arial" w:hAnsi="Arial" w:cs="Arial"/>
          <w:sz w:val="20"/>
          <w:szCs w:val="20"/>
        </w:rPr>
        <w:tab/>
        <w:t>Custodial</w:t>
      </w:r>
      <w:r>
        <w:rPr>
          <w:rFonts w:ascii="Arial" w:eastAsia="Arial" w:hAnsi="Arial" w:cs="Arial"/>
          <w:sz w:val="20"/>
          <w:szCs w:val="20"/>
        </w:rPr>
        <w:t xml:space="preserve"> </w:t>
      </w:r>
      <w:r>
        <w:rPr>
          <w:rFonts w:ascii="Arial" w:hAnsi="Arial" w:cs="Arial"/>
          <w:sz w:val="20"/>
          <w:szCs w:val="20"/>
        </w:rPr>
        <w:t>establishments</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liable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management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Planning</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Obviously,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plays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process.</w:t>
      </w:r>
    </w:p>
    <w:p w14:paraId="198A682D" w14:textId="77777777" w:rsidR="00F2123B" w:rsidRDefault="00F2123B">
      <w:pPr>
        <w:spacing w:line="280" w:lineRule="atLeast"/>
        <w:rPr>
          <w:rFonts w:ascii="Arial" w:hAnsi="Arial" w:cs="Arial"/>
          <w:sz w:val="20"/>
          <w:szCs w:val="20"/>
        </w:rPr>
      </w:pPr>
    </w:p>
    <w:p w14:paraId="198A682E" w14:textId="77777777" w:rsidR="00F2123B" w:rsidRDefault="00200CFB">
      <w:pPr>
        <w:spacing w:line="280" w:lineRule="atLeast"/>
        <w:rPr>
          <w:rFonts w:ascii="Arial" w:hAnsi="Arial" w:cs="Arial"/>
          <w:b/>
        </w:rPr>
      </w:pPr>
      <w:r>
        <w:rPr>
          <w:rFonts w:ascii="Arial" w:hAnsi="Arial" w:cs="Arial"/>
          <w:b/>
        </w:rPr>
        <w:t>Recall</w:t>
      </w:r>
    </w:p>
    <w:p w14:paraId="198A682F" w14:textId="4E107609" w:rsidR="00F2123B" w:rsidRDefault="00200CFB">
      <w:pPr>
        <w:spacing w:line="280" w:lineRule="atLeast"/>
      </w:pPr>
      <w:r>
        <w:rPr>
          <w:rFonts w:ascii="Arial" w:hAnsi="Arial" w:cs="Arial"/>
          <w:sz w:val="20"/>
          <w:szCs w:val="20"/>
        </w:rPr>
        <w:t>1.21</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recall</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the </w:t>
      </w:r>
      <w:r>
        <w:rPr>
          <w:rFonts w:ascii="Arial" w:hAnsi="Arial" w:cs="Arial"/>
          <w:sz w:val="20"/>
          <w:szCs w:val="20"/>
        </w:rPr>
        <w:t>Public Protection Group (“PPG”);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conditions.</w:t>
      </w:r>
    </w:p>
    <w:p w14:paraId="198A6830" w14:textId="77777777" w:rsidR="00F2123B" w:rsidRDefault="00F2123B">
      <w:pPr>
        <w:spacing w:line="280" w:lineRule="atLeast"/>
        <w:rPr>
          <w:rFonts w:ascii="Arial" w:hAnsi="Arial" w:cs="Arial"/>
          <w:sz w:val="20"/>
          <w:szCs w:val="20"/>
        </w:rPr>
      </w:pPr>
    </w:p>
    <w:p w14:paraId="198A6831" w14:textId="77777777" w:rsidR="00F2123B" w:rsidRDefault="00200CFB">
      <w:pPr>
        <w:spacing w:line="280" w:lineRule="atLeast"/>
      </w:pPr>
      <w:r>
        <w:rPr>
          <w:rFonts w:ascii="Arial" w:hAnsi="Arial" w:cs="Arial"/>
          <w:b/>
        </w:rPr>
        <w:t>Transfer</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offenders</w:t>
      </w:r>
    </w:p>
    <w:p w14:paraId="198A6832" w14:textId="77777777" w:rsidR="00F2123B" w:rsidRDefault="00200CFB">
      <w:pPr>
        <w:spacing w:line="280" w:lineRule="atLeast"/>
      </w:pPr>
      <w:r>
        <w:rPr>
          <w:rFonts w:ascii="Arial" w:hAnsi="Arial" w:cs="Arial"/>
          <w:sz w:val="20"/>
          <w:szCs w:val="20"/>
        </w:rPr>
        <w:t>1.22</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sometimes</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another</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England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Wales,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different</w:t>
      </w:r>
      <w:r>
        <w:rPr>
          <w:rFonts w:ascii="Arial" w:eastAsia="Arial" w:hAnsi="Arial" w:cs="Arial"/>
          <w:sz w:val="20"/>
          <w:szCs w:val="20"/>
        </w:rPr>
        <w:t xml:space="preserve"> </w:t>
      </w:r>
      <w:r>
        <w:rPr>
          <w:rFonts w:ascii="Arial" w:hAnsi="Arial" w:cs="Arial"/>
          <w:sz w:val="20"/>
          <w:szCs w:val="20"/>
        </w:rPr>
        <w:t>jurisdictions.</w:t>
      </w:r>
      <w:r>
        <w:rPr>
          <w:rFonts w:ascii="Arial" w:eastAsia="Arial" w:hAnsi="Arial" w:cs="Arial"/>
          <w:sz w:val="20"/>
          <w:szCs w:val="20"/>
        </w:rPr>
        <w:t xml:space="preserve"> </w:t>
      </w:r>
      <w:r>
        <w:rPr>
          <w:rFonts w:ascii="Arial" w:hAnsi="Arial" w:cs="Arial"/>
          <w:sz w:val="20"/>
          <w:szCs w:val="20"/>
        </w:rPr>
        <w:t>Transfers</w:t>
      </w:r>
      <w:r>
        <w:rPr>
          <w:rFonts w:ascii="Arial" w:eastAsia="Arial" w:hAnsi="Arial" w:cs="Arial"/>
          <w:sz w:val="20"/>
          <w:szCs w:val="20"/>
        </w:rPr>
        <w:t xml:space="preserve"> </w:t>
      </w:r>
      <w:r>
        <w:rPr>
          <w:rFonts w:ascii="Arial" w:hAnsi="Arial" w:cs="Arial"/>
          <w:sz w:val="20"/>
          <w:szCs w:val="20"/>
        </w:rPr>
        <w:t>need</w:t>
      </w:r>
      <w:r>
        <w:rPr>
          <w:rFonts w:ascii="Arial" w:eastAsia="Arial" w:hAnsi="Arial" w:cs="Arial"/>
          <w:sz w:val="20"/>
          <w:szCs w:val="20"/>
        </w:rPr>
        <w:t xml:space="preserve"> </w:t>
      </w:r>
      <w:r>
        <w:rPr>
          <w:rFonts w:ascii="Arial" w:hAnsi="Arial" w:cs="Arial"/>
          <w:sz w:val="20"/>
          <w:szCs w:val="20"/>
        </w:rPr>
        <w:t>careful</w:t>
      </w:r>
      <w:r>
        <w:rPr>
          <w:rFonts w:ascii="Arial" w:eastAsia="Arial" w:hAnsi="Arial" w:cs="Arial"/>
          <w:sz w:val="20"/>
          <w:szCs w:val="20"/>
        </w:rPr>
        <w:t xml:space="preserve"> </w:t>
      </w:r>
      <w:r>
        <w:rPr>
          <w:rFonts w:ascii="Arial" w:hAnsi="Arial" w:cs="Arial"/>
          <w:sz w:val="20"/>
          <w:szCs w:val="20"/>
        </w:rPr>
        <w:t>handling</w:t>
      </w:r>
      <w:r>
        <w:rPr>
          <w:rFonts w:ascii="Arial" w:eastAsia="Arial" w:hAnsi="Arial" w:cs="Arial"/>
          <w:sz w:val="20"/>
          <w:szCs w:val="20"/>
        </w:rPr>
        <w:t xml:space="preserve"> </w:t>
      </w:r>
      <w:r>
        <w:rPr>
          <w:rFonts w:ascii="Arial" w:hAnsi="Arial" w:cs="Arial"/>
          <w:sz w:val="20"/>
          <w:szCs w:val="20"/>
        </w:rPr>
        <w:t>because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temporarily</w:t>
      </w:r>
      <w:r>
        <w:rPr>
          <w:rFonts w:ascii="Arial" w:eastAsia="Arial" w:hAnsi="Arial" w:cs="Arial"/>
          <w:sz w:val="20"/>
          <w:szCs w:val="20"/>
        </w:rPr>
        <w:t xml:space="preserve"> </w:t>
      </w:r>
      <w:r>
        <w:rPr>
          <w:rFonts w:ascii="Arial" w:hAnsi="Arial" w:cs="Arial"/>
          <w:sz w:val="20"/>
          <w:szCs w:val="20"/>
        </w:rPr>
        <w:t>weakened.</w:t>
      </w:r>
    </w:p>
    <w:p w14:paraId="198A6833" w14:textId="77777777" w:rsidR="00F2123B" w:rsidRDefault="00F2123B">
      <w:pPr>
        <w:spacing w:line="280" w:lineRule="atLeast"/>
        <w:rPr>
          <w:rFonts w:ascii="Arial" w:hAnsi="Arial" w:cs="Arial"/>
          <w:sz w:val="20"/>
          <w:szCs w:val="20"/>
        </w:rPr>
      </w:pPr>
    </w:p>
    <w:p w14:paraId="198A6834" w14:textId="77777777" w:rsidR="00F2123B" w:rsidRDefault="00200CFB">
      <w:pPr>
        <w:spacing w:line="280" w:lineRule="atLeast"/>
      </w:pPr>
      <w:r>
        <w:rPr>
          <w:rFonts w:ascii="Arial" w:hAnsi="Arial" w:cs="Arial"/>
          <w:b/>
        </w:rPr>
        <w:t>Approved</w:t>
      </w:r>
      <w:r>
        <w:rPr>
          <w:rFonts w:ascii="Arial" w:eastAsia="Arial" w:hAnsi="Arial" w:cs="Arial"/>
          <w:b/>
        </w:rPr>
        <w:t xml:space="preserve"> </w:t>
      </w:r>
      <w:r>
        <w:rPr>
          <w:rFonts w:ascii="Arial" w:hAnsi="Arial" w:cs="Arial"/>
          <w:b/>
        </w:rPr>
        <w:t>Premises</w:t>
      </w:r>
    </w:p>
    <w:p w14:paraId="198A6835" w14:textId="77777777" w:rsidR="00F2123B" w:rsidRDefault="00200CFB">
      <w:pPr>
        <w:spacing w:line="280" w:lineRule="atLeast"/>
      </w:pPr>
      <w:r>
        <w:rPr>
          <w:rFonts w:ascii="Arial" w:hAnsi="Arial" w:cs="Arial"/>
          <w:sz w:val="20"/>
          <w:szCs w:val="20"/>
        </w:rPr>
        <w:t>1.23</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find</w:t>
      </w:r>
      <w:r>
        <w:rPr>
          <w:rFonts w:ascii="Arial" w:eastAsia="Arial" w:hAnsi="Arial" w:cs="Arial"/>
          <w:sz w:val="20"/>
          <w:szCs w:val="20"/>
        </w:rPr>
        <w:t xml:space="preserve"> </w:t>
      </w:r>
      <w:r>
        <w:rPr>
          <w:rFonts w:ascii="Arial" w:hAnsi="Arial" w:cs="Arial"/>
          <w:sz w:val="20"/>
          <w:szCs w:val="20"/>
        </w:rPr>
        <w:t>supported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supervised</w:t>
      </w:r>
      <w:r>
        <w:rPr>
          <w:rFonts w:ascii="Arial" w:eastAsia="Arial" w:hAnsi="Arial" w:cs="Arial"/>
          <w:sz w:val="20"/>
          <w:szCs w:val="20"/>
        </w:rPr>
        <w:t xml:space="preserve"> </w:t>
      </w:r>
      <w:r>
        <w:rPr>
          <w:rFonts w:ascii="Arial" w:hAnsi="Arial" w:cs="Arial"/>
          <w:sz w:val="20"/>
          <w:szCs w:val="20"/>
        </w:rPr>
        <w:t>accommodation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 in order to manage the risk they pose. This may be the case if</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w:t>
      </w:r>
    </w:p>
    <w:p w14:paraId="198A6836" w14:textId="77777777" w:rsidR="00F2123B" w:rsidRDefault="00F2123B">
      <w:pPr>
        <w:spacing w:line="280" w:lineRule="atLeast"/>
        <w:rPr>
          <w:rFonts w:ascii="Arial" w:hAnsi="Arial" w:cs="Arial"/>
          <w:sz w:val="20"/>
          <w:szCs w:val="20"/>
        </w:rPr>
      </w:pPr>
    </w:p>
    <w:p w14:paraId="198A6837" w14:textId="77777777" w:rsidR="00F2123B" w:rsidRDefault="00200CFB">
      <w:pPr>
        <w:spacing w:line="280" w:lineRule="atLeast"/>
      </w:pPr>
      <w:r>
        <w:rPr>
          <w:rFonts w:ascii="Arial" w:hAnsi="Arial" w:cs="Arial"/>
          <w:b/>
        </w:rPr>
        <w:t>Critical</w:t>
      </w:r>
      <w:r>
        <w:rPr>
          <w:rFonts w:ascii="Arial" w:eastAsia="Arial" w:hAnsi="Arial" w:cs="Arial"/>
          <w:b/>
        </w:rPr>
        <w:t xml:space="preserve"> </w:t>
      </w:r>
      <w:r>
        <w:rPr>
          <w:rFonts w:ascii="Arial" w:hAnsi="Arial" w:cs="Arial"/>
          <w:b/>
        </w:rPr>
        <w:t>Public</w:t>
      </w:r>
      <w:r>
        <w:rPr>
          <w:rFonts w:ascii="Arial" w:eastAsia="Arial" w:hAnsi="Arial" w:cs="Arial"/>
          <w:b/>
        </w:rPr>
        <w:t xml:space="preserve"> </w:t>
      </w:r>
      <w:r>
        <w:rPr>
          <w:rFonts w:ascii="Arial" w:hAnsi="Arial" w:cs="Arial"/>
          <w:b/>
        </w:rPr>
        <w:t>Protection</w:t>
      </w:r>
      <w:r>
        <w:rPr>
          <w:rFonts w:ascii="Arial" w:eastAsia="Arial" w:hAnsi="Arial" w:cs="Arial"/>
          <w:b/>
        </w:rPr>
        <w:t xml:space="preserve"> </w:t>
      </w:r>
      <w:r>
        <w:rPr>
          <w:rFonts w:ascii="Arial" w:hAnsi="Arial" w:cs="Arial"/>
          <w:b/>
        </w:rPr>
        <w:t>Cases</w:t>
      </w:r>
    </w:p>
    <w:p w14:paraId="198A6838" w14:textId="0588BFD9" w:rsidR="00F2123B" w:rsidRDefault="00200CFB">
      <w:pPr>
        <w:spacing w:line="280" w:lineRule="atLeast"/>
      </w:pPr>
      <w:r>
        <w:rPr>
          <w:rFonts w:ascii="Arial" w:hAnsi="Arial" w:cs="Arial"/>
          <w:sz w:val="20"/>
          <w:szCs w:val="20"/>
        </w:rPr>
        <w:t>1.24</w:t>
      </w:r>
      <w:r>
        <w:rPr>
          <w:rFonts w:ascii="Arial" w:hAnsi="Arial" w:cs="Arial"/>
          <w:sz w:val="20"/>
          <w:szCs w:val="20"/>
        </w:rPr>
        <w:tab/>
        <w:t>Cases</w:t>
      </w:r>
      <w:r>
        <w:rPr>
          <w:rFonts w:ascii="Arial" w:eastAsia="Arial" w:hAnsi="Arial" w:cs="Arial"/>
          <w:sz w:val="20"/>
          <w:szCs w:val="20"/>
        </w:rPr>
        <w:t xml:space="preserve"> </w:t>
      </w:r>
      <w:r>
        <w:rPr>
          <w:rFonts w:ascii="Arial" w:hAnsi="Arial" w:cs="Arial"/>
          <w:sz w:val="20"/>
          <w:szCs w:val="20"/>
        </w:rPr>
        <w:t>designated</w:t>
      </w:r>
      <w:r>
        <w:rPr>
          <w:rFonts w:ascii="Arial" w:eastAsia="Arial" w:hAnsi="Arial" w:cs="Arial"/>
          <w:sz w:val="20"/>
          <w:szCs w:val="20"/>
        </w:rPr>
        <w:t xml:space="preserve"> </w:t>
      </w: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CPPC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require</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oversight.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CPPC</w:t>
      </w:r>
      <w:r>
        <w:rPr>
          <w:rFonts w:ascii="Arial" w:eastAsia="Arial" w:hAnsi="Arial" w:cs="Arial"/>
          <w:sz w:val="20"/>
          <w:szCs w:val="20"/>
        </w:rPr>
        <w:t xml:space="preserve"> </w:t>
      </w:r>
      <w:r>
        <w:rPr>
          <w:rFonts w:ascii="Arial" w:hAnsi="Arial" w:cs="Arial"/>
          <w:sz w:val="20"/>
          <w:szCs w:val="20"/>
        </w:rPr>
        <w:t>team in PPG</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advice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resources.</w:t>
      </w:r>
    </w:p>
    <w:p w14:paraId="198A6839" w14:textId="77777777" w:rsidR="00F2123B" w:rsidRDefault="00F2123B">
      <w:pPr>
        <w:spacing w:line="280" w:lineRule="atLeast"/>
        <w:rPr>
          <w:rFonts w:ascii="Arial" w:hAnsi="Arial" w:cs="Arial"/>
          <w:sz w:val="20"/>
          <w:szCs w:val="20"/>
        </w:rPr>
      </w:pPr>
    </w:p>
    <w:p w14:paraId="198A683A"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683B" w14:textId="2B1527CF" w:rsidR="00F2123B" w:rsidRDefault="00200CFB">
      <w:pPr>
        <w:spacing w:line="280" w:lineRule="atLeast"/>
      </w:pPr>
      <w:r>
        <w:rPr>
          <w:rFonts w:ascii="Arial" w:hAnsi="Arial" w:cs="Arial"/>
          <w:sz w:val="20"/>
          <w:szCs w:val="20"/>
        </w:rPr>
        <w:t>1.25</w:t>
      </w:r>
      <w:r>
        <w:rPr>
          <w:rFonts w:ascii="Arial" w:hAnsi="Arial" w:cs="Arial"/>
          <w:sz w:val="20"/>
          <w:szCs w:val="20"/>
        </w:rPr>
        <w:tab/>
        <w:t>MAPPA</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designed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reduce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sidR="00ED34DF">
        <w:rPr>
          <w:rFonts w:ascii="Arial" w:hAnsi="Arial" w:cs="Arial"/>
          <w:sz w:val="20"/>
          <w:szCs w:val="20"/>
        </w:rPr>
        <w:t>time</w:t>
      </w:r>
      <w:r w:rsidR="00ED34DF">
        <w:rPr>
          <w:rFonts w:ascii="Arial" w:eastAsia="Arial" w:hAnsi="Arial" w:cs="Arial"/>
          <w:sz w:val="20"/>
          <w:szCs w:val="20"/>
        </w:rPr>
        <w:t>-to-time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go</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commit</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consider</w:t>
      </w:r>
      <w:r>
        <w:rPr>
          <w:rFonts w:ascii="Arial" w:eastAsia="Arial" w:hAnsi="Arial" w:cs="Arial"/>
          <w:sz w:val="20"/>
          <w:szCs w:val="20"/>
        </w:rPr>
        <w:t xml:space="preserve"> </w:t>
      </w:r>
      <w:r>
        <w:rPr>
          <w:rFonts w:ascii="Arial" w:hAnsi="Arial" w:cs="Arial"/>
          <w:sz w:val="20"/>
          <w:szCs w:val="20"/>
        </w:rPr>
        <w:t>commissioning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examine</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were</w:t>
      </w:r>
      <w:r>
        <w:rPr>
          <w:rFonts w:ascii="Arial" w:eastAsia="Arial" w:hAnsi="Arial" w:cs="Arial"/>
          <w:sz w:val="20"/>
          <w:szCs w:val="20"/>
        </w:rPr>
        <w:t xml:space="preserve"> </w:t>
      </w:r>
      <w:r>
        <w:rPr>
          <w:rFonts w:ascii="Arial" w:hAnsi="Arial" w:cs="Arial"/>
          <w:sz w:val="20"/>
          <w:szCs w:val="20"/>
        </w:rPr>
        <w:t>applied</w:t>
      </w:r>
      <w:r>
        <w:rPr>
          <w:rFonts w:ascii="Arial" w:eastAsia="Arial" w:hAnsi="Arial" w:cs="Arial"/>
          <w:sz w:val="20"/>
          <w:szCs w:val="20"/>
        </w:rPr>
        <w:t xml:space="preserve"> </w:t>
      </w:r>
      <w:r>
        <w:rPr>
          <w:rFonts w:ascii="Arial" w:hAnsi="Arial" w:cs="Arial"/>
          <w:sz w:val="20"/>
          <w:szCs w:val="20"/>
        </w:rPr>
        <w:t>properly,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whether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worked</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reasonably</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prevent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lessons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future,</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good</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disseminate.</w:t>
      </w:r>
    </w:p>
    <w:p w14:paraId="198A683E" w14:textId="77777777" w:rsidR="00F2123B" w:rsidRDefault="00F2123B">
      <w:pPr>
        <w:spacing w:line="280" w:lineRule="atLeast"/>
        <w:rPr>
          <w:rFonts w:ascii="Arial" w:hAnsi="Arial" w:cs="Arial"/>
          <w:b/>
        </w:rPr>
      </w:pPr>
    </w:p>
    <w:p w14:paraId="198A683F" w14:textId="77777777" w:rsidR="00F2123B" w:rsidRDefault="00200CFB">
      <w:pPr>
        <w:spacing w:line="280" w:lineRule="atLeast"/>
      </w:pPr>
      <w:r>
        <w:rPr>
          <w:rFonts w:ascii="Arial" w:hAnsi="Arial" w:cs="Arial"/>
          <w:b/>
        </w:rPr>
        <w:t>Foreign</w:t>
      </w:r>
      <w:r>
        <w:rPr>
          <w:rFonts w:ascii="Arial" w:eastAsia="Arial" w:hAnsi="Arial" w:cs="Arial"/>
          <w:b/>
        </w:rPr>
        <w:t xml:space="preserve"> </w:t>
      </w:r>
      <w:r>
        <w:rPr>
          <w:rFonts w:ascii="Arial" w:hAnsi="Arial" w:cs="Arial"/>
          <w:b/>
        </w:rPr>
        <w:t>travel</w:t>
      </w:r>
    </w:p>
    <w:p w14:paraId="198A6840" w14:textId="77777777" w:rsidR="00F2123B" w:rsidRDefault="00200CFB">
      <w:pPr>
        <w:spacing w:line="280" w:lineRule="atLeast"/>
      </w:pPr>
      <w:r>
        <w:rPr>
          <w:rFonts w:ascii="Arial" w:hAnsi="Arial" w:cs="Arial"/>
          <w:sz w:val="20"/>
          <w:szCs w:val="20"/>
        </w:rPr>
        <w:t>1.26</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deals</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released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citizens</w:t>
      </w:r>
      <w:r>
        <w:rPr>
          <w:rFonts w:ascii="Arial" w:eastAsia="Arial" w:hAnsi="Arial" w:cs="Arial"/>
          <w:sz w:val="20"/>
          <w:szCs w:val="20"/>
        </w:rPr>
        <w:t xml:space="preserve"> </w:t>
      </w:r>
      <w:r>
        <w:rPr>
          <w:rFonts w:ascii="Arial" w:hAnsi="Arial" w:cs="Arial"/>
          <w:sz w:val="20"/>
          <w:szCs w:val="20"/>
        </w:rPr>
        <w:t>convicted</w:t>
      </w:r>
      <w:r>
        <w:rPr>
          <w:rFonts w:ascii="Arial" w:eastAsia="Arial" w:hAnsi="Arial" w:cs="Arial"/>
          <w:sz w:val="20"/>
          <w:szCs w:val="20"/>
        </w:rPr>
        <w:t xml:space="preserve"> </w:t>
      </w:r>
      <w:r>
        <w:rPr>
          <w:rFonts w:ascii="Arial" w:hAnsi="Arial" w:cs="Arial"/>
          <w:sz w:val="20"/>
          <w:szCs w:val="20"/>
        </w:rPr>
        <w:t>abroad.</w:t>
      </w:r>
    </w:p>
    <w:p w14:paraId="198A6841" w14:textId="77777777" w:rsidR="00F2123B" w:rsidRDefault="00F2123B">
      <w:pPr>
        <w:spacing w:line="280" w:lineRule="atLeast"/>
        <w:rPr>
          <w:rFonts w:ascii="Arial" w:hAnsi="Arial" w:cs="Arial"/>
          <w:sz w:val="20"/>
          <w:szCs w:val="20"/>
        </w:rPr>
      </w:pPr>
    </w:p>
    <w:p w14:paraId="198A684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Particular</w:t>
      </w:r>
      <w:r>
        <w:rPr>
          <w:rFonts w:eastAsia="Arial"/>
          <w:sz w:val="28"/>
          <w:szCs w:val="28"/>
        </w:rPr>
        <w:t xml:space="preserve"> </w:t>
      </w:r>
      <w:r>
        <w:rPr>
          <w:sz w:val="28"/>
          <w:szCs w:val="28"/>
        </w:rPr>
        <w:t>groups</w:t>
      </w:r>
    </w:p>
    <w:p w14:paraId="198A6843" w14:textId="77777777" w:rsidR="00F2123B" w:rsidRDefault="00F2123B">
      <w:pPr>
        <w:spacing w:line="280" w:lineRule="atLeast"/>
        <w:rPr>
          <w:rFonts w:ascii="Arial" w:hAnsi="Arial" w:cs="Arial"/>
          <w:sz w:val="20"/>
          <w:szCs w:val="20"/>
        </w:rPr>
      </w:pPr>
    </w:p>
    <w:p w14:paraId="198A6844" w14:textId="77777777" w:rsidR="00F2123B" w:rsidRDefault="00200CFB">
      <w:pPr>
        <w:spacing w:line="280" w:lineRule="atLeast"/>
        <w:rPr>
          <w:rFonts w:ascii="Arial" w:hAnsi="Arial" w:cs="Arial"/>
          <w:b/>
        </w:rPr>
      </w:pPr>
      <w:r>
        <w:rPr>
          <w:rFonts w:ascii="Arial" w:hAnsi="Arial" w:cs="Arial"/>
          <w:b/>
        </w:rPr>
        <w:t>Victims</w:t>
      </w:r>
    </w:p>
    <w:p w14:paraId="198A6845" w14:textId="77777777" w:rsidR="00F2123B" w:rsidRDefault="00200CFB">
      <w:pPr>
        <w:spacing w:line="280" w:lineRule="atLeast"/>
      </w:pPr>
      <w:r>
        <w:rPr>
          <w:rFonts w:ascii="Arial" w:hAnsi="Arial" w:cs="Arial"/>
          <w:sz w:val="20"/>
          <w:szCs w:val="20"/>
        </w:rPr>
        <w:t>1.27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affects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groups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whom</w:t>
      </w:r>
      <w:r>
        <w:rPr>
          <w:rFonts w:ascii="Arial" w:eastAsia="Arial" w:hAnsi="Arial" w:cs="Arial"/>
          <w:sz w:val="20"/>
          <w:szCs w:val="20"/>
        </w:rPr>
        <w:t xml:space="preserve"> </w:t>
      </w: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needed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includes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sets</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takes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needs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account.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MARAC</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developed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response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many</w:t>
      </w:r>
      <w:r>
        <w:rPr>
          <w:rFonts w:ascii="Arial" w:eastAsia="Arial" w:hAnsi="Arial" w:cs="Arial"/>
          <w:sz w:val="20"/>
          <w:szCs w:val="20"/>
        </w:rPr>
        <w:t xml:space="preserve"> </w:t>
      </w:r>
      <w:r>
        <w:rPr>
          <w:rFonts w:ascii="Arial" w:hAnsi="Arial" w:cs="Arial"/>
          <w:sz w:val="20"/>
          <w:szCs w:val="20"/>
        </w:rPr>
        <w:t>victims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suffered</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abuse.</w:t>
      </w:r>
      <w:r>
        <w:rPr>
          <w:rFonts w:ascii="Arial" w:eastAsia="Arial" w:hAnsi="Arial" w:cs="Arial"/>
          <w:sz w:val="20"/>
          <w:szCs w:val="20"/>
        </w:rPr>
        <w:t xml:space="preserve"> </w:t>
      </w:r>
      <w:r>
        <w:rPr>
          <w:rFonts w:ascii="Arial" w:hAnsi="Arial" w:cs="Arial"/>
          <w:sz w:val="20"/>
          <w:szCs w:val="20"/>
        </w:rPr>
        <w:t>MARAC</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links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without</w:t>
      </w:r>
      <w:r>
        <w:rPr>
          <w:rFonts w:ascii="Arial" w:eastAsia="Arial" w:hAnsi="Arial" w:cs="Arial"/>
          <w:sz w:val="20"/>
          <w:szCs w:val="20"/>
        </w:rPr>
        <w:t xml:space="preserve"> </w:t>
      </w:r>
      <w:r>
        <w:rPr>
          <w:rFonts w:ascii="Arial" w:hAnsi="Arial" w:cs="Arial"/>
          <w:sz w:val="20"/>
          <w:szCs w:val="20"/>
        </w:rPr>
        <w:t>being</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formal</w:t>
      </w:r>
      <w:r>
        <w:rPr>
          <w:rFonts w:ascii="Arial" w:eastAsia="Arial" w:hAnsi="Arial" w:cs="Arial"/>
          <w:sz w:val="20"/>
          <w:szCs w:val="20"/>
        </w:rPr>
        <w:t xml:space="preserve"> </w:t>
      </w:r>
      <w:r>
        <w:rPr>
          <w:rFonts w:ascii="Arial" w:hAnsi="Arial" w:cs="Arial"/>
          <w:sz w:val="20"/>
          <w:szCs w:val="20"/>
        </w:rPr>
        <w:t>part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it.</w:t>
      </w:r>
    </w:p>
    <w:p w14:paraId="198A6846" w14:textId="77777777" w:rsidR="00F2123B" w:rsidRDefault="00F2123B">
      <w:pPr>
        <w:pStyle w:val="Bullet"/>
        <w:tabs>
          <w:tab w:val="clear" w:pos="720"/>
        </w:tabs>
        <w:spacing w:line="280" w:lineRule="atLeast"/>
        <w:ind w:left="0" w:firstLine="0"/>
        <w:rPr>
          <w:sz w:val="20"/>
          <w:szCs w:val="20"/>
        </w:rPr>
      </w:pPr>
    </w:p>
    <w:p w14:paraId="198A6847" w14:textId="77777777" w:rsidR="00F2123B" w:rsidRDefault="00200CFB">
      <w:pPr>
        <w:pStyle w:val="Bullet"/>
        <w:tabs>
          <w:tab w:val="clear" w:pos="720"/>
        </w:tabs>
        <w:spacing w:line="280" w:lineRule="atLeast"/>
        <w:ind w:left="0" w:firstLine="0"/>
      </w:pPr>
      <w:r>
        <w:rPr>
          <w:b/>
          <w:szCs w:val="24"/>
        </w:rPr>
        <w:t>Children</w:t>
      </w:r>
      <w:r>
        <w:rPr>
          <w:rFonts w:eastAsia="Arial"/>
          <w:b/>
          <w:szCs w:val="24"/>
        </w:rPr>
        <w:t xml:space="preserve"> </w:t>
      </w:r>
      <w:r>
        <w:rPr>
          <w:b/>
          <w:szCs w:val="24"/>
        </w:rPr>
        <w:t>and</w:t>
      </w:r>
      <w:r>
        <w:rPr>
          <w:rFonts w:eastAsia="Arial"/>
          <w:b/>
          <w:szCs w:val="24"/>
        </w:rPr>
        <w:t xml:space="preserve"> </w:t>
      </w:r>
      <w:r>
        <w:rPr>
          <w:b/>
          <w:szCs w:val="24"/>
        </w:rPr>
        <w:t>young</w:t>
      </w:r>
      <w:r>
        <w:rPr>
          <w:rFonts w:eastAsia="Arial"/>
          <w:b/>
          <w:szCs w:val="24"/>
        </w:rPr>
        <w:t xml:space="preserve"> </w:t>
      </w:r>
      <w:r>
        <w:rPr>
          <w:b/>
          <w:szCs w:val="24"/>
        </w:rPr>
        <w:t>people</w:t>
      </w:r>
      <w:r>
        <w:rPr>
          <w:b/>
          <w:szCs w:val="24"/>
        </w:rPr>
        <w:br/>
      </w:r>
      <w:r>
        <w:rPr>
          <w:sz w:val="20"/>
          <w:szCs w:val="20"/>
        </w:rPr>
        <w:t>1.28</w:t>
      </w:r>
      <w:r>
        <w:rPr>
          <w:sz w:val="20"/>
          <w:szCs w:val="20"/>
        </w:rPr>
        <w:tab/>
        <w:t>Offenders</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are</w:t>
      </w:r>
      <w:r>
        <w:rPr>
          <w:rFonts w:eastAsia="Arial"/>
          <w:sz w:val="20"/>
          <w:szCs w:val="20"/>
        </w:rPr>
        <w:t xml:space="preserve"> </w:t>
      </w:r>
      <w:r>
        <w:rPr>
          <w:sz w:val="20"/>
          <w:szCs w:val="20"/>
        </w:rPr>
        <w:t>subject</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procedures</w:t>
      </w:r>
      <w:r>
        <w:rPr>
          <w:rFonts w:eastAsia="Arial"/>
          <w:sz w:val="20"/>
          <w:szCs w:val="20"/>
        </w:rPr>
        <w:t xml:space="preserve"> </w:t>
      </w:r>
      <w:r>
        <w:rPr>
          <w:sz w:val="20"/>
          <w:szCs w:val="20"/>
        </w:rPr>
        <w:t>as</w:t>
      </w:r>
      <w:r>
        <w:rPr>
          <w:rFonts w:eastAsia="Arial"/>
          <w:sz w:val="20"/>
          <w:szCs w:val="20"/>
        </w:rPr>
        <w:t xml:space="preserve"> </w:t>
      </w:r>
      <w:r>
        <w:rPr>
          <w:sz w:val="20"/>
          <w:szCs w:val="20"/>
        </w:rPr>
        <w:t>other</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but</w:t>
      </w:r>
      <w:r>
        <w:rPr>
          <w:rFonts w:eastAsia="Arial"/>
          <w:sz w:val="20"/>
          <w:szCs w:val="20"/>
        </w:rPr>
        <w:t xml:space="preserve"> </w:t>
      </w:r>
      <w:r>
        <w:rPr>
          <w:sz w:val="20"/>
          <w:szCs w:val="20"/>
        </w:rPr>
        <w:t>additional</w:t>
      </w:r>
      <w:r>
        <w:rPr>
          <w:rFonts w:eastAsia="Arial"/>
          <w:sz w:val="20"/>
          <w:szCs w:val="20"/>
        </w:rPr>
        <w:t xml:space="preserve"> </w:t>
      </w:r>
      <w:r>
        <w:rPr>
          <w:sz w:val="20"/>
          <w:szCs w:val="20"/>
        </w:rPr>
        <w:t>considerations</w:t>
      </w:r>
      <w:r>
        <w:rPr>
          <w:rFonts w:eastAsia="Arial"/>
          <w:sz w:val="20"/>
          <w:szCs w:val="20"/>
        </w:rPr>
        <w:t xml:space="preserve"> </w:t>
      </w:r>
      <w:r>
        <w:rPr>
          <w:sz w:val="20"/>
          <w:szCs w:val="20"/>
        </w:rPr>
        <w:t>apply.</w:t>
      </w:r>
      <w:r>
        <w:rPr>
          <w:rFonts w:eastAsia="Arial"/>
          <w:sz w:val="20"/>
          <w:szCs w:val="20"/>
        </w:rPr>
        <w:t xml:space="preserve"> </w:t>
      </w:r>
      <w:r>
        <w:rPr>
          <w:sz w:val="20"/>
          <w:szCs w:val="20"/>
        </w:rPr>
        <w:t>For</w:t>
      </w:r>
      <w:r>
        <w:rPr>
          <w:rFonts w:eastAsia="Arial"/>
          <w:sz w:val="20"/>
          <w:szCs w:val="20"/>
        </w:rPr>
        <w:t xml:space="preserve"> </w:t>
      </w:r>
      <w:r>
        <w:rPr>
          <w:sz w:val="20"/>
          <w:szCs w:val="20"/>
        </w:rPr>
        <w:t>example,</w:t>
      </w:r>
      <w:r>
        <w:rPr>
          <w:rFonts w:eastAsia="Arial"/>
          <w:sz w:val="20"/>
          <w:szCs w:val="20"/>
        </w:rPr>
        <w:t xml:space="preserve"> </w:t>
      </w:r>
      <w:r>
        <w:rPr>
          <w:sz w:val="20"/>
          <w:szCs w:val="20"/>
        </w:rPr>
        <w:t>the</w:t>
      </w:r>
      <w:r>
        <w:rPr>
          <w:rFonts w:eastAsia="Arial"/>
          <w:sz w:val="20"/>
          <w:szCs w:val="20"/>
        </w:rPr>
        <w:t xml:space="preserve"> </w:t>
      </w:r>
      <w:r>
        <w:rPr>
          <w:sz w:val="20"/>
          <w:szCs w:val="20"/>
        </w:rPr>
        <w:t>MAPPA</w:t>
      </w:r>
      <w:r>
        <w:rPr>
          <w:rFonts w:eastAsia="Arial"/>
          <w:sz w:val="20"/>
          <w:szCs w:val="20"/>
        </w:rPr>
        <w:t xml:space="preserve"> </w:t>
      </w:r>
      <w:r>
        <w:rPr>
          <w:sz w:val="20"/>
          <w:szCs w:val="20"/>
        </w:rPr>
        <w:t>agencies</w:t>
      </w:r>
      <w:r>
        <w:rPr>
          <w:rFonts w:eastAsia="Arial"/>
          <w:sz w:val="20"/>
          <w:szCs w:val="20"/>
        </w:rPr>
        <w:t xml:space="preserve"> </w:t>
      </w:r>
      <w:r>
        <w:rPr>
          <w:sz w:val="20"/>
          <w:szCs w:val="20"/>
        </w:rPr>
        <w:t>have</w:t>
      </w:r>
      <w:r>
        <w:rPr>
          <w:rFonts w:eastAsia="Arial"/>
          <w:sz w:val="20"/>
          <w:szCs w:val="20"/>
        </w:rPr>
        <w:t xml:space="preserve"> </w:t>
      </w:r>
      <w:r>
        <w:rPr>
          <w:sz w:val="20"/>
          <w:szCs w:val="20"/>
        </w:rPr>
        <w:t>a</w:t>
      </w:r>
      <w:r>
        <w:rPr>
          <w:rFonts w:eastAsia="Arial"/>
          <w:sz w:val="20"/>
          <w:szCs w:val="20"/>
        </w:rPr>
        <w:t xml:space="preserve"> </w:t>
      </w:r>
      <w:r>
        <w:rPr>
          <w:sz w:val="20"/>
          <w:szCs w:val="20"/>
        </w:rPr>
        <w:t>statutory</w:t>
      </w:r>
      <w:r>
        <w:rPr>
          <w:rFonts w:eastAsia="Arial"/>
          <w:sz w:val="20"/>
          <w:szCs w:val="20"/>
        </w:rPr>
        <w:t xml:space="preserve"> </w:t>
      </w:r>
      <w:r>
        <w:rPr>
          <w:sz w:val="20"/>
          <w:szCs w:val="20"/>
        </w:rPr>
        <w:t>duty</w:t>
      </w:r>
      <w:r>
        <w:rPr>
          <w:rFonts w:eastAsia="Arial"/>
          <w:sz w:val="20"/>
          <w:szCs w:val="20"/>
        </w:rPr>
        <w:t xml:space="preserve"> </w:t>
      </w:r>
      <w:r>
        <w:rPr>
          <w:sz w:val="20"/>
          <w:szCs w:val="20"/>
        </w:rPr>
        <w:t>to</w:t>
      </w:r>
      <w:r>
        <w:rPr>
          <w:rFonts w:eastAsia="Arial"/>
          <w:sz w:val="20"/>
          <w:szCs w:val="20"/>
        </w:rPr>
        <w:t xml:space="preserve"> </w:t>
      </w:r>
      <w:r>
        <w:rPr>
          <w:sz w:val="20"/>
          <w:szCs w:val="20"/>
        </w:rPr>
        <w:t>have</w:t>
      </w:r>
      <w:r>
        <w:rPr>
          <w:rFonts w:eastAsia="Arial"/>
          <w:sz w:val="20"/>
          <w:szCs w:val="20"/>
        </w:rPr>
        <w:t xml:space="preserve"> </w:t>
      </w:r>
      <w:r>
        <w:rPr>
          <w:sz w:val="20"/>
          <w:szCs w:val="20"/>
        </w:rPr>
        <w:t>regard</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needs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offender</w:t>
      </w:r>
      <w:r>
        <w:rPr>
          <w:rFonts w:eastAsia="Arial"/>
          <w:sz w:val="20"/>
          <w:szCs w:val="20"/>
        </w:rPr>
        <w:t xml:space="preserve"> </w:t>
      </w:r>
      <w:r>
        <w:rPr>
          <w:sz w:val="20"/>
          <w:szCs w:val="20"/>
        </w:rPr>
        <w:t>as</w:t>
      </w:r>
      <w:r>
        <w:rPr>
          <w:rFonts w:eastAsia="Arial"/>
          <w:sz w:val="20"/>
          <w:szCs w:val="20"/>
        </w:rPr>
        <w:t xml:space="preserve"> </w:t>
      </w:r>
      <w:r>
        <w:rPr>
          <w:sz w:val="20"/>
          <w:szCs w:val="20"/>
        </w:rPr>
        <w:t>a</w:t>
      </w:r>
      <w:r>
        <w:rPr>
          <w:rFonts w:eastAsia="Arial"/>
          <w:sz w:val="20"/>
          <w:szCs w:val="20"/>
        </w:rPr>
        <w:t xml:space="preserve"> </w:t>
      </w:r>
      <w:r>
        <w:rPr>
          <w:sz w:val="20"/>
          <w:szCs w:val="20"/>
        </w:rPr>
        <w:t>child.</w:t>
      </w:r>
      <w:r>
        <w:rPr>
          <w:rFonts w:eastAsia="Arial"/>
          <w:sz w:val="20"/>
          <w:szCs w:val="20"/>
        </w:rPr>
        <w:t xml:space="preserve"> </w:t>
      </w:r>
      <w:r>
        <w:rPr>
          <w:sz w:val="20"/>
          <w:szCs w:val="20"/>
        </w:rPr>
        <w:t>Therefore</w:t>
      </w:r>
      <w:r>
        <w:rPr>
          <w:rFonts w:eastAsia="Arial"/>
          <w:sz w:val="20"/>
          <w:szCs w:val="20"/>
        </w:rPr>
        <w:t xml:space="preserve"> </w:t>
      </w:r>
      <w:r>
        <w:rPr>
          <w:sz w:val="20"/>
          <w:szCs w:val="20"/>
        </w:rPr>
        <w:t>the</w:t>
      </w:r>
      <w:r>
        <w:rPr>
          <w:rFonts w:eastAsia="Arial"/>
          <w:sz w:val="20"/>
          <w:szCs w:val="20"/>
        </w:rPr>
        <w:t xml:space="preserve"> </w:t>
      </w:r>
      <w:r>
        <w:rPr>
          <w:sz w:val="20"/>
          <w:szCs w:val="20"/>
        </w:rPr>
        <w:t>Youth Offending Team</w:t>
      </w:r>
      <w:r>
        <w:rPr>
          <w:rFonts w:eastAsia="Arial"/>
          <w:sz w:val="20"/>
          <w:szCs w:val="20"/>
        </w:rPr>
        <w:t xml:space="preserve"> </w:t>
      </w:r>
      <w:r>
        <w:rPr>
          <w:sz w:val="20"/>
          <w:szCs w:val="20"/>
        </w:rPr>
        <w:t>and</w:t>
      </w:r>
      <w:r>
        <w:rPr>
          <w:rFonts w:eastAsia="Arial"/>
          <w:sz w:val="20"/>
          <w:szCs w:val="20"/>
        </w:rPr>
        <w:t xml:space="preserve"> </w:t>
      </w:r>
      <w:r>
        <w:rPr>
          <w:sz w:val="20"/>
          <w:szCs w:val="20"/>
        </w:rPr>
        <w:t>Children</w:t>
      </w:r>
      <w:r>
        <w:rPr>
          <w:rFonts w:eastAsia="Arial"/>
          <w:sz w:val="20"/>
          <w:szCs w:val="20"/>
        </w:rPr>
        <w:t>’</w:t>
      </w:r>
      <w:r>
        <w:rPr>
          <w:sz w:val="20"/>
          <w:szCs w:val="20"/>
        </w:rPr>
        <w:t>s</w:t>
      </w:r>
      <w:r>
        <w:rPr>
          <w:rFonts w:eastAsia="Arial"/>
          <w:sz w:val="20"/>
          <w:szCs w:val="20"/>
        </w:rPr>
        <w:t xml:space="preserve"> </w:t>
      </w:r>
      <w:r>
        <w:rPr>
          <w:sz w:val="20"/>
          <w:szCs w:val="20"/>
        </w:rPr>
        <w:t>Services</w:t>
      </w:r>
      <w:r>
        <w:rPr>
          <w:rFonts w:eastAsia="Arial"/>
          <w:sz w:val="20"/>
          <w:szCs w:val="20"/>
        </w:rPr>
        <w:t xml:space="preserve"> </w:t>
      </w:r>
      <w:r>
        <w:rPr>
          <w:sz w:val="20"/>
          <w:szCs w:val="20"/>
        </w:rPr>
        <w:t>must</w:t>
      </w:r>
      <w:r>
        <w:rPr>
          <w:rFonts w:eastAsia="Arial"/>
          <w:sz w:val="20"/>
          <w:szCs w:val="20"/>
        </w:rPr>
        <w:t xml:space="preserve"> </w:t>
      </w:r>
      <w:r>
        <w:rPr>
          <w:sz w:val="20"/>
          <w:szCs w:val="20"/>
        </w:rPr>
        <w:t>be</w:t>
      </w:r>
      <w:r>
        <w:rPr>
          <w:rFonts w:eastAsia="Arial"/>
          <w:sz w:val="20"/>
          <w:szCs w:val="20"/>
        </w:rPr>
        <w:t xml:space="preserve"> </w:t>
      </w:r>
      <w:r>
        <w:rPr>
          <w:sz w:val="20"/>
          <w:szCs w:val="20"/>
        </w:rPr>
        <w:t>present</w:t>
      </w:r>
      <w:r>
        <w:rPr>
          <w:rFonts w:eastAsia="Arial"/>
          <w:sz w:val="20"/>
          <w:szCs w:val="20"/>
        </w:rPr>
        <w:t xml:space="preserve"> </w:t>
      </w:r>
      <w:r>
        <w:rPr>
          <w:sz w:val="20"/>
          <w:szCs w:val="20"/>
        </w:rPr>
        <w:t>at</w:t>
      </w:r>
      <w:r>
        <w:rPr>
          <w:rFonts w:eastAsia="Arial"/>
          <w:sz w:val="20"/>
          <w:szCs w:val="20"/>
        </w:rPr>
        <w:t xml:space="preserve"> </w:t>
      </w:r>
      <w:r>
        <w:rPr>
          <w:sz w:val="20"/>
          <w:szCs w:val="20"/>
        </w:rPr>
        <w:t>a</w:t>
      </w:r>
      <w:r>
        <w:rPr>
          <w:rFonts w:eastAsia="Arial"/>
          <w:sz w:val="20"/>
          <w:szCs w:val="20"/>
        </w:rPr>
        <w:t xml:space="preserve"> </w:t>
      </w:r>
      <w:r>
        <w:rPr>
          <w:sz w:val="20"/>
          <w:szCs w:val="20"/>
        </w:rPr>
        <w:t>MAPP meeting</w:t>
      </w:r>
      <w:r>
        <w:rPr>
          <w:rFonts w:eastAsia="Arial"/>
          <w:sz w:val="20"/>
          <w:szCs w:val="20"/>
        </w:rPr>
        <w:t xml:space="preserve"> </w:t>
      </w:r>
      <w:r>
        <w:rPr>
          <w:sz w:val="20"/>
          <w:szCs w:val="20"/>
        </w:rPr>
        <w:t>when</w:t>
      </w:r>
      <w:r>
        <w:rPr>
          <w:rFonts w:eastAsia="Arial"/>
          <w:sz w:val="20"/>
          <w:szCs w:val="20"/>
        </w:rPr>
        <w:t xml:space="preserve"> </w:t>
      </w:r>
      <w:r>
        <w:rPr>
          <w:sz w:val="20"/>
          <w:szCs w:val="20"/>
        </w:rPr>
        <w:t>the</w:t>
      </w:r>
      <w:r>
        <w:rPr>
          <w:rFonts w:eastAsia="Arial"/>
          <w:sz w:val="20"/>
          <w:szCs w:val="20"/>
        </w:rPr>
        <w:t xml:space="preserve"> </w:t>
      </w:r>
      <w:r>
        <w:rPr>
          <w:sz w:val="20"/>
          <w:szCs w:val="20"/>
        </w:rPr>
        <w:t>case</w:t>
      </w:r>
      <w:r>
        <w:rPr>
          <w:rFonts w:eastAsia="Arial"/>
          <w:sz w:val="20"/>
          <w:szCs w:val="20"/>
        </w:rPr>
        <w:t xml:space="preserve"> </w:t>
      </w:r>
      <w:r>
        <w:rPr>
          <w:sz w:val="20"/>
          <w:szCs w:val="20"/>
        </w:rPr>
        <w:t>of</w:t>
      </w:r>
      <w:r>
        <w:rPr>
          <w:rFonts w:eastAsia="Arial"/>
          <w:sz w:val="20"/>
          <w:szCs w:val="20"/>
        </w:rPr>
        <w:t xml:space="preserve"> </w:t>
      </w:r>
      <w:r>
        <w:rPr>
          <w:sz w:val="20"/>
          <w:szCs w:val="20"/>
        </w:rPr>
        <w:t>an</w:t>
      </w:r>
      <w:r>
        <w:rPr>
          <w:rFonts w:eastAsia="Arial"/>
          <w:sz w:val="20"/>
          <w:szCs w:val="20"/>
        </w:rPr>
        <w:t xml:space="preserve"> </w:t>
      </w:r>
      <w:r>
        <w:rPr>
          <w:sz w:val="20"/>
          <w:szCs w:val="20"/>
        </w:rPr>
        <w:t>offender</w:t>
      </w:r>
      <w:r>
        <w:rPr>
          <w:rFonts w:eastAsia="Arial"/>
          <w:sz w:val="20"/>
          <w:szCs w:val="20"/>
        </w:rPr>
        <w:t xml:space="preserve"> </w:t>
      </w:r>
      <w:r>
        <w:rPr>
          <w:sz w:val="20"/>
          <w:szCs w:val="20"/>
        </w:rPr>
        <w:t>aged</w:t>
      </w:r>
      <w:r>
        <w:rPr>
          <w:rFonts w:eastAsia="Arial"/>
          <w:sz w:val="20"/>
          <w:szCs w:val="20"/>
        </w:rPr>
        <w:t xml:space="preserve"> </w:t>
      </w:r>
      <w:r>
        <w:rPr>
          <w:sz w:val="20"/>
          <w:szCs w:val="20"/>
        </w:rPr>
        <w:t>under</w:t>
      </w:r>
      <w:r>
        <w:rPr>
          <w:rFonts w:eastAsia="Arial"/>
          <w:sz w:val="20"/>
          <w:szCs w:val="20"/>
        </w:rPr>
        <w:t xml:space="preserve"> </w:t>
      </w:r>
      <w:r>
        <w:rPr>
          <w:sz w:val="20"/>
          <w:szCs w:val="20"/>
        </w:rPr>
        <w:t>18</w:t>
      </w:r>
      <w:r>
        <w:rPr>
          <w:rFonts w:eastAsia="Arial"/>
          <w:sz w:val="20"/>
          <w:szCs w:val="20"/>
        </w:rPr>
        <w:t xml:space="preserve"> </w:t>
      </w:r>
      <w:r>
        <w:rPr>
          <w:sz w:val="20"/>
          <w:szCs w:val="20"/>
        </w:rPr>
        <w:t>is</w:t>
      </w:r>
      <w:r>
        <w:rPr>
          <w:rFonts w:eastAsia="Arial"/>
          <w:sz w:val="20"/>
          <w:szCs w:val="20"/>
        </w:rPr>
        <w:t xml:space="preserve"> </w:t>
      </w:r>
      <w:r>
        <w:rPr>
          <w:sz w:val="20"/>
          <w:szCs w:val="20"/>
        </w:rPr>
        <w:t>discussed.</w:t>
      </w:r>
    </w:p>
    <w:p w14:paraId="198A6848" w14:textId="77777777" w:rsidR="00F2123B" w:rsidRDefault="00F2123B">
      <w:pPr>
        <w:pStyle w:val="Bullet"/>
        <w:tabs>
          <w:tab w:val="clear" w:pos="720"/>
        </w:tabs>
        <w:spacing w:line="280" w:lineRule="atLeast"/>
        <w:ind w:left="0" w:firstLine="0"/>
        <w:rPr>
          <w:sz w:val="20"/>
          <w:szCs w:val="20"/>
        </w:rPr>
      </w:pPr>
    </w:p>
    <w:p w14:paraId="198A6849" w14:textId="77777777" w:rsidR="00F2123B" w:rsidRDefault="00200CFB">
      <w:pPr>
        <w:pStyle w:val="Bullet"/>
        <w:tabs>
          <w:tab w:val="clear" w:pos="720"/>
        </w:tabs>
        <w:spacing w:line="280" w:lineRule="atLeast"/>
        <w:ind w:left="0" w:firstLine="0"/>
      </w:pPr>
      <w:r>
        <w:rPr>
          <w:b/>
          <w:szCs w:val="24"/>
        </w:rPr>
        <w:t>Terrorists</w:t>
      </w:r>
      <w:r>
        <w:rPr>
          <w:rFonts w:eastAsia="Arial"/>
          <w:b/>
          <w:szCs w:val="24"/>
        </w:rPr>
        <w:t xml:space="preserve"> </w:t>
      </w:r>
      <w:r>
        <w:rPr>
          <w:b/>
          <w:szCs w:val="24"/>
        </w:rPr>
        <w:t>and</w:t>
      </w:r>
      <w:r>
        <w:rPr>
          <w:rFonts w:eastAsia="Arial"/>
          <w:b/>
          <w:szCs w:val="24"/>
        </w:rPr>
        <w:t xml:space="preserve"> </w:t>
      </w:r>
      <w:r>
        <w:rPr>
          <w:b/>
          <w:szCs w:val="24"/>
        </w:rPr>
        <w:t>domestic</w:t>
      </w:r>
      <w:r>
        <w:rPr>
          <w:rFonts w:eastAsia="Arial"/>
          <w:b/>
          <w:szCs w:val="24"/>
        </w:rPr>
        <w:t xml:space="preserve"> </w:t>
      </w:r>
      <w:r>
        <w:rPr>
          <w:b/>
          <w:szCs w:val="24"/>
        </w:rPr>
        <w:t>extremists</w:t>
      </w:r>
      <w:r>
        <w:rPr>
          <w:rFonts w:eastAsia="Arial"/>
          <w:b/>
          <w:szCs w:val="24"/>
        </w:rPr>
        <w:t xml:space="preserve"> </w:t>
      </w:r>
      <w:r>
        <w:rPr>
          <w:b/>
          <w:szCs w:val="24"/>
        </w:rPr>
        <w:br/>
      </w:r>
      <w:r>
        <w:rPr>
          <w:sz w:val="20"/>
          <w:szCs w:val="20"/>
        </w:rPr>
        <w:t>1.29.</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emphasises</w:t>
      </w:r>
      <w:r>
        <w:rPr>
          <w:rFonts w:eastAsia="Arial"/>
          <w:sz w:val="20"/>
          <w:szCs w:val="20"/>
        </w:rPr>
        <w:t xml:space="preserve"> </w:t>
      </w:r>
      <w:r>
        <w:rPr>
          <w:sz w:val="20"/>
          <w:szCs w:val="20"/>
        </w:rPr>
        <w:t>the</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identify</w:t>
      </w:r>
      <w:r>
        <w:rPr>
          <w:rFonts w:eastAsia="Arial"/>
          <w:sz w:val="20"/>
          <w:szCs w:val="20"/>
        </w:rPr>
        <w:t xml:space="preserve"> </w:t>
      </w:r>
      <w:r>
        <w:rPr>
          <w:sz w:val="20"/>
          <w:szCs w:val="20"/>
        </w:rPr>
        <w:t>terrorists</w:t>
      </w:r>
      <w:r>
        <w:rPr>
          <w:rFonts w:eastAsia="Arial"/>
          <w:sz w:val="20"/>
          <w:szCs w:val="20"/>
        </w:rPr>
        <w:t xml:space="preserve"> </w:t>
      </w:r>
      <w:r>
        <w:rPr>
          <w:sz w:val="20"/>
          <w:szCs w:val="20"/>
        </w:rPr>
        <w:t>and</w:t>
      </w:r>
      <w:r>
        <w:rPr>
          <w:rFonts w:eastAsia="Arial"/>
          <w:sz w:val="20"/>
          <w:szCs w:val="20"/>
        </w:rPr>
        <w:t xml:space="preserve"> </w:t>
      </w:r>
      <w:r>
        <w:rPr>
          <w:sz w:val="20"/>
          <w:szCs w:val="20"/>
        </w:rPr>
        <w:t>domestic</w:t>
      </w:r>
      <w:r>
        <w:rPr>
          <w:rFonts w:eastAsia="Arial"/>
          <w:sz w:val="20"/>
          <w:szCs w:val="20"/>
        </w:rPr>
        <w:t xml:space="preserve"> </w:t>
      </w:r>
      <w:r>
        <w:rPr>
          <w:sz w:val="20"/>
          <w:szCs w:val="20"/>
        </w:rPr>
        <w:t>extremists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to</w:t>
      </w:r>
      <w:r>
        <w:rPr>
          <w:rFonts w:eastAsia="Arial"/>
          <w:sz w:val="20"/>
          <w:szCs w:val="20"/>
        </w:rPr>
        <w:t xml:space="preserve"> </w:t>
      </w:r>
      <w:r>
        <w:rPr>
          <w:sz w:val="20"/>
          <w:szCs w:val="20"/>
        </w:rPr>
        <w:t>consider</w:t>
      </w:r>
      <w:r>
        <w:rPr>
          <w:rFonts w:eastAsia="Arial"/>
          <w:sz w:val="20"/>
          <w:szCs w:val="20"/>
        </w:rPr>
        <w:t xml:space="preserve"> </w:t>
      </w:r>
      <w:r>
        <w:rPr>
          <w:sz w:val="20"/>
          <w:szCs w:val="20"/>
        </w:rPr>
        <w:t>them</w:t>
      </w:r>
      <w:r>
        <w:rPr>
          <w:rFonts w:eastAsia="Arial"/>
          <w:sz w:val="20"/>
          <w:szCs w:val="20"/>
        </w:rPr>
        <w:t xml:space="preserve"> </w:t>
      </w:r>
      <w:r>
        <w:rPr>
          <w:sz w:val="20"/>
          <w:szCs w:val="20"/>
        </w:rPr>
        <w:t>for</w:t>
      </w:r>
      <w:r>
        <w:rPr>
          <w:rFonts w:eastAsia="Arial"/>
          <w:sz w:val="20"/>
          <w:szCs w:val="20"/>
        </w:rPr>
        <w:t xml:space="preserve"> </w:t>
      </w:r>
      <w:r>
        <w:rPr>
          <w:sz w:val="20"/>
          <w:szCs w:val="20"/>
        </w:rPr>
        <w:t>active</w:t>
      </w:r>
      <w:r>
        <w:rPr>
          <w:rFonts w:eastAsia="Arial"/>
          <w:sz w:val="20"/>
          <w:szCs w:val="20"/>
        </w:rPr>
        <w:t xml:space="preserve"> </w:t>
      </w:r>
      <w:r>
        <w:rPr>
          <w:sz w:val="20"/>
          <w:szCs w:val="20"/>
        </w:rPr>
        <w:t>multi-agency</w:t>
      </w:r>
      <w:r>
        <w:rPr>
          <w:rFonts w:eastAsia="Arial"/>
          <w:sz w:val="20"/>
          <w:szCs w:val="20"/>
        </w:rPr>
        <w:t xml:space="preserve"> </w:t>
      </w:r>
      <w:r>
        <w:rPr>
          <w:sz w:val="20"/>
          <w:szCs w:val="20"/>
        </w:rPr>
        <w:t>management</w:t>
      </w:r>
      <w:r>
        <w:rPr>
          <w:rFonts w:eastAsia="Arial"/>
          <w:sz w:val="20"/>
          <w:szCs w:val="20"/>
        </w:rPr>
        <w:t xml:space="preserve"> </w:t>
      </w:r>
      <w:r>
        <w:rPr>
          <w:sz w:val="20"/>
          <w:szCs w:val="20"/>
        </w:rPr>
        <w:t>at</w:t>
      </w:r>
      <w:r>
        <w:rPr>
          <w:rFonts w:eastAsia="Arial"/>
          <w:sz w:val="20"/>
          <w:szCs w:val="20"/>
        </w:rPr>
        <w:t xml:space="preserve"> </w:t>
      </w:r>
      <w:r>
        <w:rPr>
          <w:sz w:val="20"/>
          <w:szCs w:val="20"/>
        </w:rPr>
        <w:t>level</w:t>
      </w:r>
      <w:r>
        <w:rPr>
          <w:rFonts w:eastAsia="Arial"/>
          <w:sz w:val="20"/>
          <w:szCs w:val="20"/>
        </w:rPr>
        <w:t xml:space="preserve"> </w:t>
      </w:r>
      <w:r>
        <w:rPr>
          <w:sz w:val="20"/>
          <w:szCs w:val="20"/>
        </w:rPr>
        <w:t>2</w:t>
      </w:r>
      <w:r>
        <w:rPr>
          <w:rFonts w:eastAsia="Arial"/>
          <w:sz w:val="20"/>
          <w:szCs w:val="20"/>
        </w:rPr>
        <w:t xml:space="preserve"> </w:t>
      </w:r>
      <w:r>
        <w:rPr>
          <w:sz w:val="20"/>
          <w:szCs w:val="20"/>
        </w:rPr>
        <w:t>or</w:t>
      </w:r>
      <w:r>
        <w:rPr>
          <w:rFonts w:eastAsia="Arial"/>
          <w:sz w:val="20"/>
          <w:szCs w:val="20"/>
        </w:rPr>
        <w:t xml:space="preserve"> </w:t>
      </w:r>
      <w:r>
        <w:rPr>
          <w:sz w:val="20"/>
          <w:szCs w:val="20"/>
        </w:rPr>
        <w:t>3;</w:t>
      </w:r>
      <w:r>
        <w:rPr>
          <w:rFonts w:eastAsia="Arial"/>
          <w:sz w:val="20"/>
          <w:szCs w:val="20"/>
        </w:rPr>
        <w:t xml:space="preserve"> </w:t>
      </w:r>
      <w:r>
        <w:rPr>
          <w:sz w:val="20"/>
          <w:szCs w:val="20"/>
        </w:rPr>
        <w:t>to</w:t>
      </w:r>
      <w:r>
        <w:rPr>
          <w:rFonts w:eastAsia="Arial"/>
          <w:sz w:val="20"/>
          <w:szCs w:val="20"/>
        </w:rPr>
        <w:t xml:space="preserve"> </w:t>
      </w:r>
      <w:r>
        <w:rPr>
          <w:sz w:val="20"/>
          <w:szCs w:val="20"/>
        </w:rPr>
        <w:t>share</w:t>
      </w:r>
      <w:r>
        <w:rPr>
          <w:rFonts w:eastAsia="Arial"/>
          <w:sz w:val="20"/>
          <w:szCs w:val="20"/>
        </w:rPr>
        <w:t xml:space="preserve"> </w:t>
      </w:r>
      <w:r>
        <w:rPr>
          <w:sz w:val="20"/>
          <w:szCs w:val="20"/>
        </w:rPr>
        <w:t>all</w:t>
      </w:r>
      <w:r>
        <w:rPr>
          <w:rFonts w:eastAsia="Arial"/>
          <w:sz w:val="20"/>
          <w:szCs w:val="20"/>
        </w:rPr>
        <w:t xml:space="preserve"> </w:t>
      </w:r>
      <w:r>
        <w:rPr>
          <w:sz w:val="20"/>
          <w:szCs w:val="20"/>
        </w:rPr>
        <w:t>relevant</w:t>
      </w:r>
      <w:r>
        <w:rPr>
          <w:rFonts w:eastAsia="Arial"/>
          <w:sz w:val="20"/>
          <w:szCs w:val="20"/>
        </w:rPr>
        <w:t xml:space="preserve"> </w:t>
      </w:r>
      <w:r>
        <w:rPr>
          <w:sz w:val="20"/>
          <w:szCs w:val="20"/>
        </w:rPr>
        <w:t>information</w:t>
      </w:r>
      <w:r>
        <w:rPr>
          <w:rFonts w:eastAsia="Arial"/>
          <w:sz w:val="20"/>
          <w:szCs w:val="20"/>
        </w:rPr>
        <w:t xml:space="preserve"> </w:t>
      </w:r>
      <w:r>
        <w:rPr>
          <w:sz w:val="20"/>
          <w:szCs w:val="20"/>
        </w:rPr>
        <w:t>with</w:t>
      </w:r>
      <w:r>
        <w:rPr>
          <w:rFonts w:eastAsia="Arial"/>
          <w:sz w:val="20"/>
          <w:szCs w:val="20"/>
        </w:rPr>
        <w:t xml:space="preserve"> </w:t>
      </w:r>
      <w:r>
        <w:rPr>
          <w:sz w:val="20"/>
          <w:szCs w:val="20"/>
        </w:rPr>
        <w:t>other</w:t>
      </w:r>
      <w:r>
        <w:rPr>
          <w:rFonts w:eastAsia="Arial"/>
          <w:sz w:val="20"/>
          <w:szCs w:val="20"/>
        </w:rPr>
        <w:t xml:space="preserve"> </w:t>
      </w:r>
      <w:r>
        <w:rPr>
          <w:sz w:val="20"/>
          <w:szCs w:val="20"/>
        </w:rPr>
        <w:t>agencies</w:t>
      </w:r>
      <w:r>
        <w:rPr>
          <w:rFonts w:eastAsia="Arial"/>
          <w:sz w:val="20"/>
          <w:szCs w:val="20"/>
        </w:rPr>
        <w:t xml:space="preserve"> </w:t>
      </w:r>
      <w:r>
        <w:rPr>
          <w:sz w:val="20"/>
          <w:szCs w:val="20"/>
        </w:rPr>
        <w:t>involved;</w:t>
      </w:r>
      <w:r>
        <w:rPr>
          <w:rFonts w:eastAsia="Arial"/>
          <w:sz w:val="20"/>
          <w:szCs w:val="20"/>
        </w:rPr>
        <w:t xml:space="preserve"> </w:t>
      </w:r>
      <w:r>
        <w:rPr>
          <w:sz w:val="20"/>
          <w:szCs w:val="20"/>
        </w:rPr>
        <w:t>and</w:t>
      </w:r>
      <w:r>
        <w:rPr>
          <w:rFonts w:eastAsia="Arial"/>
          <w:sz w:val="20"/>
          <w:szCs w:val="20"/>
        </w:rPr>
        <w:t xml:space="preserve"> </w:t>
      </w:r>
      <w:r>
        <w:rPr>
          <w:sz w:val="20"/>
          <w:szCs w:val="20"/>
        </w:rPr>
        <w:t>to</w:t>
      </w:r>
      <w:r>
        <w:rPr>
          <w:rFonts w:eastAsia="Arial"/>
          <w:sz w:val="20"/>
          <w:szCs w:val="20"/>
        </w:rPr>
        <w:t xml:space="preserve"> </w:t>
      </w:r>
      <w:r>
        <w:rPr>
          <w:sz w:val="20"/>
          <w:szCs w:val="20"/>
        </w:rPr>
        <w:t>maintain</w:t>
      </w:r>
      <w:r>
        <w:rPr>
          <w:rFonts w:eastAsia="Arial"/>
          <w:sz w:val="20"/>
          <w:szCs w:val="20"/>
        </w:rPr>
        <w:t xml:space="preserve"> </w:t>
      </w:r>
      <w:r>
        <w:rPr>
          <w:sz w:val="20"/>
          <w:szCs w:val="20"/>
        </w:rPr>
        <w:t>appropriate</w:t>
      </w:r>
      <w:r>
        <w:rPr>
          <w:rFonts w:eastAsia="Arial"/>
          <w:sz w:val="20"/>
          <w:szCs w:val="20"/>
        </w:rPr>
        <w:t xml:space="preserve"> </w:t>
      </w:r>
      <w:r>
        <w:rPr>
          <w:sz w:val="20"/>
          <w:szCs w:val="20"/>
        </w:rPr>
        <w:t>security</w:t>
      </w:r>
      <w:r>
        <w:rPr>
          <w:rFonts w:eastAsia="Arial"/>
          <w:sz w:val="20"/>
          <w:szCs w:val="20"/>
        </w:rPr>
        <w:t xml:space="preserve"> </w:t>
      </w:r>
      <w:r>
        <w:rPr>
          <w:sz w:val="20"/>
          <w:szCs w:val="20"/>
        </w:rPr>
        <w:t>arrangements.</w:t>
      </w:r>
    </w:p>
    <w:p w14:paraId="198A684A" w14:textId="77777777" w:rsidR="00F2123B" w:rsidRDefault="00F2123B">
      <w:pPr>
        <w:pStyle w:val="Bullet"/>
        <w:tabs>
          <w:tab w:val="clear" w:pos="720"/>
        </w:tabs>
        <w:spacing w:line="280" w:lineRule="atLeast"/>
        <w:ind w:left="0" w:firstLine="0"/>
        <w:rPr>
          <w:b/>
          <w:szCs w:val="24"/>
        </w:rPr>
      </w:pPr>
    </w:p>
    <w:p w14:paraId="198A684B" w14:textId="77777777" w:rsidR="00F2123B" w:rsidRDefault="00200CFB">
      <w:pPr>
        <w:pStyle w:val="Bullet"/>
        <w:tabs>
          <w:tab w:val="clear" w:pos="720"/>
        </w:tabs>
        <w:spacing w:line="280" w:lineRule="atLeast"/>
        <w:ind w:left="0" w:firstLine="0"/>
      </w:pPr>
      <w:r>
        <w:rPr>
          <w:b/>
          <w:szCs w:val="24"/>
        </w:rPr>
        <w:t>Foreign</w:t>
      </w:r>
      <w:r>
        <w:rPr>
          <w:rFonts w:eastAsia="Arial"/>
          <w:b/>
          <w:szCs w:val="24"/>
        </w:rPr>
        <w:t xml:space="preserve"> </w:t>
      </w:r>
      <w:r>
        <w:rPr>
          <w:b/>
          <w:szCs w:val="24"/>
        </w:rPr>
        <w:t>national</w:t>
      </w:r>
      <w:r>
        <w:rPr>
          <w:rFonts w:eastAsia="Arial"/>
          <w:b/>
          <w:szCs w:val="24"/>
        </w:rPr>
        <w:t xml:space="preserve"> </w:t>
      </w:r>
      <w:r>
        <w:rPr>
          <w:b/>
          <w:szCs w:val="24"/>
        </w:rPr>
        <w:t>offenders</w:t>
      </w:r>
    </w:p>
    <w:p w14:paraId="198A684C" w14:textId="77777777" w:rsidR="00F2123B" w:rsidRDefault="00200CFB">
      <w:pPr>
        <w:pStyle w:val="Bullet"/>
        <w:tabs>
          <w:tab w:val="clear" w:pos="720"/>
        </w:tabs>
        <w:spacing w:line="280" w:lineRule="atLeast"/>
        <w:ind w:left="0" w:firstLine="0"/>
      </w:pPr>
      <w:r>
        <w:rPr>
          <w:sz w:val="20"/>
          <w:szCs w:val="20"/>
        </w:rPr>
        <w:t>1.30</w:t>
      </w:r>
      <w:r>
        <w:rPr>
          <w:sz w:val="20"/>
          <w:szCs w:val="20"/>
        </w:rPr>
        <w:tab/>
        <w:t>MAPPA</w:t>
      </w:r>
      <w:r>
        <w:rPr>
          <w:rFonts w:eastAsia="Arial"/>
          <w:sz w:val="20"/>
          <w:szCs w:val="20"/>
        </w:rPr>
        <w:t xml:space="preserve"> </w:t>
      </w:r>
      <w:r>
        <w:rPr>
          <w:sz w:val="20"/>
          <w:szCs w:val="20"/>
        </w:rPr>
        <w:t>processes</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r>
        <w:rPr>
          <w:rFonts w:eastAsia="Arial"/>
          <w:sz w:val="20"/>
          <w:szCs w:val="20"/>
        </w:rPr>
        <w:t xml:space="preserve"> </w:t>
      </w:r>
      <w:r>
        <w:rPr>
          <w:sz w:val="20"/>
          <w:szCs w:val="20"/>
        </w:rPr>
        <w:t>living</w:t>
      </w:r>
      <w:r>
        <w:rPr>
          <w:rFonts w:eastAsia="Arial"/>
          <w:sz w:val="20"/>
          <w:szCs w:val="20"/>
        </w:rPr>
        <w:t xml:space="preserve"> </w:t>
      </w:r>
      <w:r>
        <w:rPr>
          <w:sz w:val="20"/>
          <w:szCs w:val="20"/>
        </w:rPr>
        <w:t>in</w:t>
      </w:r>
      <w:r>
        <w:rPr>
          <w:rFonts w:eastAsia="Arial"/>
          <w:sz w:val="20"/>
          <w:szCs w:val="20"/>
        </w:rPr>
        <w:t xml:space="preserve"> </w:t>
      </w:r>
      <w:r>
        <w:rPr>
          <w:sz w:val="20"/>
          <w:szCs w:val="20"/>
        </w:rPr>
        <w:t>the</w:t>
      </w:r>
      <w:r>
        <w:rPr>
          <w:rFonts w:eastAsia="Arial"/>
          <w:sz w:val="20"/>
          <w:szCs w:val="20"/>
        </w:rPr>
        <w:t xml:space="preserve"> </w:t>
      </w:r>
      <w:r>
        <w:rPr>
          <w:sz w:val="20"/>
          <w:szCs w:val="20"/>
        </w:rPr>
        <w:t>community</w:t>
      </w:r>
      <w:r>
        <w:rPr>
          <w:rFonts w:eastAsia="Arial"/>
          <w:sz w:val="20"/>
          <w:szCs w:val="20"/>
        </w:rPr>
        <w:t xml:space="preserve"> </w:t>
      </w:r>
      <w:r>
        <w:rPr>
          <w:sz w:val="20"/>
          <w:szCs w:val="20"/>
        </w:rPr>
        <w:t>are</w:t>
      </w:r>
      <w:r>
        <w:rPr>
          <w:rFonts w:eastAsia="Arial"/>
          <w:sz w:val="20"/>
          <w:szCs w:val="20"/>
        </w:rPr>
        <w:t xml:space="preserve"> </w:t>
      </w:r>
      <w:r>
        <w:rPr>
          <w:sz w:val="20"/>
          <w:szCs w:val="20"/>
        </w:rPr>
        <w:t>the</w:t>
      </w:r>
      <w:r>
        <w:rPr>
          <w:rFonts w:eastAsia="Arial"/>
          <w:sz w:val="20"/>
          <w:szCs w:val="20"/>
        </w:rPr>
        <w:t xml:space="preserve"> </w:t>
      </w:r>
      <w:r>
        <w:rPr>
          <w:sz w:val="20"/>
          <w:szCs w:val="20"/>
        </w:rPr>
        <w:t>same</w:t>
      </w:r>
      <w:r>
        <w:rPr>
          <w:rFonts w:eastAsia="Arial"/>
          <w:sz w:val="20"/>
          <w:szCs w:val="20"/>
        </w:rPr>
        <w:t xml:space="preserve"> </w:t>
      </w:r>
      <w:r>
        <w:rPr>
          <w:sz w:val="20"/>
          <w:szCs w:val="20"/>
        </w:rPr>
        <w:t>as</w:t>
      </w:r>
      <w:r>
        <w:rPr>
          <w:rFonts w:eastAsia="Arial"/>
          <w:sz w:val="20"/>
          <w:szCs w:val="20"/>
        </w:rPr>
        <w:t xml:space="preserve"> </w:t>
      </w:r>
      <w:r>
        <w:rPr>
          <w:sz w:val="20"/>
          <w:szCs w:val="20"/>
        </w:rPr>
        <w:t>for</w:t>
      </w:r>
      <w:r>
        <w:rPr>
          <w:rFonts w:eastAsia="Arial"/>
          <w:sz w:val="20"/>
          <w:szCs w:val="20"/>
        </w:rPr>
        <w:t xml:space="preserve"> </w:t>
      </w:r>
      <w:r>
        <w:rPr>
          <w:sz w:val="20"/>
          <w:szCs w:val="20"/>
        </w:rPr>
        <w:t>UK</w:t>
      </w:r>
      <w:r>
        <w:rPr>
          <w:rFonts w:eastAsia="Arial"/>
          <w:sz w:val="20"/>
          <w:szCs w:val="20"/>
        </w:rPr>
        <w:t xml:space="preserve"> </w:t>
      </w:r>
      <w:r>
        <w:rPr>
          <w:sz w:val="20"/>
          <w:szCs w:val="20"/>
        </w:rPr>
        <w:t>citizens.</w:t>
      </w:r>
      <w:r>
        <w:rPr>
          <w:rFonts w:eastAsia="Arial"/>
          <w:sz w:val="20"/>
          <w:szCs w:val="20"/>
        </w:rPr>
        <w:t xml:space="preserve"> </w:t>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deals</w:t>
      </w:r>
      <w:r>
        <w:rPr>
          <w:rFonts w:eastAsia="Arial"/>
          <w:sz w:val="20"/>
          <w:szCs w:val="20"/>
        </w:rPr>
        <w:t xml:space="preserve"> </w:t>
      </w:r>
      <w:r>
        <w:rPr>
          <w:sz w:val="20"/>
          <w:szCs w:val="20"/>
        </w:rPr>
        <w:t>with</w:t>
      </w:r>
      <w:r>
        <w:rPr>
          <w:rFonts w:eastAsia="Arial"/>
          <w:sz w:val="20"/>
          <w:szCs w:val="20"/>
        </w:rPr>
        <w:t xml:space="preserve"> </w:t>
      </w:r>
      <w:r>
        <w:rPr>
          <w:sz w:val="20"/>
          <w:szCs w:val="20"/>
        </w:rPr>
        <w:t>identification,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risk</w:t>
      </w:r>
      <w:r>
        <w:rPr>
          <w:rFonts w:eastAsia="Arial"/>
          <w:sz w:val="20"/>
          <w:szCs w:val="20"/>
        </w:rPr>
        <w:t xml:space="preserve"> </w:t>
      </w:r>
      <w:r>
        <w:rPr>
          <w:sz w:val="20"/>
          <w:szCs w:val="20"/>
        </w:rPr>
        <w:t>assessment</w:t>
      </w:r>
      <w:r>
        <w:rPr>
          <w:rFonts w:eastAsia="Arial"/>
          <w:sz w:val="20"/>
          <w:szCs w:val="20"/>
        </w:rPr>
        <w:t xml:space="preserve"> </w:t>
      </w:r>
      <w:r>
        <w:rPr>
          <w:sz w:val="20"/>
          <w:szCs w:val="20"/>
        </w:rPr>
        <w:t>and</w:t>
      </w:r>
      <w:r>
        <w:rPr>
          <w:rFonts w:eastAsia="Arial"/>
          <w:sz w:val="20"/>
          <w:szCs w:val="20"/>
        </w:rPr>
        <w:t xml:space="preserve"> </w:t>
      </w:r>
      <w:r>
        <w:rPr>
          <w:sz w:val="20"/>
          <w:szCs w:val="20"/>
        </w:rPr>
        <w:t>risk</w:t>
      </w:r>
      <w:r>
        <w:rPr>
          <w:rFonts w:eastAsia="Arial"/>
          <w:sz w:val="20"/>
          <w:szCs w:val="20"/>
        </w:rPr>
        <w:t xml:space="preserve"> </w:t>
      </w:r>
      <w:r>
        <w:rPr>
          <w:sz w:val="20"/>
          <w:szCs w:val="20"/>
        </w:rPr>
        <w:t>management</w:t>
      </w:r>
      <w:r>
        <w:rPr>
          <w:rFonts w:eastAsia="Arial"/>
          <w:sz w:val="20"/>
          <w:szCs w:val="20"/>
        </w:rPr>
        <w:t xml:space="preserve"> </w:t>
      </w:r>
      <w:r>
        <w:rPr>
          <w:sz w:val="20"/>
          <w:szCs w:val="20"/>
        </w:rPr>
        <w:t>for</w:t>
      </w:r>
      <w:r>
        <w:rPr>
          <w:rFonts w:eastAsia="Arial"/>
          <w:sz w:val="20"/>
          <w:szCs w:val="20"/>
        </w:rPr>
        <w:t xml:space="preserve"> </w:t>
      </w:r>
      <w:r>
        <w:rPr>
          <w:sz w:val="20"/>
          <w:szCs w:val="20"/>
        </w:rPr>
        <w:t>foreign</w:t>
      </w:r>
      <w:r>
        <w:rPr>
          <w:rFonts w:eastAsia="Arial"/>
          <w:sz w:val="20"/>
          <w:szCs w:val="20"/>
        </w:rPr>
        <w:t xml:space="preserve"> </w:t>
      </w:r>
      <w:r>
        <w:rPr>
          <w:sz w:val="20"/>
          <w:szCs w:val="20"/>
        </w:rPr>
        <w:t>national</w:t>
      </w:r>
      <w:r>
        <w:rPr>
          <w:rFonts w:eastAsia="Arial"/>
          <w:sz w:val="20"/>
          <w:szCs w:val="20"/>
        </w:rPr>
        <w:t xml:space="preserve"> </w:t>
      </w:r>
      <w:r>
        <w:rPr>
          <w:sz w:val="20"/>
          <w:szCs w:val="20"/>
        </w:rPr>
        <w:t>offenders.</w:t>
      </w:r>
    </w:p>
    <w:p w14:paraId="198A684D" w14:textId="77777777" w:rsidR="00F2123B" w:rsidRDefault="00F2123B">
      <w:pPr>
        <w:pStyle w:val="Bullet"/>
        <w:tabs>
          <w:tab w:val="clear" w:pos="720"/>
        </w:tabs>
        <w:spacing w:line="280" w:lineRule="atLeast"/>
        <w:ind w:left="0" w:firstLine="0"/>
        <w:rPr>
          <w:b/>
          <w:szCs w:val="24"/>
        </w:rPr>
      </w:pPr>
    </w:p>
    <w:p w14:paraId="198A684E" w14:textId="77777777" w:rsidR="00F2123B" w:rsidRDefault="00200CFB">
      <w:pPr>
        <w:pStyle w:val="Bullet"/>
        <w:tabs>
          <w:tab w:val="clear" w:pos="720"/>
        </w:tabs>
        <w:spacing w:line="280" w:lineRule="atLeast"/>
        <w:ind w:left="0" w:firstLine="0"/>
      </w:pPr>
      <w:r>
        <w:rPr>
          <w:b/>
          <w:szCs w:val="24"/>
        </w:rPr>
        <w:t>Mentally</w:t>
      </w:r>
      <w:r>
        <w:rPr>
          <w:rFonts w:eastAsia="Arial"/>
          <w:b/>
          <w:szCs w:val="24"/>
        </w:rPr>
        <w:t xml:space="preserve"> </w:t>
      </w:r>
      <w:r>
        <w:rPr>
          <w:b/>
          <w:szCs w:val="24"/>
        </w:rPr>
        <w:t>disordered</w:t>
      </w:r>
      <w:r>
        <w:rPr>
          <w:rFonts w:eastAsia="Arial"/>
          <w:b/>
          <w:szCs w:val="24"/>
        </w:rPr>
        <w:t xml:space="preserve"> </w:t>
      </w:r>
      <w:r>
        <w:rPr>
          <w:b/>
          <w:szCs w:val="24"/>
        </w:rPr>
        <w:t>offenders</w:t>
      </w:r>
    </w:p>
    <w:p w14:paraId="198A684F" w14:textId="01CC19A1" w:rsidR="00F2123B" w:rsidRDefault="00200CFB">
      <w:pPr>
        <w:pStyle w:val="Bullet"/>
        <w:tabs>
          <w:tab w:val="clear" w:pos="720"/>
        </w:tabs>
        <w:spacing w:line="280" w:lineRule="atLeast"/>
        <w:ind w:left="0" w:firstLine="0"/>
      </w:pPr>
      <w:r>
        <w:rPr>
          <w:sz w:val="20"/>
          <w:szCs w:val="20"/>
        </w:rPr>
        <w:t>1.31</w:t>
      </w:r>
      <w:r>
        <w:rPr>
          <w:sz w:val="20"/>
          <w:szCs w:val="20"/>
        </w:rPr>
        <w:tab/>
        <w:t>This</w:t>
      </w:r>
      <w:r>
        <w:rPr>
          <w:rFonts w:eastAsia="Arial"/>
          <w:sz w:val="20"/>
          <w:szCs w:val="20"/>
        </w:rPr>
        <w:t xml:space="preserve"> </w:t>
      </w:r>
      <w:r>
        <w:rPr>
          <w:sz w:val="20"/>
          <w:szCs w:val="20"/>
        </w:rPr>
        <w:t>chapter</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identifying</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r>
        <w:rPr>
          <w:rFonts w:eastAsia="Arial"/>
          <w:sz w:val="20"/>
          <w:szCs w:val="20"/>
        </w:rPr>
        <w:t xml:space="preserve"> </w:t>
      </w:r>
      <w:r>
        <w:rPr>
          <w:sz w:val="20"/>
          <w:szCs w:val="20"/>
        </w:rPr>
        <w:t>who</w:t>
      </w:r>
      <w:r>
        <w:rPr>
          <w:rFonts w:eastAsia="Arial"/>
          <w:sz w:val="20"/>
          <w:szCs w:val="20"/>
        </w:rPr>
        <w:t xml:space="preserve"> </w:t>
      </w:r>
      <w:r>
        <w:rPr>
          <w:sz w:val="20"/>
          <w:szCs w:val="20"/>
        </w:rPr>
        <w:t>are</w:t>
      </w:r>
      <w:r>
        <w:rPr>
          <w:rFonts w:eastAsia="Arial"/>
          <w:sz w:val="20"/>
          <w:szCs w:val="20"/>
        </w:rPr>
        <w:t xml:space="preserve"> </w:t>
      </w:r>
      <w:r>
        <w:rPr>
          <w:sz w:val="20"/>
          <w:szCs w:val="20"/>
        </w:rPr>
        <w:t>MAPPA offenders.</w:t>
      </w:r>
      <w:r>
        <w:rPr>
          <w:rFonts w:eastAsia="Arial"/>
          <w:sz w:val="20"/>
          <w:szCs w:val="20"/>
        </w:rPr>
        <w:t xml:space="preserve"> </w:t>
      </w:r>
      <w:r>
        <w:rPr>
          <w:sz w:val="20"/>
          <w:szCs w:val="20"/>
        </w:rPr>
        <w:t>It</w:t>
      </w:r>
      <w:r>
        <w:rPr>
          <w:rFonts w:eastAsia="Arial"/>
          <w:sz w:val="20"/>
          <w:szCs w:val="20"/>
        </w:rPr>
        <w:t xml:space="preserve"> </w:t>
      </w:r>
      <w:r>
        <w:rPr>
          <w:sz w:val="20"/>
          <w:szCs w:val="20"/>
        </w:rPr>
        <w:t>summarises</w:t>
      </w:r>
      <w:r>
        <w:rPr>
          <w:rFonts w:eastAsia="Arial"/>
          <w:sz w:val="20"/>
          <w:szCs w:val="20"/>
        </w:rPr>
        <w:t xml:space="preserve"> </w:t>
      </w:r>
      <w:r>
        <w:rPr>
          <w:sz w:val="20"/>
          <w:szCs w:val="20"/>
        </w:rPr>
        <w:t>the</w:t>
      </w:r>
      <w:r>
        <w:rPr>
          <w:rFonts w:eastAsia="Arial"/>
          <w:sz w:val="20"/>
          <w:szCs w:val="20"/>
        </w:rPr>
        <w:t xml:space="preserve"> </w:t>
      </w:r>
      <w:r>
        <w:rPr>
          <w:sz w:val="20"/>
          <w:szCs w:val="20"/>
        </w:rPr>
        <w:t>relevant</w:t>
      </w:r>
      <w:r>
        <w:rPr>
          <w:rFonts w:eastAsia="Arial"/>
          <w:sz w:val="20"/>
          <w:szCs w:val="20"/>
        </w:rPr>
        <w:t xml:space="preserve"> </w:t>
      </w:r>
      <w:r>
        <w:rPr>
          <w:sz w:val="20"/>
          <w:szCs w:val="20"/>
        </w:rPr>
        <w:t>provisions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Act</w:t>
      </w:r>
      <w:r>
        <w:rPr>
          <w:rFonts w:eastAsia="Arial"/>
          <w:sz w:val="20"/>
          <w:szCs w:val="20"/>
        </w:rPr>
        <w:t xml:space="preserve"> </w:t>
      </w:r>
      <w:r>
        <w:rPr>
          <w:sz w:val="20"/>
          <w:szCs w:val="20"/>
        </w:rPr>
        <w:t>1983</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Secretary</w:t>
      </w:r>
      <w:r>
        <w:rPr>
          <w:rFonts w:eastAsia="Arial"/>
          <w:sz w:val="20"/>
          <w:szCs w:val="20"/>
        </w:rPr>
        <w:t xml:space="preserve"> </w:t>
      </w:r>
      <w:r>
        <w:rPr>
          <w:sz w:val="20"/>
          <w:szCs w:val="20"/>
        </w:rPr>
        <w:t>of</w:t>
      </w:r>
      <w:r>
        <w:rPr>
          <w:rFonts w:eastAsia="Arial"/>
          <w:sz w:val="20"/>
          <w:szCs w:val="20"/>
        </w:rPr>
        <w:t xml:space="preserve"> </w:t>
      </w:r>
      <w:r>
        <w:rPr>
          <w:sz w:val="20"/>
          <w:szCs w:val="20"/>
        </w:rPr>
        <w:t>State</w:t>
      </w:r>
      <w:r>
        <w:rPr>
          <w:rFonts w:eastAsia="Arial"/>
          <w:sz w:val="20"/>
          <w:szCs w:val="20"/>
        </w:rPr>
        <w:t xml:space="preserve"> </w:t>
      </w:r>
      <w:r>
        <w:rPr>
          <w:sz w:val="20"/>
          <w:szCs w:val="20"/>
        </w:rPr>
        <w:t>(exercised</w:t>
      </w:r>
      <w:r>
        <w:rPr>
          <w:rFonts w:eastAsia="Arial"/>
          <w:sz w:val="20"/>
          <w:szCs w:val="20"/>
        </w:rPr>
        <w:t xml:space="preserve"> </w:t>
      </w:r>
      <w:r>
        <w:rPr>
          <w:sz w:val="20"/>
          <w:szCs w:val="20"/>
        </w:rPr>
        <w:t>through</w:t>
      </w:r>
      <w:r>
        <w:rPr>
          <w:rFonts w:eastAsia="Arial"/>
          <w:sz w:val="20"/>
          <w:szCs w:val="20"/>
        </w:rPr>
        <w:t xml:space="preserve"> </w:t>
      </w:r>
      <w:r>
        <w:rPr>
          <w:sz w:val="20"/>
          <w:szCs w:val="20"/>
        </w:rPr>
        <w:t>the</w:t>
      </w:r>
      <w:r>
        <w:rPr>
          <w:rFonts w:eastAsia="Arial"/>
          <w:sz w:val="20"/>
          <w:szCs w:val="20"/>
        </w:rPr>
        <w:t xml:space="preserve"> </w:t>
      </w:r>
      <w:r>
        <w:rPr>
          <w:sz w:val="20"/>
          <w:szCs w:val="20"/>
        </w:rPr>
        <w:t>Mental</w:t>
      </w:r>
      <w:r>
        <w:rPr>
          <w:rFonts w:eastAsia="Arial"/>
          <w:sz w:val="20"/>
          <w:szCs w:val="20"/>
        </w:rPr>
        <w:t xml:space="preserve"> </w:t>
      </w:r>
      <w:r>
        <w:rPr>
          <w:sz w:val="20"/>
          <w:szCs w:val="20"/>
        </w:rPr>
        <w:t>Health</w:t>
      </w:r>
      <w:r>
        <w:rPr>
          <w:rFonts w:eastAsia="Arial"/>
          <w:sz w:val="20"/>
          <w:szCs w:val="20"/>
        </w:rPr>
        <w:t xml:space="preserve"> </w:t>
      </w:r>
      <w:r>
        <w:rPr>
          <w:sz w:val="20"/>
          <w:szCs w:val="20"/>
        </w:rPr>
        <w:t>Casework</w:t>
      </w:r>
      <w:r>
        <w:rPr>
          <w:rFonts w:eastAsia="Arial"/>
          <w:sz w:val="20"/>
          <w:szCs w:val="20"/>
        </w:rPr>
        <w:t xml:space="preserve"> </w:t>
      </w:r>
      <w:r>
        <w:rPr>
          <w:sz w:val="20"/>
          <w:szCs w:val="20"/>
        </w:rPr>
        <w:t>Section</w:t>
      </w:r>
      <w:r>
        <w:rPr>
          <w:rFonts w:eastAsia="Arial"/>
          <w:sz w:val="20"/>
          <w:szCs w:val="20"/>
        </w:rPr>
        <w:t xml:space="preserve"> </w:t>
      </w:r>
      <w:r>
        <w:rPr>
          <w:sz w:val="20"/>
          <w:szCs w:val="20"/>
        </w:rPr>
        <w:t>in</w:t>
      </w:r>
      <w:r>
        <w:rPr>
          <w:rFonts w:eastAsia="Arial"/>
          <w:sz w:val="20"/>
          <w:szCs w:val="20"/>
        </w:rPr>
        <w:t xml:space="preserve"> </w:t>
      </w:r>
      <w:r>
        <w:rPr>
          <w:sz w:val="20"/>
          <w:szCs w:val="20"/>
        </w:rPr>
        <w:t>PPG).</w:t>
      </w:r>
      <w:r>
        <w:rPr>
          <w:rFonts w:eastAsia="Arial"/>
          <w:sz w:val="20"/>
          <w:szCs w:val="20"/>
        </w:rPr>
        <w:t xml:space="preserve"> </w:t>
      </w:r>
      <w:r>
        <w:rPr>
          <w:sz w:val="20"/>
          <w:szCs w:val="20"/>
        </w:rPr>
        <w:t>The</w:t>
      </w:r>
      <w:r>
        <w:rPr>
          <w:rFonts w:eastAsia="Arial"/>
          <w:sz w:val="20"/>
          <w:szCs w:val="20"/>
        </w:rPr>
        <w:t xml:space="preserve"> </w:t>
      </w:r>
      <w:r>
        <w:rPr>
          <w:sz w:val="20"/>
          <w:szCs w:val="20"/>
        </w:rPr>
        <w:t>chapter</w:t>
      </w:r>
      <w:r>
        <w:rPr>
          <w:rFonts w:eastAsia="Arial"/>
          <w:sz w:val="20"/>
          <w:szCs w:val="20"/>
        </w:rPr>
        <w:t xml:space="preserve"> </w:t>
      </w:r>
      <w:r>
        <w:rPr>
          <w:sz w:val="20"/>
          <w:szCs w:val="20"/>
        </w:rPr>
        <w:t>also</w:t>
      </w:r>
      <w:r>
        <w:rPr>
          <w:rFonts w:eastAsia="Arial"/>
          <w:sz w:val="20"/>
          <w:szCs w:val="20"/>
        </w:rPr>
        <w:t xml:space="preserve"> </w:t>
      </w:r>
      <w:r>
        <w:rPr>
          <w:sz w:val="20"/>
          <w:szCs w:val="20"/>
        </w:rPr>
        <w:t>provides</w:t>
      </w:r>
      <w:r>
        <w:rPr>
          <w:rFonts w:eastAsia="Arial"/>
          <w:sz w:val="20"/>
          <w:szCs w:val="20"/>
        </w:rPr>
        <w:t xml:space="preserve"> </w:t>
      </w:r>
      <w:r>
        <w:rPr>
          <w:sz w:val="20"/>
          <w:szCs w:val="20"/>
        </w:rPr>
        <w:t>guidance</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tribunals,</w:t>
      </w:r>
      <w:r>
        <w:rPr>
          <w:rFonts w:eastAsia="Arial"/>
          <w:sz w:val="20"/>
          <w:szCs w:val="20"/>
        </w:rPr>
        <w:t xml:space="preserve"> </w:t>
      </w:r>
      <w:r>
        <w:rPr>
          <w:sz w:val="20"/>
          <w:szCs w:val="20"/>
        </w:rPr>
        <w:t>on</w:t>
      </w:r>
      <w:r>
        <w:rPr>
          <w:rFonts w:eastAsia="Arial"/>
          <w:sz w:val="20"/>
          <w:szCs w:val="20"/>
        </w:rPr>
        <w:t xml:space="preserve"> </w:t>
      </w:r>
      <w:r>
        <w:rPr>
          <w:sz w:val="20"/>
          <w:szCs w:val="20"/>
        </w:rPr>
        <w:t>information-sharing,</w:t>
      </w:r>
      <w:r>
        <w:rPr>
          <w:rFonts w:eastAsia="Arial"/>
          <w:sz w:val="20"/>
          <w:szCs w:val="20"/>
        </w:rPr>
        <w:t xml:space="preserve"> </w:t>
      </w:r>
      <w:r>
        <w:rPr>
          <w:sz w:val="20"/>
          <w:szCs w:val="20"/>
        </w:rPr>
        <w:t>and</w:t>
      </w:r>
      <w:r>
        <w:rPr>
          <w:rFonts w:eastAsia="Arial"/>
          <w:sz w:val="20"/>
          <w:szCs w:val="20"/>
        </w:rPr>
        <w:t xml:space="preserve"> </w:t>
      </w:r>
      <w:r>
        <w:rPr>
          <w:sz w:val="20"/>
          <w:szCs w:val="20"/>
        </w:rPr>
        <w:t>on</w:t>
      </w:r>
      <w:r>
        <w:rPr>
          <w:rFonts w:eastAsia="Arial"/>
          <w:sz w:val="20"/>
          <w:szCs w:val="20"/>
        </w:rPr>
        <w:t xml:space="preserve"> </w:t>
      </w:r>
      <w:r>
        <w:rPr>
          <w:sz w:val="20"/>
          <w:szCs w:val="20"/>
        </w:rPr>
        <w:t>the</w:t>
      </w:r>
      <w:r>
        <w:rPr>
          <w:rFonts w:eastAsia="Arial"/>
          <w:sz w:val="20"/>
          <w:szCs w:val="20"/>
        </w:rPr>
        <w:t xml:space="preserve"> </w:t>
      </w:r>
      <w:r>
        <w:rPr>
          <w:sz w:val="20"/>
          <w:szCs w:val="20"/>
        </w:rPr>
        <w:t>rights</w:t>
      </w:r>
      <w:r>
        <w:rPr>
          <w:rFonts w:eastAsia="Arial"/>
          <w:sz w:val="20"/>
          <w:szCs w:val="20"/>
        </w:rPr>
        <w:t xml:space="preserve"> </w:t>
      </w:r>
      <w:r>
        <w:rPr>
          <w:sz w:val="20"/>
          <w:szCs w:val="20"/>
        </w:rPr>
        <w:t>of</w:t>
      </w:r>
      <w:r>
        <w:rPr>
          <w:rFonts w:eastAsia="Arial"/>
          <w:sz w:val="20"/>
          <w:szCs w:val="20"/>
        </w:rPr>
        <w:t xml:space="preserve"> </w:t>
      </w:r>
      <w:r>
        <w:rPr>
          <w:sz w:val="20"/>
          <w:szCs w:val="20"/>
        </w:rPr>
        <w:t>victims</w:t>
      </w:r>
      <w:r>
        <w:rPr>
          <w:rFonts w:eastAsia="Arial"/>
          <w:sz w:val="20"/>
          <w:szCs w:val="20"/>
        </w:rPr>
        <w:t xml:space="preserve"> </w:t>
      </w:r>
      <w:r>
        <w:rPr>
          <w:sz w:val="20"/>
          <w:szCs w:val="20"/>
        </w:rPr>
        <w:t>of</w:t>
      </w:r>
      <w:r>
        <w:rPr>
          <w:rFonts w:eastAsia="Arial"/>
          <w:sz w:val="20"/>
          <w:szCs w:val="20"/>
        </w:rPr>
        <w:t xml:space="preserve"> </w:t>
      </w:r>
      <w:r>
        <w:rPr>
          <w:sz w:val="20"/>
          <w:szCs w:val="20"/>
        </w:rPr>
        <w:t>mentally</w:t>
      </w:r>
      <w:r>
        <w:rPr>
          <w:rFonts w:eastAsia="Arial"/>
          <w:sz w:val="20"/>
          <w:szCs w:val="20"/>
        </w:rPr>
        <w:t xml:space="preserve"> </w:t>
      </w:r>
      <w:r>
        <w:rPr>
          <w:sz w:val="20"/>
          <w:szCs w:val="20"/>
        </w:rPr>
        <w:t>disordered</w:t>
      </w:r>
      <w:r>
        <w:rPr>
          <w:rFonts w:eastAsia="Arial"/>
          <w:sz w:val="20"/>
          <w:szCs w:val="20"/>
        </w:rPr>
        <w:t xml:space="preserve"> </w:t>
      </w:r>
      <w:r>
        <w:rPr>
          <w:sz w:val="20"/>
          <w:szCs w:val="20"/>
        </w:rPr>
        <w:t>offenders.</w:t>
      </w:r>
    </w:p>
    <w:p w14:paraId="198A6850" w14:textId="77777777" w:rsidR="00F2123B" w:rsidRDefault="00F2123B">
      <w:pPr>
        <w:pStyle w:val="Bullet"/>
        <w:tabs>
          <w:tab w:val="clear" w:pos="720"/>
        </w:tabs>
        <w:spacing w:line="280" w:lineRule="atLeast"/>
        <w:ind w:left="0" w:firstLine="0"/>
        <w:rPr>
          <w:b/>
          <w:szCs w:val="24"/>
        </w:rPr>
      </w:pPr>
    </w:p>
    <w:p w14:paraId="198A6851" w14:textId="77777777" w:rsidR="00F2123B" w:rsidRDefault="00200CFB">
      <w:pPr>
        <w:pStyle w:val="Bullet"/>
        <w:tabs>
          <w:tab w:val="clear" w:pos="720"/>
        </w:tabs>
        <w:spacing w:line="280" w:lineRule="atLeast"/>
        <w:ind w:left="0" w:firstLine="0"/>
      </w:pPr>
      <w:r>
        <w:rPr>
          <w:b/>
          <w:szCs w:val="24"/>
        </w:rPr>
        <w:t>Other</w:t>
      </w:r>
      <w:r>
        <w:rPr>
          <w:rFonts w:eastAsia="Arial"/>
          <w:b/>
          <w:szCs w:val="24"/>
        </w:rPr>
        <w:t xml:space="preserve"> </w:t>
      </w:r>
      <w:r>
        <w:rPr>
          <w:b/>
          <w:szCs w:val="24"/>
        </w:rPr>
        <w:t>police</w:t>
      </w:r>
      <w:r>
        <w:rPr>
          <w:rFonts w:eastAsia="Arial"/>
          <w:b/>
          <w:szCs w:val="24"/>
        </w:rPr>
        <w:t xml:space="preserve"> </w:t>
      </w:r>
      <w:r>
        <w:rPr>
          <w:b/>
          <w:szCs w:val="24"/>
        </w:rPr>
        <w:t>forces</w:t>
      </w:r>
      <w:r>
        <w:rPr>
          <w:b/>
          <w:szCs w:val="24"/>
        </w:rPr>
        <w:br/>
      </w:r>
      <w:r>
        <w:rPr>
          <w:sz w:val="20"/>
          <w:szCs w:val="20"/>
        </w:rPr>
        <w:t>1.32</w:t>
      </w:r>
      <w:r>
        <w:rPr>
          <w:b/>
          <w:szCs w:val="24"/>
        </w:rPr>
        <w:tab/>
      </w:r>
      <w:r>
        <w:rPr>
          <w:sz w:val="20"/>
          <w:szCs w:val="20"/>
        </w:rPr>
        <w:t>This</w:t>
      </w:r>
      <w:r>
        <w:rPr>
          <w:rFonts w:eastAsia="Arial"/>
          <w:sz w:val="20"/>
          <w:szCs w:val="20"/>
        </w:rPr>
        <w:t xml:space="preserve"> </w:t>
      </w:r>
      <w:r>
        <w:rPr>
          <w:sz w:val="20"/>
          <w:szCs w:val="20"/>
        </w:rPr>
        <w:t>chapter</w:t>
      </w:r>
      <w:r>
        <w:rPr>
          <w:rFonts w:eastAsia="Arial"/>
          <w:sz w:val="20"/>
          <w:szCs w:val="20"/>
        </w:rPr>
        <w:t xml:space="preserve"> </w:t>
      </w:r>
      <w:r>
        <w:rPr>
          <w:sz w:val="20"/>
          <w:szCs w:val="20"/>
        </w:rPr>
        <w:t>explains</w:t>
      </w:r>
      <w:r>
        <w:rPr>
          <w:rFonts w:eastAsia="Arial"/>
          <w:sz w:val="20"/>
          <w:szCs w:val="20"/>
        </w:rPr>
        <w:t xml:space="preserve"> </w:t>
      </w:r>
      <w:r>
        <w:rPr>
          <w:sz w:val="20"/>
          <w:szCs w:val="20"/>
        </w:rPr>
        <w:t>the</w:t>
      </w:r>
      <w:r>
        <w:rPr>
          <w:rFonts w:eastAsia="Arial"/>
          <w:sz w:val="20"/>
          <w:szCs w:val="20"/>
        </w:rPr>
        <w:t xml:space="preserve"> </w:t>
      </w:r>
      <w:r>
        <w:rPr>
          <w:sz w:val="20"/>
          <w:szCs w:val="20"/>
        </w:rPr>
        <w:t>role</w:t>
      </w:r>
      <w:r>
        <w:rPr>
          <w:rFonts w:eastAsia="Arial"/>
          <w:sz w:val="20"/>
          <w:szCs w:val="20"/>
        </w:rPr>
        <w:t xml:space="preserve"> </w:t>
      </w:r>
      <w:r>
        <w:rPr>
          <w:sz w:val="20"/>
          <w:szCs w:val="20"/>
        </w:rPr>
        <w:t>of</w:t>
      </w:r>
      <w:r>
        <w:rPr>
          <w:rFonts w:eastAsia="Arial"/>
          <w:sz w:val="20"/>
          <w:szCs w:val="20"/>
        </w:rPr>
        <w:t xml:space="preserve"> </w:t>
      </w:r>
      <w:r>
        <w:rPr>
          <w:sz w:val="20"/>
          <w:szCs w:val="20"/>
        </w:rPr>
        <w:t>specialist</w:t>
      </w:r>
      <w:r>
        <w:rPr>
          <w:rFonts w:eastAsia="Arial"/>
          <w:sz w:val="20"/>
          <w:szCs w:val="20"/>
        </w:rPr>
        <w:t xml:space="preserve"> </w:t>
      </w:r>
      <w:r>
        <w:rPr>
          <w:sz w:val="20"/>
          <w:szCs w:val="20"/>
        </w:rPr>
        <w:t>police</w:t>
      </w:r>
      <w:r>
        <w:rPr>
          <w:rFonts w:eastAsia="Arial"/>
          <w:sz w:val="20"/>
          <w:szCs w:val="20"/>
        </w:rPr>
        <w:t xml:space="preserve"> </w:t>
      </w:r>
      <w:r>
        <w:rPr>
          <w:sz w:val="20"/>
          <w:szCs w:val="20"/>
        </w:rPr>
        <w:t>forces,</w:t>
      </w:r>
      <w:r>
        <w:rPr>
          <w:rFonts w:eastAsia="Arial"/>
          <w:sz w:val="20"/>
          <w:szCs w:val="20"/>
        </w:rPr>
        <w:t xml:space="preserve"> </w:t>
      </w:r>
      <w:r>
        <w:rPr>
          <w:sz w:val="20"/>
          <w:szCs w:val="20"/>
        </w:rPr>
        <w:t>such</w:t>
      </w:r>
      <w:r>
        <w:rPr>
          <w:rFonts w:eastAsia="Arial"/>
          <w:sz w:val="20"/>
          <w:szCs w:val="20"/>
        </w:rPr>
        <w:t xml:space="preserve"> </w:t>
      </w:r>
      <w:r>
        <w:rPr>
          <w:sz w:val="20"/>
          <w:szCs w:val="20"/>
        </w:rPr>
        <w:t>as</w:t>
      </w:r>
      <w:r>
        <w:rPr>
          <w:rFonts w:eastAsia="Arial"/>
          <w:sz w:val="20"/>
          <w:szCs w:val="20"/>
        </w:rPr>
        <w:t xml:space="preserve"> </w:t>
      </w:r>
      <w:r>
        <w:rPr>
          <w:sz w:val="20"/>
          <w:szCs w:val="20"/>
        </w:rPr>
        <w:t>the</w:t>
      </w:r>
      <w:r>
        <w:rPr>
          <w:rFonts w:eastAsia="Arial"/>
          <w:sz w:val="20"/>
          <w:szCs w:val="20"/>
        </w:rPr>
        <w:t xml:space="preserve"> </w:t>
      </w:r>
      <w:r>
        <w:rPr>
          <w:sz w:val="20"/>
          <w:szCs w:val="20"/>
        </w:rPr>
        <w:t>British</w:t>
      </w:r>
      <w:r>
        <w:rPr>
          <w:rFonts w:eastAsia="Arial"/>
          <w:sz w:val="20"/>
          <w:szCs w:val="20"/>
        </w:rPr>
        <w:t xml:space="preserve"> </w:t>
      </w:r>
      <w:r>
        <w:rPr>
          <w:sz w:val="20"/>
          <w:szCs w:val="20"/>
        </w:rPr>
        <w:t>Transport</w:t>
      </w:r>
      <w:r>
        <w:rPr>
          <w:rFonts w:eastAsia="Arial"/>
          <w:sz w:val="20"/>
          <w:szCs w:val="20"/>
        </w:rPr>
        <w:t xml:space="preserve"> </w:t>
      </w:r>
      <w:r>
        <w:rPr>
          <w:sz w:val="20"/>
          <w:szCs w:val="20"/>
        </w:rPr>
        <w:t>Police</w:t>
      </w:r>
      <w:r>
        <w:rPr>
          <w:rFonts w:eastAsia="Arial"/>
          <w:sz w:val="20"/>
          <w:szCs w:val="20"/>
        </w:rPr>
        <w:t xml:space="preserve"> </w:t>
      </w:r>
      <w:r>
        <w:rPr>
          <w:sz w:val="20"/>
          <w:szCs w:val="20"/>
        </w:rPr>
        <w:t>and</w:t>
      </w:r>
      <w:r>
        <w:rPr>
          <w:rFonts w:eastAsia="Arial"/>
          <w:sz w:val="20"/>
          <w:szCs w:val="20"/>
        </w:rPr>
        <w:t xml:space="preserve"> </w:t>
      </w:r>
      <w:r>
        <w:rPr>
          <w:sz w:val="20"/>
          <w:szCs w:val="20"/>
        </w:rPr>
        <w:t>the</w:t>
      </w:r>
      <w:r>
        <w:rPr>
          <w:rFonts w:eastAsia="Arial"/>
          <w:sz w:val="20"/>
          <w:szCs w:val="20"/>
        </w:rPr>
        <w:t xml:space="preserve"> </w:t>
      </w:r>
      <w:r>
        <w:rPr>
          <w:sz w:val="20"/>
          <w:szCs w:val="20"/>
        </w:rPr>
        <w:t>Royal</w:t>
      </w:r>
      <w:r>
        <w:rPr>
          <w:rFonts w:eastAsia="Arial"/>
          <w:sz w:val="20"/>
          <w:szCs w:val="20"/>
        </w:rPr>
        <w:t xml:space="preserve"> </w:t>
      </w:r>
      <w:r>
        <w:rPr>
          <w:sz w:val="20"/>
          <w:szCs w:val="20"/>
        </w:rPr>
        <w:t>Military</w:t>
      </w:r>
      <w:r>
        <w:rPr>
          <w:rFonts w:eastAsia="Arial"/>
          <w:sz w:val="20"/>
          <w:szCs w:val="20"/>
        </w:rPr>
        <w:t xml:space="preserve"> </w:t>
      </w:r>
      <w:r>
        <w:rPr>
          <w:sz w:val="20"/>
          <w:szCs w:val="20"/>
        </w:rPr>
        <w:t>Police,</w:t>
      </w:r>
      <w:r>
        <w:rPr>
          <w:rFonts w:eastAsia="Arial"/>
          <w:sz w:val="20"/>
          <w:szCs w:val="20"/>
        </w:rPr>
        <w:t xml:space="preserve"> </w:t>
      </w:r>
      <w:r>
        <w:rPr>
          <w:sz w:val="20"/>
          <w:szCs w:val="20"/>
        </w:rPr>
        <w:t>in</w:t>
      </w:r>
      <w:r>
        <w:rPr>
          <w:rFonts w:eastAsia="Arial"/>
          <w:sz w:val="20"/>
          <w:szCs w:val="20"/>
        </w:rPr>
        <w:t xml:space="preserve"> </w:t>
      </w:r>
      <w:r>
        <w:rPr>
          <w:sz w:val="20"/>
          <w:szCs w:val="20"/>
        </w:rPr>
        <w:t>relation</w:t>
      </w:r>
      <w:r>
        <w:rPr>
          <w:rFonts w:eastAsia="Arial"/>
          <w:sz w:val="20"/>
          <w:szCs w:val="20"/>
        </w:rPr>
        <w:t xml:space="preserve"> </w:t>
      </w:r>
      <w:r>
        <w:rPr>
          <w:sz w:val="20"/>
          <w:szCs w:val="20"/>
        </w:rPr>
        <w:t>to</w:t>
      </w:r>
      <w:r>
        <w:rPr>
          <w:rFonts w:eastAsia="Arial"/>
          <w:sz w:val="20"/>
          <w:szCs w:val="20"/>
        </w:rPr>
        <w:t xml:space="preserve"> </w:t>
      </w:r>
      <w:r>
        <w:rPr>
          <w:sz w:val="20"/>
          <w:szCs w:val="20"/>
        </w:rPr>
        <w:t>MAPPA.</w:t>
      </w:r>
      <w:r>
        <w:rPr>
          <w:rFonts w:eastAsia="Arial"/>
          <w:sz w:val="20"/>
          <w:szCs w:val="20"/>
        </w:rPr>
        <w:t xml:space="preserve"> </w:t>
      </w:r>
      <w:r>
        <w:rPr>
          <w:sz w:val="20"/>
          <w:szCs w:val="20"/>
        </w:rPr>
        <w:t>These</w:t>
      </w:r>
      <w:r>
        <w:rPr>
          <w:rFonts w:eastAsia="Arial"/>
          <w:sz w:val="20"/>
          <w:szCs w:val="20"/>
        </w:rPr>
        <w:t xml:space="preserve"> </w:t>
      </w:r>
      <w:r>
        <w:rPr>
          <w:sz w:val="20"/>
          <w:szCs w:val="20"/>
        </w:rPr>
        <w:t>forces</w:t>
      </w:r>
      <w:r>
        <w:rPr>
          <w:rFonts w:eastAsia="Arial"/>
          <w:sz w:val="20"/>
          <w:szCs w:val="20"/>
        </w:rPr>
        <w:t xml:space="preserve"> </w:t>
      </w:r>
      <w:r>
        <w:rPr>
          <w:sz w:val="20"/>
          <w:szCs w:val="20"/>
        </w:rPr>
        <w:t>are</w:t>
      </w:r>
      <w:r>
        <w:rPr>
          <w:rFonts w:eastAsia="Arial"/>
          <w:sz w:val="20"/>
          <w:szCs w:val="20"/>
        </w:rPr>
        <w:t xml:space="preserve"> </w:t>
      </w:r>
      <w:r>
        <w:rPr>
          <w:sz w:val="20"/>
          <w:szCs w:val="20"/>
        </w:rPr>
        <w:t>not</w:t>
      </w:r>
      <w:r>
        <w:rPr>
          <w:rFonts w:eastAsia="Arial"/>
          <w:sz w:val="20"/>
          <w:szCs w:val="20"/>
        </w:rPr>
        <w:t xml:space="preserve"> </w:t>
      </w:r>
      <w:r>
        <w:rPr>
          <w:sz w:val="20"/>
          <w:szCs w:val="20"/>
        </w:rPr>
        <w:t>members</w:t>
      </w:r>
      <w:r>
        <w:rPr>
          <w:rFonts w:eastAsia="Arial"/>
          <w:sz w:val="20"/>
          <w:szCs w:val="20"/>
        </w:rPr>
        <w:t xml:space="preserve"> </w:t>
      </w:r>
      <w:r>
        <w:rPr>
          <w:sz w:val="20"/>
          <w:szCs w:val="20"/>
        </w:rPr>
        <w:t>of</w:t>
      </w:r>
      <w:r>
        <w:rPr>
          <w:rFonts w:eastAsia="Arial"/>
          <w:sz w:val="20"/>
          <w:szCs w:val="20"/>
        </w:rPr>
        <w:t xml:space="preserve"> </w:t>
      </w:r>
      <w:r>
        <w:rPr>
          <w:sz w:val="20"/>
          <w:szCs w:val="20"/>
        </w:rPr>
        <w:t>the</w:t>
      </w:r>
      <w:r>
        <w:rPr>
          <w:rFonts w:eastAsia="Arial"/>
          <w:sz w:val="20"/>
          <w:szCs w:val="20"/>
        </w:rPr>
        <w:t xml:space="preserve"> </w:t>
      </w:r>
      <w:r>
        <w:rPr>
          <w:sz w:val="20"/>
          <w:szCs w:val="20"/>
        </w:rPr>
        <w:t>Responsible Authority</w:t>
      </w:r>
      <w:r>
        <w:rPr>
          <w:rFonts w:eastAsia="Arial"/>
          <w:sz w:val="20"/>
          <w:szCs w:val="20"/>
        </w:rPr>
        <w:t xml:space="preserve"> </w:t>
      </w:r>
      <w:r>
        <w:rPr>
          <w:sz w:val="20"/>
          <w:szCs w:val="20"/>
        </w:rPr>
        <w:t>or</w:t>
      </w:r>
      <w:r>
        <w:rPr>
          <w:rFonts w:eastAsia="Arial"/>
          <w:sz w:val="20"/>
          <w:szCs w:val="20"/>
        </w:rPr>
        <w:t xml:space="preserve"> </w:t>
      </w:r>
      <w:r>
        <w:rPr>
          <w:sz w:val="20"/>
          <w:szCs w:val="20"/>
        </w:rPr>
        <w:t>DTC</w:t>
      </w:r>
      <w:r>
        <w:rPr>
          <w:rFonts w:eastAsia="Arial"/>
          <w:sz w:val="20"/>
          <w:szCs w:val="20"/>
        </w:rPr>
        <w:t xml:space="preserve"> </w:t>
      </w:r>
      <w:r>
        <w:rPr>
          <w:sz w:val="20"/>
          <w:szCs w:val="20"/>
        </w:rPr>
        <w:t>agencies,</w:t>
      </w:r>
      <w:r>
        <w:rPr>
          <w:rFonts w:eastAsia="Arial"/>
          <w:sz w:val="20"/>
          <w:szCs w:val="20"/>
        </w:rPr>
        <w:t xml:space="preserve"> </w:t>
      </w:r>
      <w:r>
        <w:rPr>
          <w:sz w:val="20"/>
          <w:szCs w:val="20"/>
        </w:rPr>
        <w:t>but</w:t>
      </w:r>
      <w:r>
        <w:rPr>
          <w:rFonts w:eastAsia="Arial"/>
          <w:sz w:val="20"/>
          <w:szCs w:val="20"/>
        </w:rPr>
        <w:t xml:space="preserve"> </w:t>
      </w:r>
      <w:r>
        <w:rPr>
          <w:sz w:val="20"/>
          <w:szCs w:val="20"/>
        </w:rPr>
        <w:t>may</w:t>
      </w:r>
      <w:r>
        <w:rPr>
          <w:rFonts w:eastAsia="Arial"/>
          <w:sz w:val="20"/>
          <w:szCs w:val="20"/>
        </w:rPr>
        <w:t xml:space="preserve"> </w:t>
      </w:r>
      <w:r>
        <w:rPr>
          <w:sz w:val="20"/>
          <w:szCs w:val="20"/>
        </w:rPr>
        <w:t>need</w:t>
      </w:r>
      <w:r>
        <w:rPr>
          <w:rFonts w:eastAsia="Arial"/>
          <w:sz w:val="20"/>
          <w:szCs w:val="20"/>
        </w:rPr>
        <w:t xml:space="preserve"> </w:t>
      </w:r>
      <w:r>
        <w:rPr>
          <w:sz w:val="20"/>
          <w:szCs w:val="20"/>
        </w:rPr>
        <w:t>to</w:t>
      </w:r>
      <w:r>
        <w:rPr>
          <w:rFonts w:eastAsia="Arial"/>
          <w:sz w:val="20"/>
          <w:szCs w:val="20"/>
        </w:rPr>
        <w:t xml:space="preserve"> </w:t>
      </w:r>
      <w:r>
        <w:rPr>
          <w:sz w:val="20"/>
          <w:szCs w:val="20"/>
        </w:rPr>
        <w:t>contribute</w:t>
      </w:r>
      <w:r>
        <w:rPr>
          <w:rFonts w:eastAsia="Arial"/>
          <w:sz w:val="20"/>
          <w:szCs w:val="20"/>
        </w:rPr>
        <w:t xml:space="preserve"> </w:t>
      </w:r>
      <w:r>
        <w:rPr>
          <w:sz w:val="20"/>
          <w:szCs w:val="20"/>
        </w:rPr>
        <w:t>to</w:t>
      </w:r>
      <w:r>
        <w:rPr>
          <w:rFonts w:eastAsia="Arial"/>
          <w:sz w:val="20"/>
          <w:szCs w:val="20"/>
        </w:rPr>
        <w:t xml:space="preserve"> </w:t>
      </w:r>
      <w:r>
        <w:rPr>
          <w:sz w:val="20"/>
          <w:szCs w:val="20"/>
        </w:rPr>
        <w:t>the</w:t>
      </w:r>
      <w:r>
        <w:rPr>
          <w:rFonts w:eastAsia="Arial"/>
          <w:sz w:val="20"/>
          <w:szCs w:val="20"/>
        </w:rPr>
        <w:t xml:space="preserve"> </w:t>
      </w:r>
      <w:r>
        <w:rPr>
          <w:sz w:val="20"/>
          <w:szCs w:val="20"/>
        </w:rPr>
        <w:t>management</w:t>
      </w:r>
      <w:r>
        <w:rPr>
          <w:rFonts w:eastAsia="Arial"/>
          <w:sz w:val="20"/>
          <w:szCs w:val="20"/>
        </w:rPr>
        <w:t xml:space="preserve"> </w:t>
      </w:r>
      <w:r>
        <w:rPr>
          <w:sz w:val="20"/>
          <w:szCs w:val="20"/>
        </w:rPr>
        <w:t>of</w:t>
      </w:r>
      <w:r>
        <w:rPr>
          <w:rFonts w:eastAsia="Arial"/>
          <w:sz w:val="20"/>
          <w:szCs w:val="20"/>
        </w:rPr>
        <w:t xml:space="preserve"> </w:t>
      </w:r>
      <w:r>
        <w:rPr>
          <w:sz w:val="20"/>
          <w:szCs w:val="20"/>
        </w:rPr>
        <w:t>MAPPA</w:t>
      </w:r>
      <w:r>
        <w:rPr>
          <w:rFonts w:eastAsia="Arial"/>
          <w:sz w:val="20"/>
          <w:szCs w:val="20"/>
        </w:rPr>
        <w:t xml:space="preserve"> </w:t>
      </w:r>
      <w:r>
        <w:rPr>
          <w:sz w:val="20"/>
          <w:szCs w:val="20"/>
        </w:rPr>
        <w:t>offenders</w:t>
      </w:r>
      <w:r>
        <w:rPr>
          <w:rFonts w:eastAsia="Arial"/>
          <w:sz w:val="20"/>
          <w:szCs w:val="20"/>
        </w:rPr>
        <w:t xml:space="preserve"> </w:t>
      </w:r>
      <w:r>
        <w:rPr>
          <w:sz w:val="20"/>
          <w:szCs w:val="20"/>
        </w:rPr>
        <w:t>in</w:t>
      </w:r>
      <w:r>
        <w:rPr>
          <w:rFonts w:eastAsia="Arial"/>
          <w:sz w:val="20"/>
          <w:szCs w:val="20"/>
        </w:rPr>
        <w:t xml:space="preserve"> </w:t>
      </w:r>
      <w:r>
        <w:rPr>
          <w:sz w:val="20"/>
          <w:szCs w:val="20"/>
        </w:rPr>
        <w:t>certain</w:t>
      </w:r>
      <w:r>
        <w:rPr>
          <w:rFonts w:eastAsia="Arial"/>
          <w:sz w:val="20"/>
          <w:szCs w:val="20"/>
        </w:rPr>
        <w:t xml:space="preserve"> </w:t>
      </w:r>
      <w:r>
        <w:rPr>
          <w:sz w:val="20"/>
          <w:szCs w:val="20"/>
        </w:rPr>
        <w:t>cases.</w:t>
      </w:r>
      <w:r>
        <w:rPr>
          <w:b/>
          <w:szCs w:val="24"/>
        </w:rPr>
        <w:br/>
      </w:r>
    </w:p>
    <w:p w14:paraId="198A685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Regulation</w:t>
      </w:r>
      <w:r>
        <w:rPr>
          <w:rFonts w:eastAsia="Arial"/>
          <w:sz w:val="28"/>
          <w:szCs w:val="28"/>
        </w:rPr>
        <w:t xml:space="preserve"> </w:t>
      </w:r>
      <w:r>
        <w:rPr>
          <w:sz w:val="28"/>
          <w:szCs w:val="28"/>
        </w:rPr>
        <w:t>and</w:t>
      </w:r>
      <w:r>
        <w:rPr>
          <w:rFonts w:eastAsia="Arial"/>
          <w:sz w:val="28"/>
          <w:szCs w:val="28"/>
        </w:rPr>
        <w:t xml:space="preserve"> </w:t>
      </w:r>
      <w:r>
        <w:rPr>
          <w:sz w:val="28"/>
          <w:szCs w:val="28"/>
        </w:rPr>
        <w:t>review</w:t>
      </w:r>
    </w:p>
    <w:p w14:paraId="198A6853" w14:textId="77777777" w:rsidR="00F2123B" w:rsidRDefault="00F2123B">
      <w:pPr>
        <w:spacing w:line="280" w:lineRule="atLeast"/>
        <w:rPr>
          <w:rFonts w:ascii="Arial" w:hAnsi="Arial" w:cs="Arial"/>
          <w:sz w:val="20"/>
          <w:szCs w:val="20"/>
        </w:rPr>
      </w:pPr>
    </w:p>
    <w:p w14:paraId="198A6854"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Co-ordination</w:t>
      </w:r>
    </w:p>
    <w:p w14:paraId="198A6855" w14:textId="5914C5F6" w:rsidR="00F2123B" w:rsidRDefault="00200CFB">
      <w:pPr>
        <w:spacing w:line="280" w:lineRule="atLeast"/>
      </w:pPr>
      <w:r>
        <w:rPr>
          <w:rFonts w:ascii="Arial" w:hAnsi="Arial" w:cs="Arial"/>
          <w:sz w:val="20"/>
          <w:szCs w:val="20"/>
        </w:rPr>
        <w:t>1.33</w:t>
      </w:r>
      <w:r>
        <w:rPr>
          <w:rFonts w:ascii="Arial" w:hAnsi="Arial" w:cs="Arial"/>
          <w:sz w:val="20"/>
          <w:szCs w:val="20"/>
        </w:rPr>
        <w:tab/>
        <w:t>One</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important</w:t>
      </w:r>
      <w:r>
        <w:rPr>
          <w:rFonts w:ascii="Arial" w:eastAsia="Arial" w:hAnsi="Arial" w:cs="Arial"/>
          <w:sz w:val="20"/>
          <w:szCs w:val="20"/>
        </w:rPr>
        <w:t xml:space="preserve"> </w:t>
      </w:r>
      <w:r>
        <w:rPr>
          <w:rFonts w:ascii="Arial" w:hAnsi="Arial" w:cs="Arial"/>
          <w:sz w:val="20"/>
          <w:szCs w:val="20"/>
        </w:rPr>
        <w:t>role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co-ordinating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sidR="007E0231">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behalf</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accountable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Most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although</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role.</w:t>
      </w:r>
    </w:p>
    <w:p w14:paraId="198A6856" w14:textId="77777777" w:rsidR="00F2123B" w:rsidRDefault="00F2123B"/>
    <w:p w14:paraId="198A6858" w14:textId="77777777" w:rsidR="00F2123B" w:rsidRDefault="00200CFB">
      <w:pPr>
        <w:spacing w:line="280" w:lineRule="atLeast"/>
        <w:rPr>
          <w:rFonts w:ascii="Arial" w:hAnsi="Arial" w:cs="Arial"/>
          <w:b/>
        </w:rPr>
      </w:pPr>
      <w:r>
        <w:rPr>
          <w:rFonts w:ascii="Arial" w:hAnsi="Arial" w:cs="Arial"/>
          <w:b/>
        </w:rPr>
        <w:t>Complaints</w:t>
      </w:r>
    </w:p>
    <w:p w14:paraId="198A6859" w14:textId="77777777" w:rsidR="00F2123B" w:rsidRDefault="00200CFB">
      <w:pPr>
        <w:spacing w:line="280" w:lineRule="atLeast"/>
      </w:pPr>
      <w:r>
        <w:rPr>
          <w:rFonts w:ascii="Arial" w:hAnsi="Arial" w:cs="Arial"/>
          <w:sz w:val="20"/>
          <w:szCs w:val="20"/>
        </w:rPr>
        <w:t>1.34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procedure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relate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process</w:t>
      </w:r>
      <w:r>
        <w:rPr>
          <w:rFonts w:ascii="Arial" w:eastAsia="Arial" w:hAnsi="Arial" w:cs="Arial"/>
          <w:sz w:val="20"/>
          <w:szCs w:val="20"/>
        </w:rPr>
        <w:t xml:space="preserve"> </w:t>
      </w:r>
      <w:r>
        <w:rPr>
          <w:rFonts w:ascii="Arial" w:hAnsi="Arial" w:cs="Arial"/>
          <w:sz w:val="20"/>
          <w:szCs w:val="20"/>
        </w:rPr>
        <w:t>itself.</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already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complaints</w:t>
      </w:r>
      <w:r>
        <w:rPr>
          <w:rFonts w:ascii="Arial" w:eastAsia="Arial" w:hAnsi="Arial" w:cs="Arial"/>
          <w:sz w:val="20"/>
          <w:szCs w:val="20"/>
        </w:rPr>
        <w:t xml:space="preserve"> </w:t>
      </w:r>
      <w:r>
        <w:rPr>
          <w:rFonts w:ascii="Arial" w:hAnsi="Arial" w:cs="Arial"/>
          <w:sz w:val="20"/>
          <w:szCs w:val="20"/>
        </w:rPr>
        <w:t>against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p>
    <w:p w14:paraId="198A685A" w14:textId="77777777" w:rsidR="00F2123B" w:rsidRDefault="00F2123B">
      <w:pPr>
        <w:spacing w:line="280" w:lineRule="atLeast"/>
        <w:rPr>
          <w:rFonts w:ascii="Arial" w:hAnsi="Arial" w:cs="Arial"/>
          <w:sz w:val="20"/>
          <w:szCs w:val="20"/>
        </w:rPr>
      </w:pPr>
    </w:p>
    <w:p w14:paraId="198A685B" w14:textId="77777777" w:rsidR="00F2123B" w:rsidRDefault="00200CFB">
      <w:pPr>
        <w:spacing w:line="280" w:lineRule="atLeast"/>
      </w:pPr>
      <w:r>
        <w:rPr>
          <w:rFonts w:ascii="Arial" w:hAnsi="Arial" w:cs="Arial"/>
          <w:b/>
        </w:rPr>
        <w:t>Governance</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p>
    <w:p w14:paraId="198A685C" w14:textId="0DFFF3C2" w:rsidR="00F2123B" w:rsidRDefault="00200CFB">
      <w:pPr>
        <w:spacing w:line="280" w:lineRule="atLeast"/>
      </w:pPr>
      <w:r>
        <w:rPr>
          <w:rFonts w:ascii="Arial" w:hAnsi="Arial" w:cs="Arial"/>
          <w:sz w:val="20"/>
        </w:rPr>
        <w:t>1.35</w:t>
      </w:r>
      <w:r>
        <w:rPr>
          <w:rFonts w:ascii="Arial" w:hAnsi="Arial" w:cs="Arial"/>
          <w:sz w:val="20"/>
        </w:rPr>
        <w:tab/>
        <w:t>This</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summarises</w:t>
      </w:r>
      <w:r>
        <w:rPr>
          <w:rFonts w:ascii="Arial" w:eastAsia="Arial" w:hAnsi="Arial" w:cs="Arial"/>
          <w:sz w:val="20"/>
        </w:rPr>
        <w:t xml:space="preserve"> </w:t>
      </w:r>
      <w:r>
        <w:rPr>
          <w:rFonts w:ascii="Arial" w:hAnsi="Arial" w:cs="Arial"/>
          <w:sz w:val="20"/>
        </w:rPr>
        <w:t>some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structures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Steering</w:t>
      </w:r>
      <w:r>
        <w:rPr>
          <w:rFonts w:ascii="Arial" w:eastAsia="Arial" w:hAnsi="Arial" w:cs="Arial"/>
          <w:sz w:val="20"/>
        </w:rPr>
        <w:t xml:space="preserve"> </w:t>
      </w:r>
      <w:r>
        <w:rPr>
          <w:rFonts w:ascii="Arial" w:hAnsi="Arial" w:cs="Arial"/>
          <w:sz w:val="20"/>
        </w:rPr>
        <w:t>Group</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MPPG,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Workgroup,</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protection</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forums,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groups</w:t>
      </w:r>
      <w:r>
        <w:rPr>
          <w:rFonts w:ascii="Arial" w:eastAsia="Arial" w:hAnsi="Arial" w:cs="Arial"/>
          <w:sz w:val="20"/>
        </w:rPr>
        <w:t xml:space="preserve"> </w:t>
      </w:r>
      <w:r>
        <w:rPr>
          <w:rFonts w:ascii="Arial" w:hAnsi="Arial" w:cs="Arial"/>
          <w:sz w:val="20"/>
        </w:rPr>
        <w:t>relating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ViSOR.</w:t>
      </w:r>
    </w:p>
    <w:p w14:paraId="198A685D" w14:textId="77777777" w:rsidR="00F2123B" w:rsidRDefault="00F2123B">
      <w:pPr>
        <w:spacing w:line="280" w:lineRule="atLeast"/>
        <w:rPr>
          <w:rFonts w:ascii="Arial" w:hAnsi="Arial" w:cs="Arial"/>
          <w:sz w:val="20"/>
          <w:szCs w:val="20"/>
        </w:rPr>
      </w:pPr>
    </w:p>
    <w:p w14:paraId="198A685E" w14:textId="77777777" w:rsidR="00F2123B" w:rsidRDefault="00200CFB">
      <w:pPr>
        <w:spacing w:line="280" w:lineRule="atLeast"/>
      </w:pPr>
      <w:r>
        <w:rPr>
          <w:rFonts w:ascii="Arial" w:hAnsi="Arial" w:cs="Arial"/>
          <w:b/>
        </w:rPr>
        <w:t>Performance</w:t>
      </w:r>
      <w:r>
        <w:rPr>
          <w:rFonts w:ascii="Arial" w:eastAsia="Arial" w:hAnsi="Arial" w:cs="Arial"/>
          <w:b/>
        </w:rPr>
        <w:t xml:space="preserve"> </w:t>
      </w:r>
      <w:r>
        <w:rPr>
          <w:rFonts w:ascii="Arial" w:hAnsi="Arial" w:cs="Arial"/>
          <w:b/>
        </w:rPr>
        <w:t>monitoring</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improvement</w:t>
      </w:r>
    </w:p>
    <w:p w14:paraId="198A685F" w14:textId="77777777" w:rsidR="00F2123B" w:rsidRDefault="00200CFB">
      <w:pPr>
        <w:spacing w:line="280" w:lineRule="atLeast"/>
      </w:pPr>
      <w:r>
        <w:rPr>
          <w:rFonts w:ascii="Arial" w:hAnsi="Arial" w:cs="Arial"/>
          <w:sz w:val="20"/>
        </w:rPr>
        <w:t>1.36</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doing</w:t>
      </w:r>
      <w:r>
        <w:rPr>
          <w:rFonts w:ascii="Arial" w:eastAsia="Arial" w:hAnsi="Arial" w:cs="Arial"/>
          <w:sz w:val="20"/>
        </w:rPr>
        <w:t xml:space="preserve"> </w:t>
      </w:r>
      <w:r>
        <w:rPr>
          <w:rFonts w:ascii="Arial" w:hAnsi="Arial" w:cs="Arial"/>
          <w:sz w:val="20"/>
        </w:rPr>
        <w:t>so</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context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KPIs.</w:t>
      </w:r>
    </w:p>
    <w:p w14:paraId="198A6860" w14:textId="77777777" w:rsidR="00F2123B" w:rsidRDefault="00F2123B">
      <w:pPr>
        <w:spacing w:line="280" w:lineRule="atLeast"/>
        <w:rPr>
          <w:rFonts w:ascii="Arial" w:hAnsi="Arial" w:cs="Arial"/>
          <w:sz w:val="20"/>
        </w:rPr>
      </w:pPr>
    </w:p>
    <w:p w14:paraId="198A6861" w14:textId="77777777" w:rsidR="00F2123B" w:rsidRDefault="00200CFB">
      <w:pPr>
        <w:spacing w:line="280" w:lineRule="atLeast"/>
      </w:pPr>
      <w:r>
        <w:rPr>
          <w:rFonts w:ascii="Arial" w:hAnsi="Arial" w:cs="Arial"/>
          <w:b/>
        </w:rPr>
        <w:t>Annual</w:t>
      </w:r>
      <w:r>
        <w:rPr>
          <w:rFonts w:ascii="Arial" w:eastAsia="Arial" w:hAnsi="Arial" w:cs="Arial"/>
          <w:b/>
        </w:rPr>
        <w:t xml:space="preserve"> </w:t>
      </w:r>
      <w:r>
        <w:rPr>
          <w:rFonts w:ascii="Arial" w:hAnsi="Arial" w:cs="Arial"/>
          <w:b/>
        </w:rPr>
        <w:t>reports</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statistics</w:t>
      </w:r>
    </w:p>
    <w:p w14:paraId="198A6862" w14:textId="77777777" w:rsidR="00F2123B" w:rsidRDefault="00200CFB">
      <w:pPr>
        <w:spacing w:line="280" w:lineRule="atLeast"/>
      </w:pPr>
      <w:r>
        <w:rPr>
          <w:rFonts w:ascii="Arial" w:hAnsi="Arial" w:cs="Arial"/>
          <w:sz w:val="20"/>
          <w:szCs w:val="20"/>
        </w:rPr>
        <w:t>1.37</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publish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annually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operation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chapter</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preparation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reports,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collection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publication</w:t>
      </w:r>
      <w:r>
        <w:rPr>
          <w:rFonts w:ascii="Arial" w:eastAsia="Arial" w:hAnsi="Arial" w:cs="Arial"/>
          <w:sz w:val="20"/>
          <w:szCs w:val="20"/>
        </w:rPr>
        <w:t xml:space="preserve"> </w:t>
      </w:r>
      <w:r>
        <w:rPr>
          <w:rFonts w:ascii="Arial" w:hAnsi="Arial" w:cs="Arial"/>
          <w:sz w:val="20"/>
          <w:szCs w:val="20"/>
        </w:rPr>
        <w:t>arrangements,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dealing</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media.</w:t>
      </w:r>
    </w:p>
    <w:p w14:paraId="198A6863" w14:textId="77777777" w:rsidR="00F2123B" w:rsidRDefault="00F2123B">
      <w:pPr>
        <w:spacing w:line="280" w:lineRule="atLeast"/>
        <w:rPr>
          <w:rFonts w:ascii="Arial" w:hAnsi="Arial" w:cs="Arial"/>
          <w:sz w:val="20"/>
          <w:szCs w:val="20"/>
        </w:rPr>
      </w:pPr>
    </w:p>
    <w:p w14:paraId="198A686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Interpretation</w:t>
      </w:r>
    </w:p>
    <w:p w14:paraId="198A6865" w14:textId="77777777" w:rsidR="00F2123B" w:rsidRDefault="00F2123B">
      <w:pPr>
        <w:spacing w:line="280" w:lineRule="atLeast"/>
        <w:rPr>
          <w:rFonts w:ascii="Arial" w:hAnsi="Arial" w:cs="Arial"/>
          <w:sz w:val="20"/>
          <w:szCs w:val="20"/>
        </w:rPr>
      </w:pPr>
    </w:p>
    <w:p w14:paraId="198A6866" w14:textId="77777777" w:rsidR="00F2123B" w:rsidRDefault="00200CFB">
      <w:pPr>
        <w:spacing w:line="280" w:lineRule="atLeast"/>
        <w:rPr>
          <w:rFonts w:ascii="Arial" w:hAnsi="Arial" w:cs="Arial"/>
          <w:sz w:val="20"/>
          <w:szCs w:val="20"/>
        </w:rPr>
      </w:pPr>
      <w:r>
        <w:rPr>
          <w:rFonts w:ascii="Arial" w:hAnsi="Arial" w:cs="Arial"/>
          <w:sz w:val="20"/>
          <w:szCs w:val="20"/>
        </w:rPr>
        <w:t>1.38</w:t>
      </w:r>
      <w:r>
        <w:rPr>
          <w:rFonts w:ascii="Arial" w:hAnsi="Arial" w:cs="Arial"/>
          <w:sz w:val="20"/>
          <w:szCs w:val="20"/>
        </w:rPr>
        <w:tab/>
        <w:t>This Guidance contains many terms and expressions that are commonly used in MAPPA. These are defined here in the interest of clarification. Please see also the Glossary at the end of the Guidance, which sets out the meaning of the many abbreviations and acronyms used.</w:t>
      </w:r>
    </w:p>
    <w:p w14:paraId="198A6867"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“Lead agency” is the agency with the statutory authority and responsibility to manage a MAPPA offender. This management will involve appropriate information-sharing in order to properly identify risk. The lead agency will have primary responsibility for referring the offender to level 2 or level 3 MAPPA management or for continuing management at level 1.</w:t>
      </w:r>
    </w:p>
    <w:p w14:paraId="198A6868" w14:textId="77777777" w:rsidR="00F2123B" w:rsidRDefault="00200CFB">
      <w:pPr>
        <w:numPr>
          <w:ilvl w:val="0"/>
          <w:numId w:val="2"/>
        </w:numPr>
        <w:spacing w:line="280" w:lineRule="atLeast"/>
      </w:pPr>
      <w:r>
        <w:rPr>
          <w:rStyle w:val="CommentReference"/>
          <w:rFonts w:ascii="Arial" w:hAnsi="Arial" w:cs="Arial"/>
          <w:sz w:val="20"/>
          <w:szCs w:val="20"/>
        </w:rPr>
        <w:t>“MAPPA offender” is someone who satisfies the criteria set out in sections 325 and 327 of the CJA 2003 and is therefore liable to management under MAPPA.</w:t>
      </w:r>
    </w:p>
    <w:p w14:paraId="198A6869"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“Offender Manager” means the police, prisons or probation member of staff who is responsible for supervising an offender. </w:t>
      </w:r>
    </w:p>
    <w:p w14:paraId="198A686A" w14:textId="77777777" w:rsidR="00F2123B" w:rsidRDefault="00200CFB">
      <w:pPr>
        <w:numPr>
          <w:ilvl w:val="0"/>
          <w:numId w:val="2"/>
        </w:numPr>
        <w:spacing w:line="280" w:lineRule="atLeast"/>
      </w:pPr>
      <w:r>
        <w:rPr>
          <w:rFonts w:ascii="Arial" w:hAnsi="Arial" w:cs="Arial"/>
          <w:sz w:val="20"/>
          <w:szCs w:val="20"/>
        </w:rPr>
        <w:t>“Prison” includes public sector, high security, and contracted-out prisons, young offender institutions, secure training centres, and secure children’s services; and references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staff</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construed</w:t>
      </w:r>
      <w:r>
        <w:rPr>
          <w:rFonts w:ascii="Arial" w:eastAsia="Arial" w:hAnsi="Arial" w:cs="Arial"/>
          <w:sz w:val="20"/>
          <w:szCs w:val="20"/>
        </w:rPr>
        <w:t xml:space="preserve"> </w:t>
      </w:r>
      <w:r>
        <w:rPr>
          <w:rFonts w:ascii="Arial" w:hAnsi="Arial" w:cs="Arial"/>
          <w:sz w:val="20"/>
          <w:szCs w:val="20"/>
        </w:rPr>
        <w:t>accordingly.</w:t>
      </w:r>
    </w:p>
    <w:p w14:paraId="198A686B"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 xml:space="preserve">“Probation Trusts” includes providers of probation services. </w:t>
      </w:r>
    </w:p>
    <w:p w14:paraId="198A686C" w14:textId="77777777" w:rsidR="00F2123B" w:rsidRDefault="00200CFB">
      <w:pPr>
        <w:numPr>
          <w:ilvl w:val="0"/>
          <w:numId w:val="2"/>
        </w:numPr>
        <w:spacing w:line="280" w:lineRule="atLeast"/>
        <w:rPr>
          <w:rFonts w:ascii="Arial" w:hAnsi="Arial" w:cs="Arial"/>
          <w:sz w:val="20"/>
          <w:szCs w:val="20"/>
        </w:rPr>
      </w:pPr>
      <w:r>
        <w:rPr>
          <w:rFonts w:ascii="Arial" w:hAnsi="Arial" w:cs="Arial"/>
          <w:sz w:val="20"/>
          <w:szCs w:val="20"/>
        </w:rPr>
        <w:t>“Risk” is either risk of reconviction, or risk of re-offending, or risk of serious harm.</w:t>
      </w:r>
    </w:p>
    <w:p w14:paraId="198A686D" w14:textId="77777777" w:rsidR="00F2123B" w:rsidRDefault="00F2123B">
      <w:pPr>
        <w:spacing w:line="280" w:lineRule="atLeast"/>
        <w:rPr>
          <w:rFonts w:ascii="Arial" w:hAnsi="Arial" w:cs="Arial"/>
          <w:sz w:val="20"/>
          <w:szCs w:val="20"/>
        </w:rPr>
      </w:pPr>
    </w:p>
    <w:p w14:paraId="198A686E"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Criminal</w:t>
      </w:r>
      <w:r>
        <w:rPr>
          <w:rFonts w:eastAsia="Arial"/>
          <w:sz w:val="28"/>
          <w:szCs w:val="28"/>
        </w:rPr>
        <w:t xml:space="preserve"> </w:t>
      </w:r>
      <w:r>
        <w:rPr>
          <w:sz w:val="28"/>
          <w:szCs w:val="28"/>
        </w:rPr>
        <w:t>Justice</w:t>
      </w:r>
      <w:r>
        <w:rPr>
          <w:rFonts w:eastAsia="Arial"/>
          <w:sz w:val="28"/>
          <w:szCs w:val="28"/>
        </w:rPr>
        <w:t xml:space="preserve"> </w:t>
      </w:r>
      <w:r>
        <w:rPr>
          <w:sz w:val="28"/>
          <w:szCs w:val="28"/>
        </w:rPr>
        <w:t>Act</w:t>
      </w:r>
      <w:r>
        <w:rPr>
          <w:rFonts w:eastAsia="Arial"/>
          <w:sz w:val="28"/>
          <w:szCs w:val="28"/>
        </w:rPr>
        <w:t xml:space="preserve"> </w:t>
      </w:r>
      <w:r>
        <w:rPr>
          <w:sz w:val="28"/>
          <w:szCs w:val="28"/>
        </w:rPr>
        <w:t>2003</w:t>
      </w:r>
      <w:r>
        <w:rPr>
          <w:rFonts w:eastAsia="Arial"/>
          <w:sz w:val="28"/>
          <w:szCs w:val="28"/>
        </w:rPr>
        <w:t xml:space="preserve"> </w:t>
      </w:r>
      <w:r>
        <w:rPr>
          <w:sz w:val="28"/>
          <w:szCs w:val="28"/>
        </w:rPr>
        <w:t>(summary</w:t>
      </w:r>
      <w:r>
        <w:rPr>
          <w:rFonts w:eastAsia="Arial"/>
          <w:sz w:val="28"/>
          <w:szCs w:val="28"/>
        </w:rPr>
        <w:t xml:space="preserve"> </w:t>
      </w:r>
      <w:r>
        <w:rPr>
          <w:sz w:val="28"/>
          <w:szCs w:val="28"/>
        </w:rPr>
        <w:t>of</w:t>
      </w:r>
      <w:r>
        <w:rPr>
          <w:rFonts w:eastAsia="Arial"/>
          <w:sz w:val="28"/>
          <w:szCs w:val="28"/>
        </w:rPr>
        <w:t xml:space="preserve"> </w:t>
      </w:r>
      <w:r>
        <w:rPr>
          <w:sz w:val="28"/>
          <w:szCs w:val="28"/>
        </w:rPr>
        <w:t>relevant</w:t>
      </w:r>
      <w:r>
        <w:rPr>
          <w:rFonts w:eastAsia="Arial"/>
          <w:sz w:val="28"/>
          <w:szCs w:val="28"/>
        </w:rPr>
        <w:t xml:space="preserve"> </w:t>
      </w:r>
      <w:r>
        <w:rPr>
          <w:sz w:val="28"/>
          <w:szCs w:val="28"/>
        </w:rPr>
        <w:t>provisions)</w:t>
      </w:r>
    </w:p>
    <w:p w14:paraId="198A686F" w14:textId="77777777" w:rsidR="00F2123B" w:rsidRDefault="00F2123B">
      <w:pPr>
        <w:spacing w:line="280" w:lineRule="atLeast"/>
        <w:rPr>
          <w:rFonts w:ascii="Arial" w:hAnsi="Arial" w:cs="Arial"/>
          <w:sz w:val="20"/>
          <w:szCs w:val="20"/>
        </w:rPr>
      </w:pPr>
    </w:p>
    <w:p w14:paraId="198A6870" w14:textId="77777777" w:rsidR="00F2123B" w:rsidRDefault="00200CFB">
      <w:pPr>
        <w:spacing w:line="280" w:lineRule="atLeast"/>
      </w:pPr>
      <w:r>
        <w:rPr>
          <w:rFonts w:ascii="Arial" w:hAnsi="Arial" w:cs="Arial"/>
          <w:sz w:val="20"/>
          <w:szCs w:val="20"/>
        </w:rPr>
        <w:t>1.39</w:t>
      </w:r>
      <w:r>
        <w:rPr>
          <w:rFonts w:ascii="Arial" w:hAnsi="Arial" w:cs="Arial"/>
          <w:sz w:val="20"/>
          <w:szCs w:val="20"/>
        </w:rPr>
        <w:tab/>
        <w:t>Sections</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327B</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provisions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set</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full</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Appendix</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summarised</w:t>
      </w:r>
      <w:r>
        <w:rPr>
          <w:rFonts w:ascii="Arial" w:eastAsia="Arial" w:hAnsi="Arial" w:cs="Arial"/>
          <w:sz w:val="20"/>
          <w:szCs w:val="20"/>
        </w:rPr>
        <w:t xml:space="preserve"> </w:t>
      </w:r>
      <w:r>
        <w:rPr>
          <w:rFonts w:ascii="Arial" w:hAnsi="Arial" w:cs="Arial"/>
          <w:sz w:val="20"/>
          <w:szCs w:val="20"/>
        </w:rPr>
        <w:t>below.</w:t>
      </w:r>
    </w:p>
    <w:p w14:paraId="198A6871" w14:textId="77777777" w:rsidR="00F2123B" w:rsidRDefault="00F2123B">
      <w:pPr>
        <w:spacing w:line="280" w:lineRule="atLeast"/>
        <w:rPr>
          <w:rFonts w:ascii="Arial" w:hAnsi="Arial" w:cs="Arial"/>
          <w:sz w:val="20"/>
          <w:szCs w:val="20"/>
        </w:rPr>
      </w:pPr>
    </w:p>
    <w:p w14:paraId="198A6874" w14:textId="77777777" w:rsidR="00F2123B" w:rsidRDefault="00200CFB">
      <w:pPr>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w:t>
      </w:r>
      <w:r>
        <w:rPr>
          <w:rFonts w:ascii="Arial" w:hAnsi="Arial" w:cs="Arial"/>
          <w:b/>
          <w:color w:val="000000"/>
          <w:sz w:val="20"/>
          <w:szCs w:val="20"/>
          <w:lang w:val="en"/>
        </w:rPr>
        <w:t>Arrangements</w:t>
      </w:r>
      <w:r>
        <w:rPr>
          <w:rFonts w:ascii="Arial" w:eastAsia="Arial" w:hAnsi="Arial" w:cs="Arial"/>
          <w:b/>
          <w:color w:val="000000"/>
          <w:sz w:val="20"/>
          <w:szCs w:val="20"/>
          <w:lang w:val="en"/>
        </w:rPr>
        <w:t xml:space="preserve"> </w:t>
      </w:r>
      <w:r>
        <w:rPr>
          <w:rFonts w:ascii="Arial" w:hAnsi="Arial" w:cs="Arial"/>
          <w:b/>
          <w:color w:val="000000"/>
          <w:sz w:val="20"/>
          <w:szCs w:val="20"/>
          <w:lang w:val="en"/>
        </w:rPr>
        <w:t>for</w:t>
      </w:r>
      <w:r>
        <w:rPr>
          <w:rFonts w:ascii="Arial" w:eastAsia="Arial" w:hAnsi="Arial" w:cs="Arial"/>
          <w:b/>
          <w:color w:val="000000"/>
          <w:sz w:val="20"/>
          <w:szCs w:val="20"/>
          <w:lang w:val="en"/>
        </w:rPr>
        <w:t xml:space="preserve"> </w:t>
      </w:r>
      <w:r>
        <w:rPr>
          <w:rFonts w:ascii="Arial" w:hAnsi="Arial" w:cs="Arial"/>
          <w:b/>
          <w:color w:val="000000"/>
          <w:sz w:val="20"/>
          <w:szCs w:val="20"/>
          <w:lang w:val="en"/>
        </w:rPr>
        <w:t>assessing</w:t>
      </w:r>
      <w:r>
        <w:rPr>
          <w:rFonts w:ascii="Arial" w:eastAsia="Arial" w:hAnsi="Arial" w:cs="Arial"/>
          <w:b/>
          <w:color w:val="000000"/>
          <w:sz w:val="20"/>
          <w:szCs w:val="20"/>
          <w:lang w:val="en"/>
        </w:rPr>
        <w:t xml:space="preserve"> </w:t>
      </w:r>
      <w:r>
        <w:rPr>
          <w:rFonts w:ascii="Arial" w:hAnsi="Arial" w:cs="Arial"/>
          <w:b/>
          <w:color w:val="000000"/>
          <w:sz w:val="20"/>
          <w:szCs w:val="20"/>
          <w:lang w:val="la"/>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risks</w:t>
      </w:r>
      <w:r>
        <w:rPr>
          <w:rFonts w:ascii="Arial" w:eastAsia="Arial" w:hAnsi="Arial" w:cs="Arial"/>
          <w:b/>
          <w:color w:val="000000"/>
          <w:sz w:val="20"/>
          <w:szCs w:val="20"/>
          <w:lang w:val="en"/>
        </w:rPr>
        <w:t xml:space="preserve"> </w:t>
      </w:r>
      <w:r>
        <w:rPr>
          <w:rFonts w:ascii="Arial" w:hAnsi="Arial" w:cs="Arial"/>
          <w:b/>
          <w:color w:val="000000"/>
          <w:sz w:val="20"/>
          <w:szCs w:val="20"/>
          <w:lang w:val="en"/>
        </w:rPr>
        <w:t>posed</w:t>
      </w:r>
      <w:r>
        <w:rPr>
          <w:rFonts w:ascii="Arial" w:eastAsia="Arial" w:hAnsi="Arial" w:cs="Arial"/>
          <w:b/>
          <w:color w:val="000000"/>
          <w:sz w:val="20"/>
          <w:szCs w:val="20"/>
          <w:lang w:val="en"/>
        </w:rPr>
        <w:t xml:space="preserve"> </w:t>
      </w:r>
      <w:r>
        <w:rPr>
          <w:rFonts w:ascii="Arial" w:hAnsi="Arial" w:cs="Arial"/>
          <w:b/>
          <w:color w:val="000000"/>
          <w:sz w:val="20"/>
          <w:szCs w:val="20"/>
          <w:lang w:val="en"/>
        </w:rPr>
        <w:t>by</w:t>
      </w:r>
      <w:r>
        <w:rPr>
          <w:rFonts w:ascii="Arial" w:eastAsia="Arial" w:hAnsi="Arial" w:cs="Arial"/>
          <w:b/>
          <w:color w:val="000000"/>
          <w:sz w:val="20"/>
          <w:szCs w:val="20"/>
          <w:lang w:val="en"/>
        </w:rPr>
        <w:t xml:space="preserve"> </w:t>
      </w:r>
      <w:r>
        <w:rPr>
          <w:rFonts w:ascii="Arial" w:hAnsi="Arial" w:cs="Arial"/>
          <w:b/>
          <w:color w:val="000000"/>
          <w:sz w:val="20"/>
          <w:szCs w:val="20"/>
          <w:lang w:val="en"/>
        </w:rPr>
        <w:t>certain</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p>
    <w:p w14:paraId="198A6875" w14:textId="77777777" w:rsidR="00F2123B" w:rsidRDefault="00200CFB">
      <w:pPr>
        <w:spacing w:line="280" w:lineRule="atLeast"/>
      </w:pPr>
      <w:r>
        <w:rPr>
          <w:rFonts w:ascii="Arial" w:hAnsi="Arial" w:cs="Arial"/>
          <w:sz w:val="20"/>
        </w:rPr>
        <w:t>This</w:t>
      </w:r>
      <w:r>
        <w:rPr>
          <w:rFonts w:ascii="Arial" w:eastAsia="Arial" w:hAnsi="Arial" w:cs="Arial"/>
          <w:sz w:val="20"/>
        </w:rPr>
        <w:t xml:space="preserve"> </w:t>
      </w:r>
      <w:r>
        <w:rPr>
          <w:rFonts w:ascii="Arial" w:hAnsi="Arial" w:cs="Arial"/>
          <w:sz w:val="20"/>
        </w:rPr>
        <w:t>section:</w:t>
      </w:r>
    </w:p>
    <w:p w14:paraId="198A6876" w14:textId="77777777" w:rsidR="00F2123B" w:rsidRDefault="00200CFB">
      <w:pPr>
        <w:pStyle w:val="Bullet"/>
        <w:numPr>
          <w:ilvl w:val="0"/>
          <w:numId w:val="3"/>
        </w:numPr>
        <w:tabs>
          <w:tab w:val="left" w:pos="360"/>
        </w:tabs>
        <w:spacing w:line="280" w:lineRule="atLeast"/>
        <w:ind w:left="720"/>
      </w:pPr>
      <w:r>
        <w:rPr>
          <w:color w:val="000000"/>
          <w:sz w:val="20"/>
          <w:szCs w:val="20"/>
          <w:lang w:val="en"/>
        </w:rPr>
        <w:t>Defines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p>
    <w:p w14:paraId="198A6877"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assessing</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managing</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posed</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relevant</w:t>
      </w:r>
      <w:r>
        <w:rPr>
          <w:rFonts w:eastAsia="Arial"/>
          <w:color w:val="000000"/>
          <w:sz w:val="20"/>
          <w:szCs w:val="20"/>
          <w:lang w:val="en"/>
        </w:rPr>
        <w:t xml:space="preserve"> </w:t>
      </w:r>
      <w:r>
        <w:rPr>
          <w:color w:val="000000"/>
          <w:sz w:val="20"/>
          <w:szCs w:val="20"/>
          <w:lang w:val="en"/>
        </w:rPr>
        <w:t>sexual</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violent</w:t>
      </w:r>
      <w:r>
        <w:rPr>
          <w:rFonts w:eastAsia="Arial"/>
          <w:color w:val="000000"/>
          <w:sz w:val="20"/>
          <w:szCs w:val="20"/>
          <w:lang w:val="en"/>
        </w:rPr>
        <w:t xml:space="preserve"> </w:t>
      </w:r>
      <w:r>
        <w:rPr>
          <w:color w:val="000000"/>
          <w:sz w:val="20"/>
          <w:szCs w:val="20"/>
          <w:lang w:val="en"/>
        </w:rPr>
        <w:t>offenders.</w:t>
      </w:r>
    </w:p>
    <w:p w14:paraId="198A6878"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specified</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co-operate</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this</w:t>
      </w:r>
      <w:r>
        <w:rPr>
          <w:rFonts w:eastAsia="Arial"/>
          <w:color w:val="000000"/>
          <w:sz w:val="20"/>
          <w:szCs w:val="20"/>
          <w:lang w:val="en"/>
        </w:rPr>
        <w:t xml:space="preserve"> </w:t>
      </w:r>
      <w:r>
        <w:rPr>
          <w:color w:val="000000"/>
          <w:sz w:val="20"/>
          <w:szCs w:val="20"/>
          <w:lang w:val="en"/>
        </w:rPr>
        <w:t>task,</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example</w:t>
      </w:r>
      <w:r>
        <w:rPr>
          <w:rFonts w:eastAsia="Arial"/>
          <w:color w:val="000000"/>
          <w:sz w:val="20"/>
          <w:szCs w:val="20"/>
          <w:lang w:val="en"/>
        </w:rPr>
        <w:t xml:space="preserve"> </w:t>
      </w:r>
      <w:r>
        <w:rPr>
          <w:color w:val="000000"/>
          <w:sz w:val="20"/>
          <w:szCs w:val="20"/>
          <w:lang w:val="en"/>
        </w:rPr>
        <w:t>by</w:t>
      </w:r>
      <w:r>
        <w:rPr>
          <w:rFonts w:eastAsia="Arial"/>
          <w:color w:val="000000"/>
          <w:sz w:val="20"/>
          <w:szCs w:val="20"/>
          <w:lang w:val="en"/>
        </w:rPr>
        <w:t xml:space="preserve"> </w:t>
      </w:r>
      <w:r>
        <w:rPr>
          <w:color w:val="000000"/>
          <w:sz w:val="20"/>
          <w:szCs w:val="20"/>
          <w:lang w:val="en"/>
        </w:rPr>
        <w:t>sharing</w:t>
      </w:r>
      <w:r>
        <w:rPr>
          <w:rFonts w:eastAsia="Arial"/>
          <w:color w:val="000000"/>
          <w:sz w:val="20"/>
          <w:szCs w:val="20"/>
          <w:lang w:val="en"/>
        </w:rPr>
        <w:t xml:space="preserve"> </w:t>
      </w:r>
      <w:r>
        <w:rPr>
          <w:color w:val="000000"/>
          <w:sz w:val="20"/>
          <w:szCs w:val="20"/>
          <w:lang w:val="en"/>
        </w:rPr>
        <w:t>information.</w:t>
      </w:r>
    </w:p>
    <w:p w14:paraId="198A687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these</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bodies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draw</w:t>
      </w:r>
      <w:r>
        <w:rPr>
          <w:rFonts w:eastAsia="Arial"/>
          <w:color w:val="000000"/>
          <w:sz w:val="20"/>
          <w:szCs w:val="20"/>
          <w:lang w:val="en"/>
        </w:rPr>
        <w:t xml:space="preserve"> </w:t>
      </w:r>
      <w:r>
        <w:rPr>
          <w:color w:val="000000"/>
          <w:sz w:val="20"/>
          <w:szCs w:val="20"/>
          <w:lang w:val="en"/>
        </w:rPr>
        <w:t>up</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memorandum</w:t>
      </w:r>
      <w:r>
        <w:rPr>
          <w:rFonts w:eastAsia="Arial"/>
          <w:color w:val="000000"/>
          <w:sz w:val="20"/>
          <w:szCs w:val="20"/>
          <w:lang w:val="en"/>
        </w:rPr>
        <w:t xml:space="preserve"> </w:t>
      </w:r>
      <w:r>
        <w:rPr>
          <w:color w:val="000000"/>
          <w:sz w:val="20"/>
          <w:szCs w:val="20"/>
          <w:lang w:val="en"/>
        </w:rPr>
        <w:t>setting</w:t>
      </w:r>
      <w:r>
        <w:rPr>
          <w:rFonts w:eastAsia="Arial"/>
          <w:color w:val="000000"/>
          <w:sz w:val="20"/>
          <w:szCs w:val="20"/>
          <w:lang w:val="en"/>
        </w:rPr>
        <w:t xml:space="preserve"> </w:t>
      </w:r>
      <w:r>
        <w:rPr>
          <w:color w:val="000000"/>
          <w:sz w:val="20"/>
          <w:szCs w:val="20"/>
          <w:lang w:val="en"/>
        </w:rPr>
        <w:t>out</w:t>
      </w:r>
      <w:r>
        <w:rPr>
          <w:rFonts w:eastAsia="Arial"/>
          <w:color w:val="000000"/>
          <w:sz w:val="20"/>
          <w:szCs w:val="20"/>
          <w:lang w:val="en"/>
        </w:rPr>
        <w:t xml:space="preserve"> </w:t>
      </w:r>
      <w:r>
        <w:rPr>
          <w:color w:val="000000"/>
          <w:sz w:val="20"/>
          <w:szCs w:val="20"/>
          <w:lang w:val="en"/>
        </w:rPr>
        <w:t>how</w:t>
      </w:r>
      <w:r>
        <w:rPr>
          <w:rFonts w:eastAsia="Arial"/>
          <w:color w:val="000000"/>
          <w:sz w:val="20"/>
          <w:szCs w:val="20"/>
          <w:lang w:val="en"/>
        </w:rPr>
        <w:t xml:space="preserve"> </w:t>
      </w:r>
      <w:r>
        <w:rPr>
          <w:color w:val="000000"/>
          <w:sz w:val="20"/>
          <w:szCs w:val="20"/>
          <w:lang w:val="en"/>
        </w:rPr>
        <w:t>they</w:t>
      </w:r>
      <w:r>
        <w:rPr>
          <w:rFonts w:eastAsia="Arial"/>
          <w:color w:val="000000"/>
          <w:sz w:val="20"/>
          <w:szCs w:val="20"/>
          <w:lang w:val="en"/>
        </w:rPr>
        <w:t xml:space="preserve"> </w:t>
      </w:r>
      <w:r>
        <w:rPr>
          <w:color w:val="000000"/>
          <w:sz w:val="20"/>
          <w:szCs w:val="20"/>
          <w:lang w:val="en"/>
        </w:rPr>
        <w:t>will</w:t>
      </w:r>
      <w:r>
        <w:rPr>
          <w:rFonts w:eastAsia="Arial"/>
          <w:color w:val="000000"/>
          <w:sz w:val="20"/>
          <w:szCs w:val="20"/>
          <w:lang w:val="en"/>
        </w:rPr>
        <w:t xml:space="preserve"> </w:t>
      </w:r>
      <w:r>
        <w:rPr>
          <w:color w:val="000000"/>
          <w:sz w:val="20"/>
          <w:szCs w:val="20"/>
          <w:lang w:val="en"/>
        </w:rPr>
        <w:t>co-operate.</w:t>
      </w:r>
    </w:p>
    <w:p w14:paraId="198A687A"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issue</w:t>
      </w:r>
      <w:r>
        <w:rPr>
          <w:rFonts w:eastAsia="Arial"/>
          <w:color w:val="000000"/>
          <w:sz w:val="20"/>
          <w:szCs w:val="20"/>
          <w:lang w:val="en"/>
        </w:rPr>
        <w:t xml:space="preserve"> </w:t>
      </w:r>
      <w:r>
        <w:rPr>
          <w:color w:val="000000"/>
          <w:sz w:val="20"/>
          <w:szCs w:val="20"/>
          <w:lang w:val="en"/>
        </w:rPr>
        <w:t>guidance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functions.</w:t>
      </w:r>
    </w:p>
    <w:p w14:paraId="198A687B"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Responsible Authorities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have</w:t>
      </w:r>
      <w:r>
        <w:rPr>
          <w:rFonts w:eastAsia="Arial"/>
          <w:color w:val="000000"/>
          <w:sz w:val="20"/>
          <w:szCs w:val="20"/>
          <w:lang w:val="en"/>
        </w:rPr>
        <w:t xml:space="preserve"> </w:t>
      </w:r>
      <w:r>
        <w:rPr>
          <w:color w:val="000000"/>
          <w:sz w:val="20"/>
          <w:szCs w:val="20"/>
          <w:lang w:val="en"/>
        </w:rPr>
        <w:t>regard</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such</w:t>
      </w:r>
      <w:r>
        <w:rPr>
          <w:rFonts w:eastAsia="Arial"/>
          <w:color w:val="000000"/>
          <w:sz w:val="20"/>
          <w:szCs w:val="20"/>
          <w:lang w:val="en"/>
        </w:rPr>
        <w:t xml:space="preserve"> </w:t>
      </w:r>
      <w:r>
        <w:rPr>
          <w:color w:val="000000"/>
          <w:sz w:val="20"/>
          <w:szCs w:val="20"/>
          <w:lang w:val="en"/>
        </w:rPr>
        <w:t>guidance.</w:t>
      </w:r>
    </w:p>
    <w:p w14:paraId="198A687D" w14:textId="77777777" w:rsidR="00F2123B" w:rsidRDefault="00200CFB">
      <w:pPr>
        <w:pStyle w:val="Heading1"/>
      </w:pPr>
      <w:r>
        <w:rPr>
          <w:color w:val="000000"/>
          <w:sz w:val="20"/>
          <w:szCs w:val="20"/>
          <w:lang w:val="en"/>
        </w:rPr>
        <w:t>Section</w:t>
      </w:r>
      <w:r>
        <w:rPr>
          <w:rFonts w:eastAsia="Arial"/>
          <w:color w:val="000000"/>
          <w:sz w:val="20"/>
          <w:szCs w:val="20"/>
          <w:lang w:val="en"/>
        </w:rPr>
        <w:t xml:space="preserve"> </w:t>
      </w:r>
      <w:r>
        <w:rPr>
          <w:color w:val="000000"/>
          <w:sz w:val="20"/>
          <w:szCs w:val="20"/>
          <w:lang w:val="en"/>
        </w:rPr>
        <w:t>326:</w:t>
      </w:r>
      <w:r>
        <w:rPr>
          <w:rFonts w:eastAsia="Arial"/>
          <w:color w:val="000000"/>
          <w:sz w:val="20"/>
          <w:szCs w:val="20"/>
          <w:lang w:val="en"/>
        </w:rPr>
        <w:t xml:space="preserve"> </w:t>
      </w:r>
      <w:r>
        <w:rPr>
          <w:color w:val="000000"/>
          <w:sz w:val="20"/>
          <w:szCs w:val="20"/>
          <w:lang w:val="en"/>
        </w:rPr>
        <w:t>Review</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arrangements</w:t>
      </w:r>
    </w:p>
    <w:p w14:paraId="198A687E"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p>
    <w:p w14:paraId="198A687F"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keep</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under</w:t>
      </w:r>
      <w:r>
        <w:rPr>
          <w:rFonts w:eastAsia="Arial"/>
          <w:color w:val="000000"/>
          <w:sz w:val="20"/>
          <w:szCs w:val="20"/>
          <w:lang w:val="en"/>
        </w:rPr>
        <w:t xml:space="preserve"> </w:t>
      </w:r>
      <w:r>
        <w:rPr>
          <w:color w:val="000000"/>
          <w:sz w:val="20"/>
          <w:szCs w:val="20"/>
          <w:lang w:val="en"/>
        </w:rPr>
        <w:t>review.</w:t>
      </w:r>
    </w:p>
    <w:p w14:paraId="198A6880"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appoint</w:t>
      </w:r>
      <w:r>
        <w:rPr>
          <w:rFonts w:eastAsia="Arial"/>
          <w:color w:val="000000"/>
          <w:sz w:val="20"/>
          <w:szCs w:val="20"/>
          <w:lang w:val="en"/>
        </w:rPr>
        <w:t xml:space="preserve"> </w:t>
      </w:r>
      <w:r>
        <w:rPr>
          <w:color w:val="000000"/>
          <w:sz w:val="20"/>
          <w:szCs w:val="20"/>
          <w:lang w:val="en"/>
        </w:rPr>
        <w:t>two</w:t>
      </w:r>
      <w:r>
        <w:rPr>
          <w:rFonts w:eastAsia="Arial"/>
          <w:color w:val="000000"/>
          <w:sz w:val="20"/>
          <w:szCs w:val="20"/>
          <w:lang w:val="en"/>
        </w:rPr>
        <w:t xml:space="preserve"> </w:t>
      </w:r>
      <w:r>
        <w:rPr>
          <w:color w:val="000000"/>
          <w:sz w:val="20"/>
          <w:szCs w:val="20"/>
          <w:lang w:val="en"/>
        </w:rPr>
        <w:t>Lay Advisers</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area,</w:t>
      </w:r>
      <w:r>
        <w:rPr>
          <w:rFonts w:eastAsia="Arial"/>
          <w:color w:val="000000"/>
          <w:sz w:val="20"/>
          <w:szCs w:val="20"/>
          <w:lang w:val="en"/>
        </w:rPr>
        <w:t xml:space="preserve"> </w:t>
      </w:r>
      <w:r>
        <w:rPr>
          <w:color w:val="000000"/>
          <w:sz w:val="20"/>
          <w:szCs w:val="20"/>
          <w:lang w:val="en"/>
        </w:rPr>
        <w:t>whom</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consult</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exercising</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whose</w:t>
      </w:r>
      <w:r>
        <w:rPr>
          <w:rFonts w:eastAsia="Arial"/>
          <w:color w:val="000000"/>
          <w:sz w:val="20"/>
          <w:szCs w:val="20"/>
          <w:lang w:val="en"/>
        </w:rPr>
        <w:t xml:space="preserve"> </w:t>
      </w:r>
      <w:r>
        <w:rPr>
          <w:color w:val="000000"/>
          <w:sz w:val="20"/>
          <w:szCs w:val="20"/>
          <w:lang w:val="en"/>
        </w:rPr>
        <w:t>expenses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must</w:t>
      </w:r>
      <w:r>
        <w:rPr>
          <w:rFonts w:eastAsia="Arial"/>
          <w:color w:val="000000"/>
          <w:sz w:val="20"/>
          <w:szCs w:val="20"/>
          <w:lang w:val="en"/>
        </w:rPr>
        <w:t xml:space="preserve"> </w:t>
      </w:r>
      <w:r>
        <w:rPr>
          <w:color w:val="000000"/>
          <w:sz w:val="20"/>
          <w:szCs w:val="20"/>
          <w:lang w:val="en"/>
        </w:rPr>
        <w:t>pay.</w:t>
      </w:r>
    </w:p>
    <w:p w14:paraId="198A6881"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publish</w:t>
      </w:r>
      <w:r>
        <w:rPr>
          <w:rFonts w:eastAsia="Arial"/>
          <w:color w:val="000000"/>
          <w:sz w:val="20"/>
          <w:szCs w:val="20"/>
          <w:lang w:val="en"/>
        </w:rPr>
        <w:t xml:space="preserve"> </w:t>
      </w:r>
      <w:r>
        <w:rPr>
          <w:color w:val="000000"/>
          <w:sz w:val="20"/>
          <w:szCs w:val="20"/>
          <w:lang w:val="en"/>
        </w:rPr>
        <w:t>an</w:t>
      </w:r>
      <w:r>
        <w:rPr>
          <w:rFonts w:eastAsia="Arial"/>
          <w:color w:val="000000"/>
          <w:sz w:val="20"/>
          <w:szCs w:val="20"/>
          <w:lang w:val="en"/>
        </w:rPr>
        <w:t xml:space="preserve"> </w:t>
      </w:r>
      <w:r>
        <w:rPr>
          <w:color w:val="000000"/>
          <w:sz w:val="20"/>
          <w:szCs w:val="20"/>
          <w:lang w:val="en"/>
        </w:rPr>
        <w:t>annual</w:t>
      </w:r>
      <w:r>
        <w:rPr>
          <w:rFonts w:eastAsia="Arial"/>
          <w:color w:val="000000"/>
          <w:sz w:val="20"/>
          <w:szCs w:val="20"/>
          <w:lang w:val="en"/>
        </w:rPr>
        <w:t xml:space="preserve"> </w:t>
      </w:r>
      <w:r>
        <w:rPr>
          <w:color w:val="000000"/>
          <w:sz w:val="20"/>
          <w:szCs w:val="20"/>
          <w:lang w:val="en"/>
        </w:rPr>
        <w:t>report</w:t>
      </w:r>
      <w:r>
        <w:rPr>
          <w:rFonts w:eastAsia="Arial"/>
          <w:color w:val="000000"/>
          <w:sz w:val="20"/>
          <w:szCs w:val="20"/>
          <w:lang w:val="en"/>
        </w:rPr>
        <w:t xml:space="preserve"> </w:t>
      </w:r>
      <w:r>
        <w:rPr>
          <w:color w:val="000000"/>
          <w:sz w:val="20"/>
          <w:szCs w:val="20"/>
          <w:lang w:val="en"/>
        </w:rPr>
        <w:t>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discharge</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functions,</w:t>
      </w:r>
      <w:r>
        <w:rPr>
          <w:rFonts w:eastAsia="Arial"/>
          <w:color w:val="000000"/>
          <w:sz w:val="20"/>
          <w:szCs w:val="20"/>
          <w:lang w:val="en"/>
        </w:rPr>
        <w:t xml:space="preserve"> </w:t>
      </w:r>
      <w:r>
        <w:rPr>
          <w:color w:val="000000"/>
          <w:sz w:val="20"/>
          <w:szCs w:val="20"/>
          <w:lang w:val="en"/>
        </w:rPr>
        <w:t>with</w:t>
      </w:r>
      <w:r>
        <w:rPr>
          <w:rFonts w:eastAsia="Arial"/>
          <w:color w:val="000000"/>
          <w:sz w:val="20"/>
          <w:szCs w:val="20"/>
          <w:lang w:val="en"/>
        </w:rPr>
        <w:t xml:space="preserve"> </w:t>
      </w:r>
      <w:r>
        <w:rPr>
          <w:color w:val="000000"/>
          <w:sz w:val="20"/>
          <w:szCs w:val="20"/>
          <w:lang w:val="en"/>
        </w:rPr>
        <w:t>details</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arrangements</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other</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Secretary</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State</w:t>
      </w:r>
      <w:r>
        <w:rPr>
          <w:rFonts w:eastAsia="Arial"/>
          <w:color w:val="000000"/>
          <w:sz w:val="20"/>
          <w:szCs w:val="20"/>
          <w:lang w:val="en"/>
        </w:rPr>
        <w:t xml:space="preserve"> </w:t>
      </w:r>
      <w:r>
        <w:rPr>
          <w:color w:val="000000"/>
          <w:sz w:val="20"/>
          <w:szCs w:val="20"/>
          <w:lang w:val="en"/>
        </w:rPr>
        <w:t>asks</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see</w:t>
      </w:r>
      <w:r>
        <w:rPr>
          <w:rFonts w:eastAsia="Arial"/>
          <w:color w:val="000000"/>
          <w:sz w:val="20"/>
          <w:szCs w:val="20"/>
          <w:lang w:val="en"/>
        </w:rPr>
        <w:t xml:space="preserve"> </w:t>
      </w:r>
      <w:r>
        <w:rPr>
          <w:color w:val="000000"/>
          <w:sz w:val="20"/>
          <w:szCs w:val="20"/>
          <w:lang w:val="en"/>
        </w:rPr>
        <w:t>included.</w:t>
      </w:r>
    </w:p>
    <w:p w14:paraId="198A6882" w14:textId="77777777" w:rsidR="00F2123B" w:rsidRDefault="00F2123B">
      <w:pPr>
        <w:spacing w:line="280" w:lineRule="atLeast"/>
        <w:rPr>
          <w:rFonts w:ascii="Arial" w:hAnsi="Arial" w:cs="Arial"/>
          <w:sz w:val="20"/>
          <w:szCs w:val="20"/>
        </w:rPr>
      </w:pPr>
    </w:p>
    <w:p w14:paraId="198A6883"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w:t>
      </w:r>
      <w:r>
        <w:rPr>
          <w:rFonts w:ascii="Arial" w:eastAsia="Arial" w:hAnsi="Arial" w:cs="Arial"/>
          <w:b/>
          <w:color w:val="000000"/>
          <w:sz w:val="20"/>
          <w:szCs w:val="20"/>
          <w:lang w:val="en"/>
        </w:rPr>
        <w:t xml:space="preserve"> </w:t>
      </w: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325</w:t>
      </w:r>
      <w:r>
        <w:rPr>
          <w:rFonts w:ascii="Arial" w:eastAsia="Arial" w:hAnsi="Arial" w:cs="Arial"/>
          <w:b/>
          <w:color w:val="000000"/>
          <w:sz w:val="20"/>
          <w:szCs w:val="20"/>
          <w:lang w:val="en"/>
        </w:rPr>
        <w:t xml:space="preserve"> – </w:t>
      </w:r>
      <w:r>
        <w:rPr>
          <w:rFonts w:ascii="Arial" w:hAnsi="Arial" w:cs="Arial"/>
          <w:b/>
          <w:color w:val="000000"/>
          <w:sz w:val="20"/>
          <w:szCs w:val="20"/>
          <w:lang w:val="en"/>
        </w:rPr>
        <w:t>interpretation</w:t>
      </w:r>
      <w:r>
        <w:rPr>
          <w:rFonts w:ascii="Arial" w:eastAsia="Arial" w:hAnsi="Arial" w:cs="Arial"/>
          <w:b/>
          <w:color w:val="000000"/>
          <w:sz w:val="20"/>
          <w:szCs w:val="20"/>
          <w:lang w:val="en"/>
        </w:rPr>
        <w:t xml:space="preserve"> </w:t>
      </w:r>
    </w:p>
    <w:p w14:paraId="198A6884"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325,</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(mainly,</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sentenced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least</w:t>
      </w:r>
      <w:r>
        <w:rPr>
          <w:rFonts w:ascii="Arial" w:eastAsia="Arial" w:hAnsi="Arial" w:cs="Arial"/>
          <w:sz w:val="20"/>
          <w:szCs w:val="20"/>
        </w:rPr>
        <w:t xml:space="preserve"> </w:t>
      </w:r>
      <w:r>
        <w:rPr>
          <w:rFonts w:ascii="Arial" w:hAnsi="Arial" w:cs="Arial"/>
          <w:sz w:val="20"/>
          <w:szCs w:val="20"/>
        </w:rPr>
        <w:t>12</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p>
    <w:p w14:paraId="198A6885" w14:textId="77777777" w:rsidR="00F2123B" w:rsidRDefault="00F2123B">
      <w:pPr>
        <w:spacing w:line="280" w:lineRule="atLeast"/>
        <w:rPr>
          <w:rFonts w:ascii="Arial" w:hAnsi="Arial" w:cs="Arial"/>
          <w:sz w:val="20"/>
          <w:szCs w:val="20"/>
        </w:rPr>
      </w:pPr>
    </w:p>
    <w:p w14:paraId="198A6886" w14:textId="77777777" w:rsidR="00F2123B" w:rsidRDefault="00200CFB">
      <w:pPr>
        <w:shd w:val="clear" w:color="auto" w:fill="FFFFFF"/>
        <w:spacing w:line="280" w:lineRule="atLeast"/>
      </w:pPr>
      <w:r>
        <w:rPr>
          <w:rFonts w:ascii="Arial" w:hAnsi="Arial" w:cs="Arial"/>
          <w:b/>
          <w:color w:val="000000"/>
          <w:sz w:val="20"/>
          <w:szCs w:val="20"/>
          <w:lang w:val="en"/>
        </w:rPr>
        <w:t>Section</w:t>
      </w:r>
      <w:r>
        <w:rPr>
          <w:rFonts w:ascii="Arial" w:eastAsia="Arial" w:hAnsi="Arial" w:cs="Arial"/>
          <w:b/>
          <w:color w:val="000000"/>
          <w:sz w:val="20"/>
          <w:szCs w:val="20"/>
          <w:lang w:val="en"/>
        </w:rPr>
        <w:t xml:space="preserve"> </w:t>
      </w:r>
      <w:r>
        <w:rPr>
          <w:rFonts w:ascii="Arial" w:hAnsi="Arial" w:cs="Arial"/>
          <w:b/>
          <w:color w:val="000000"/>
          <w:sz w:val="20"/>
          <w:szCs w:val="20"/>
          <w:lang w:val="en"/>
        </w:rPr>
        <w:t>327A:</w:t>
      </w:r>
      <w:r>
        <w:rPr>
          <w:rFonts w:ascii="Arial" w:eastAsia="Arial" w:hAnsi="Arial" w:cs="Arial"/>
          <w:b/>
          <w:color w:val="000000"/>
          <w:sz w:val="20"/>
          <w:szCs w:val="20"/>
          <w:lang w:val="en"/>
        </w:rPr>
        <w:t xml:space="preserve"> </w:t>
      </w:r>
      <w:r>
        <w:rPr>
          <w:rFonts w:ascii="Arial" w:hAnsi="Arial" w:cs="Arial"/>
          <w:b/>
          <w:color w:val="000000"/>
          <w:sz w:val="20"/>
          <w:szCs w:val="20"/>
          <w:lang w:val="en"/>
        </w:rPr>
        <w:t>Disclosure</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information</w:t>
      </w:r>
      <w:r>
        <w:rPr>
          <w:rFonts w:ascii="Arial" w:eastAsia="Arial" w:hAnsi="Arial" w:cs="Arial"/>
          <w:b/>
          <w:color w:val="000000"/>
          <w:sz w:val="20"/>
          <w:szCs w:val="20"/>
          <w:lang w:val="en"/>
        </w:rPr>
        <w:t xml:space="preserve"> </w:t>
      </w:r>
      <w:r>
        <w:rPr>
          <w:rFonts w:ascii="Arial" w:hAnsi="Arial" w:cs="Arial"/>
          <w:b/>
          <w:color w:val="000000"/>
          <w:sz w:val="20"/>
          <w:szCs w:val="20"/>
          <w:lang w:val="en"/>
        </w:rPr>
        <w:t>about</w:t>
      </w:r>
      <w:r>
        <w:rPr>
          <w:rFonts w:ascii="Arial" w:eastAsia="Arial" w:hAnsi="Arial" w:cs="Arial"/>
          <w:b/>
          <w:color w:val="000000"/>
          <w:sz w:val="20"/>
          <w:szCs w:val="20"/>
          <w:lang w:val="en"/>
        </w:rPr>
        <w:t xml:space="preserve"> </w:t>
      </w:r>
      <w:r>
        <w:rPr>
          <w:rFonts w:ascii="Arial" w:hAnsi="Arial" w:cs="Arial"/>
          <w:b/>
          <w:color w:val="000000"/>
          <w:sz w:val="20"/>
          <w:szCs w:val="20"/>
          <w:lang w:val="en"/>
        </w:rPr>
        <w:t>convictions</w:t>
      </w:r>
      <w:r>
        <w:rPr>
          <w:rFonts w:ascii="Arial" w:eastAsia="Arial" w:hAnsi="Arial" w:cs="Arial"/>
          <w:b/>
          <w:color w:val="000000"/>
          <w:sz w:val="20"/>
          <w:szCs w:val="20"/>
          <w:lang w:val="en"/>
        </w:rPr>
        <w:t xml:space="preserve"> </w:t>
      </w:r>
      <w:r>
        <w:rPr>
          <w:rFonts w:ascii="Arial" w:hAnsi="Arial" w:cs="Arial"/>
          <w:b/>
          <w:color w:val="000000"/>
          <w:sz w:val="20"/>
          <w:szCs w:val="20"/>
          <w:lang w:val="en"/>
        </w:rPr>
        <w:t>etc.</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child</w:t>
      </w:r>
      <w:r>
        <w:rPr>
          <w:rFonts w:ascii="Arial" w:eastAsia="Arial" w:hAnsi="Arial" w:cs="Arial"/>
          <w:b/>
          <w:color w:val="000000"/>
          <w:sz w:val="20"/>
          <w:szCs w:val="20"/>
          <w:lang w:val="en"/>
        </w:rPr>
        <w:t xml:space="preserve"> </w:t>
      </w:r>
      <w:r>
        <w:rPr>
          <w:rFonts w:ascii="Arial" w:hAnsi="Arial" w:cs="Arial"/>
          <w:b/>
          <w:color w:val="000000"/>
          <w:sz w:val="20"/>
          <w:szCs w:val="20"/>
          <w:lang w:val="en"/>
        </w:rPr>
        <w:t>sex</w:t>
      </w:r>
      <w:r>
        <w:rPr>
          <w:rFonts w:ascii="Arial" w:eastAsia="Arial" w:hAnsi="Arial" w:cs="Arial"/>
          <w:b/>
          <w:color w:val="000000"/>
          <w:sz w:val="20"/>
          <w:szCs w:val="20"/>
          <w:lang w:val="en"/>
        </w:rPr>
        <w:t xml:space="preserve"> </w:t>
      </w:r>
      <w:r>
        <w:rPr>
          <w:rFonts w:ascii="Arial" w:hAnsi="Arial" w:cs="Arial"/>
          <w:b/>
          <w:color w:val="000000"/>
          <w:sz w:val="20"/>
          <w:szCs w:val="20"/>
          <w:lang w:val="en"/>
        </w:rPr>
        <w:t>offenders</w:t>
      </w:r>
      <w:r>
        <w:rPr>
          <w:rFonts w:ascii="Arial" w:eastAsia="Arial" w:hAnsi="Arial" w:cs="Arial"/>
          <w:b/>
          <w:color w:val="000000"/>
          <w:sz w:val="20"/>
          <w:szCs w:val="20"/>
          <w:lang w:val="en"/>
        </w:rPr>
        <w:t xml:space="preserve"> </w:t>
      </w:r>
      <w:r>
        <w:rPr>
          <w:rFonts w:ascii="Arial" w:hAnsi="Arial" w:cs="Arial"/>
          <w:b/>
          <w:color w:val="000000"/>
          <w:sz w:val="20"/>
          <w:szCs w:val="20"/>
          <w:lang w:val="en"/>
        </w:rPr>
        <w:t>to</w:t>
      </w:r>
      <w:r>
        <w:rPr>
          <w:rFonts w:ascii="Arial" w:eastAsia="Arial" w:hAnsi="Arial" w:cs="Arial"/>
          <w:b/>
          <w:color w:val="000000"/>
          <w:sz w:val="20"/>
          <w:szCs w:val="20"/>
          <w:lang w:val="en"/>
        </w:rPr>
        <w:t xml:space="preserve"> </w:t>
      </w:r>
      <w:r>
        <w:rPr>
          <w:rFonts w:ascii="Arial" w:hAnsi="Arial" w:cs="Arial"/>
          <w:b/>
          <w:color w:val="000000"/>
          <w:sz w:val="20"/>
          <w:szCs w:val="20"/>
          <w:lang w:val="en"/>
        </w:rPr>
        <w:t>members</w:t>
      </w:r>
      <w:r>
        <w:rPr>
          <w:rFonts w:ascii="Arial" w:eastAsia="Arial" w:hAnsi="Arial" w:cs="Arial"/>
          <w:b/>
          <w:color w:val="000000"/>
          <w:sz w:val="20"/>
          <w:szCs w:val="20"/>
          <w:lang w:val="en"/>
        </w:rPr>
        <w:t xml:space="preserve"> </w:t>
      </w:r>
      <w:r>
        <w:rPr>
          <w:rFonts w:ascii="Arial" w:hAnsi="Arial" w:cs="Arial"/>
          <w:b/>
          <w:color w:val="000000"/>
          <w:sz w:val="20"/>
          <w:szCs w:val="20"/>
          <w:lang w:val="en"/>
        </w:rPr>
        <w:t>of</w:t>
      </w:r>
      <w:r>
        <w:rPr>
          <w:rFonts w:ascii="Arial" w:eastAsia="Arial" w:hAnsi="Arial" w:cs="Arial"/>
          <w:b/>
          <w:color w:val="000000"/>
          <w:sz w:val="20"/>
          <w:szCs w:val="20"/>
          <w:lang w:val="en"/>
        </w:rPr>
        <w:t xml:space="preserve"> </w:t>
      </w:r>
      <w:r>
        <w:rPr>
          <w:rFonts w:ascii="Arial" w:hAnsi="Arial" w:cs="Arial"/>
          <w:b/>
          <w:color w:val="000000"/>
          <w:sz w:val="20"/>
          <w:szCs w:val="20"/>
          <w:lang w:val="en"/>
        </w:rPr>
        <w:t>the</w:t>
      </w:r>
      <w:r>
        <w:rPr>
          <w:rFonts w:ascii="Arial" w:eastAsia="Arial" w:hAnsi="Arial" w:cs="Arial"/>
          <w:b/>
          <w:color w:val="000000"/>
          <w:sz w:val="20"/>
          <w:szCs w:val="20"/>
          <w:lang w:val="en"/>
        </w:rPr>
        <w:t xml:space="preserve"> </w:t>
      </w:r>
      <w:r>
        <w:rPr>
          <w:rFonts w:ascii="Arial" w:hAnsi="Arial" w:cs="Arial"/>
          <w:b/>
          <w:color w:val="000000"/>
          <w:sz w:val="20"/>
          <w:szCs w:val="20"/>
          <w:lang w:val="en"/>
        </w:rPr>
        <w:t>public</w:t>
      </w:r>
    </w:p>
    <w:p w14:paraId="198A6887" w14:textId="77777777" w:rsidR="00F2123B" w:rsidRDefault="00200CFB">
      <w:pPr>
        <w:shd w:val="clear" w:color="auto" w:fill="FFFFFF"/>
        <w:spacing w:line="280" w:lineRule="atLeast"/>
      </w:pPr>
      <w:r>
        <w:rPr>
          <w:rFonts w:ascii="Arial" w:eastAsia="Arial" w:hAnsi="Arial" w:cs="Arial"/>
          <w:b/>
          <w:bCs/>
          <w:vanish/>
          <w:color w:val="000000"/>
          <w:sz w:val="20"/>
          <w:szCs w:val="20"/>
          <w:lang w:val="en"/>
        </w:rPr>
        <w:t xml:space="preserve"> </w:t>
      </w:r>
      <w:r>
        <w:rPr>
          <w:rFonts w:ascii="Arial" w:hAnsi="Arial" w:cs="Arial"/>
          <w:b/>
          <w:bCs/>
          <w:vanish/>
          <w:color w:val="000000"/>
          <w:sz w:val="20"/>
          <w:szCs w:val="20"/>
          <w:lang w:val="en"/>
        </w:rPr>
        <w:t>E+W</w:t>
      </w:r>
    </w:p>
    <w:p w14:paraId="198A6888"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p>
    <w:p w14:paraId="198A6889"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consider</w:t>
      </w:r>
      <w:r>
        <w:rPr>
          <w:rFonts w:eastAsia="Arial"/>
          <w:color w:val="000000"/>
          <w:sz w:val="20"/>
          <w:szCs w:val="20"/>
          <w:lang w:val="en"/>
        </w:rPr>
        <w:t xml:space="preserve"> </w:t>
      </w:r>
      <w:r>
        <w:rPr>
          <w:color w:val="000000"/>
          <w:sz w:val="20"/>
          <w:szCs w:val="20"/>
          <w:lang w:val="en"/>
        </w:rPr>
        <w:t>disclosing</w:t>
      </w:r>
      <w:r>
        <w:rPr>
          <w:rFonts w:eastAsia="Arial"/>
          <w:color w:val="000000"/>
          <w:sz w:val="20"/>
          <w:szCs w:val="20"/>
          <w:lang w:val="en"/>
        </w:rPr>
        <w:t xml:space="preserve"> </w:t>
      </w:r>
      <w:r>
        <w:rPr>
          <w:color w:val="000000"/>
          <w:sz w:val="20"/>
          <w:szCs w:val="20"/>
          <w:lang w:val="en"/>
        </w:rPr>
        <w:t>information</w:t>
      </w:r>
      <w:r>
        <w:rPr>
          <w:rFonts w:eastAsia="Arial"/>
          <w:color w:val="000000"/>
          <w:sz w:val="20"/>
          <w:szCs w:val="20"/>
          <w:lang w:val="en"/>
        </w:rPr>
        <w:t xml:space="preserve"> </w:t>
      </w:r>
      <w:r>
        <w:rPr>
          <w:color w:val="000000"/>
          <w:sz w:val="20"/>
          <w:szCs w:val="20"/>
          <w:lang w:val="en"/>
        </w:rPr>
        <w:t>about</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previous</w:t>
      </w:r>
      <w:r>
        <w:rPr>
          <w:rFonts w:eastAsia="Arial"/>
          <w:color w:val="000000"/>
          <w:sz w:val="20"/>
          <w:szCs w:val="20"/>
          <w:lang w:val="en"/>
        </w:rPr>
        <w:t xml:space="preserve"> </w:t>
      </w:r>
      <w:r>
        <w:rPr>
          <w:color w:val="000000"/>
          <w:sz w:val="20"/>
          <w:szCs w:val="20"/>
          <w:lang w:val="en"/>
        </w:rPr>
        <w:t>convictions for sexual offences against children</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member</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public.</w:t>
      </w:r>
    </w:p>
    <w:p w14:paraId="198A688A" w14:textId="77777777" w:rsidR="00F2123B" w:rsidRDefault="00200CFB">
      <w:pPr>
        <w:pStyle w:val="Bullet"/>
        <w:numPr>
          <w:ilvl w:val="0"/>
          <w:numId w:val="3"/>
        </w:numPr>
        <w:tabs>
          <w:tab w:val="left" w:pos="360"/>
        </w:tabs>
        <w:spacing w:line="280" w:lineRule="atLeast"/>
        <w:ind w:left="720"/>
      </w:pPr>
      <w:r>
        <w:rPr>
          <w:color w:val="000000"/>
          <w:sz w:val="20"/>
          <w:szCs w:val="20"/>
          <w:lang w:val="en"/>
        </w:rPr>
        <w:t>Creates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presumption</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favour</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(even</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no-one</w:t>
      </w:r>
      <w:r>
        <w:rPr>
          <w:rFonts w:eastAsia="Arial"/>
          <w:color w:val="000000"/>
          <w:sz w:val="20"/>
          <w:szCs w:val="20"/>
          <w:lang w:val="en"/>
        </w:rPr>
        <w:t xml:space="preserve"> </w:t>
      </w:r>
      <w:r>
        <w:rPr>
          <w:color w:val="000000"/>
          <w:sz w:val="20"/>
          <w:szCs w:val="20"/>
          <w:lang w:val="en"/>
        </w:rPr>
        <w:t>has</w:t>
      </w:r>
      <w:r>
        <w:rPr>
          <w:rFonts w:eastAsia="Arial"/>
          <w:color w:val="000000"/>
          <w:sz w:val="20"/>
          <w:szCs w:val="20"/>
          <w:lang w:val="en"/>
        </w:rPr>
        <w:t xml:space="preserve"> </w:t>
      </w:r>
      <w:r>
        <w:rPr>
          <w:color w:val="000000"/>
          <w:sz w:val="20"/>
          <w:szCs w:val="20"/>
          <w:lang w:val="en"/>
        </w:rPr>
        <w:t>requested</w:t>
      </w:r>
      <w:r>
        <w:rPr>
          <w:rFonts w:eastAsia="Arial"/>
          <w:color w:val="000000"/>
          <w:sz w:val="20"/>
          <w:szCs w:val="20"/>
          <w:lang w:val="en"/>
        </w:rPr>
        <w:t xml:space="preserve"> </w:t>
      </w:r>
      <w:r>
        <w:rPr>
          <w:color w:val="000000"/>
          <w:sz w:val="20"/>
          <w:szCs w:val="20"/>
          <w:lang w:val="en"/>
        </w:rPr>
        <w:t>it)</w:t>
      </w:r>
      <w:r>
        <w:rPr>
          <w:rFonts w:eastAsia="Arial"/>
          <w:color w:val="000000"/>
          <w:sz w:val="20"/>
          <w:szCs w:val="20"/>
          <w:lang w:val="en"/>
        </w:rPr>
        <w:t xml:space="preserve"> </w:t>
      </w:r>
      <w:r>
        <w:rPr>
          <w:color w:val="000000"/>
          <w:sz w:val="20"/>
          <w:szCs w:val="20"/>
          <w:lang w:val="en"/>
        </w:rPr>
        <w:t>if</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child</w:t>
      </w:r>
      <w:r>
        <w:rPr>
          <w:rFonts w:eastAsia="Arial"/>
          <w:color w:val="000000"/>
          <w:sz w:val="20"/>
          <w:szCs w:val="20"/>
          <w:lang w:val="en"/>
        </w:rPr>
        <w:t xml:space="preserve"> </w:t>
      </w:r>
      <w:r>
        <w:rPr>
          <w:color w:val="000000"/>
          <w:sz w:val="20"/>
          <w:szCs w:val="20"/>
          <w:lang w:val="en"/>
        </w:rPr>
        <w:t>sex</w:t>
      </w:r>
      <w:r>
        <w:rPr>
          <w:rFonts w:eastAsia="Arial"/>
          <w:color w:val="000000"/>
          <w:sz w:val="20"/>
          <w:szCs w:val="20"/>
          <w:lang w:val="en"/>
        </w:rPr>
        <w:t xml:space="preserve"> </w:t>
      </w:r>
      <w:r>
        <w:rPr>
          <w:color w:val="000000"/>
          <w:sz w:val="20"/>
          <w:szCs w:val="20"/>
          <w:lang w:val="en"/>
        </w:rPr>
        <w:t>offender</w:t>
      </w:r>
      <w:r>
        <w:rPr>
          <w:rFonts w:eastAsia="Arial"/>
          <w:color w:val="000000"/>
          <w:sz w:val="20"/>
          <w:szCs w:val="20"/>
          <w:lang w:val="en"/>
        </w:rPr>
        <w:t xml:space="preserve"> </w:t>
      </w:r>
      <w:r>
        <w:rPr>
          <w:color w:val="000000"/>
          <w:sz w:val="20"/>
          <w:szCs w:val="20"/>
          <w:lang w:val="en"/>
        </w:rPr>
        <w:t>poses</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risk</w:t>
      </w:r>
      <w:r>
        <w:rPr>
          <w:rFonts w:eastAsia="Arial"/>
          <w:color w:val="000000"/>
          <w:sz w:val="20"/>
          <w:szCs w:val="20"/>
          <w:lang w:val="en"/>
        </w:rPr>
        <w:t xml:space="preserve"> </w:t>
      </w:r>
      <w:r>
        <w:rPr>
          <w:color w:val="000000"/>
          <w:sz w:val="20"/>
          <w:szCs w:val="20"/>
          <w:lang w:val="en"/>
        </w:rPr>
        <w:t>of</w:t>
      </w:r>
      <w:r>
        <w:rPr>
          <w:rFonts w:eastAsia="Arial"/>
          <w:color w:val="000000"/>
          <w:sz w:val="20"/>
          <w:szCs w:val="20"/>
          <w:lang w:val="en"/>
        </w:rPr>
        <w:t xml:space="preserve"> </w:t>
      </w:r>
      <w:r>
        <w:rPr>
          <w:color w:val="000000"/>
          <w:sz w:val="20"/>
          <w:szCs w:val="20"/>
          <w:lang w:val="en"/>
        </w:rPr>
        <w:t>serious</w:t>
      </w:r>
      <w:r>
        <w:rPr>
          <w:rFonts w:eastAsia="Arial"/>
          <w:color w:val="000000"/>
          <w:sz w:val="20"/>
          <w:szCs w:val="20"/>
          <w:lang w:val="en"/>
        </w:rPr>
        <w:t xml:space="preserve"> </w:t>
      </w:r>
      <w:r>
        <w:rPr>
          <w:color w:val="000000"/>
          <w:sz w:val="20"/>
          <w:szCs w:val="20"/>
          <w:lang w:val="en"/>
        </w:rPr>
        <w:t>harm</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children</w:t>
      </w:r>
      <w:r>
        <w:rPr>
          <w:rFonts w:eastAsia="Arial"/>
          <w:color w:val="000000"/>
          <w:sz w:val="20"/>
          <w:szCs w:val="20"/>
          <w:lang w:val="en"/>
        </w:rPr>
        <w:t xml:space="preserve"> </w:t>
      </w:r>
      <w:r>
        <w:rPr>
          <w:color w:val="000000"/>
          <w:sz w:val="20"/>
          <w:szCs w:val="20"/>
          <w:lang w:val="en"/>
        </w:rPr>
        <w:t>and</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is</w:t>
      </w:r>
      <w:r>
        <w:rPr>
          <w:rFonts w:eastAsia="Arial"/>
          <w:color w:val="000000"/>
          <w:sz w:val="20"/>
          <w:szCs w:val="20"/>
          <w:lang w:val="en"/>
        </w:rPr>
        <w:t xml:space="preserve"> </w:t>
      </w:r>
      <w:r>
        <w:rPr>
          <w:color w:val="000000"/>
          <w:sz w:val="20"/>
          <w:szCs w:val="20"/>
          <w:lang w:val="en"/>
        </w:rPr>
        <w:t>necessary</w:t>
      </w:r>
      <w:r>
        <w:rPr>
          <w:rFonts w:eastAsia="Arial"/>
          <w:color w:val="000000"/>
          <w:sz w:val="20"/>
          <w:szCs w:val="20"/>
          <w:lang w:val="en"/>
        </w:rPr>
        <w:t xml:space="preserve"> </w:t>
      </w:r>
      <w:r>
        <w:rPr>
          <w:color w:val="000000"/>
          <w:sz w:val="20"/>
          <w:szCs w:val="20"/>
          <w:lang w:val="en"/>
        </w:rPr>
        <w:t>for</w:t>
      </w:r>
      <w:r>
        <w:rPr>
          <w:rFonts w:eastAsia="Arial"/>
          <w:color w:val="000000"/>
          <w:sz w:val="20"/>
          <w:szCs w:val="20"/>
          <w:lang w:val="en"/>
        </w:rPr>
        <w:t xml:space="preserve"> </w:t>
      </w:r>
      <w:r>
        <w:rPr>
          <w:color w:val="000000"/>
          <w:sz w:val="20"/>
          <w:szCs w:val="20"/>
          <w:lang w:val="en"/>
        </w:rPr>
        <w:t>their</w:t>
      </w:r>
      <w:r>
        <w:rPr>
          <w:rFonts w:eastAsia="Arial"/>
          <w:color w:val="000000"/>
          <w:sz w:val="20"/>
          <w:szCs w:val="20"/>
          <w:lang w:val="en"/>
        </w:rPr>
        <w:t xml:space="preserve"> </w:t>
      </w:r>
      <w:r>
        <w:rPr>
          <w:color w:val="000000"/>
          <w:sz w:val="20"/>
          <w:szCs w:val="20"/>
          <w:lang w:val="en"/>
        </w:rPr>
        <w:t>protection.</w:t>
      </w:r>
    </w:p>
    <w:p w14:paraId="198A688B" w14:textId="77777777" w:rsidR="00F2123B" w:rsidRDefault="00200CFB">
      <w:pPr>
        <w:pStyle w:val="Bullet"/>
        <w:numPr>
          <w:ilvl w:val="0"/>
          <w:numId w:val="3"/>
        </w:numPr>
        <w:tabs>
          <w:tab w:val="left" w:pos="360"/>
        </w:tabs>
        <w:spacing w:line="280" w:lineRule="atLeast"/>
        <w:ind w:left="720"/>
      </w:pPr>
      <w:r>
        <w:rPr>
          <w:color w:val="000000"/>
          <w:sz w:val="20"/>
          <w:szCs w:val="20"/>
          <w:lang w:val="en"/>
        </w:rPr>
        <w:t>Empowers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making</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a</w:t>
      </w:r>
      <w:r>
        <w:rPr>
          <w:rFonts w:eastAsia="Arial"/>
          <w:color w:val="000000"/>
          <w:sz w:val="20"/>
          <w:szCs w:val="20"/>
          <w:lang w:val="en"/>
        </w:rPr>
        <w:t xml:space="preserve"> </w:t>
      </w:r>
      <w:r>
        <w:rPr>
          <w:color w:val="000000"/>
          <w:sz w:val="20"/>
          <w:szCs w:val="20"/>
          <w:lang w:val="en"/>
        </w:rPr>
        <w:t>particular</w:t>
      </w:r>
      <w:r>
        <w:rPr>
          <w:rFonts w:eastAsia="Arial"/>
          <w:color w:val="000000"/>
          <w:sz w:val="20"/>
          <w:szCs w:val="20"/>
          <w:lang w:val="en"/>
        </w:rPr>
        <w:t xml:space="preserve"> </w:t>
      </w:r>
      <w:r>
        <w:rPr>
          <w:color w:val="000000"/>
          <w:sz w:val="20"/>
          <w:szCs w:val="20"/>
          <w:lang w:val="en"/>
        </w:rPr>
        <w:t>person,</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impose</w:t>
      </w:r>
      <w:r>
        <w:rPr>
          <w:rFonts w:eastAsia="Arial"/>
          <w:color w:val="000000"/>
          <w:sz w:val="20"/>
          <w:szCs w:val="20"/>
          <w:lang w:val="en"/>
        </w:rPr>
        <w:t xml:space="preserve"> </w:t>
      </w:r>
      <w:r>
        <w:rPr>
          <w:color w:val="000000"/>
          <w:sz w:val="20"/>
          <w:szCs w:val="20"/>
          <w:lang w:val="en"/>
        </w:rPr>
        <w:t>conditions</w:t>
      </w:r>
      <w:r>
        <w:rPr>
          <w:rFonts w:eastAsia="Arial"/>
          <w:color w:val="000000"/>
          <w:sz w:val="20"/>
          <w:szCs w:val="20"/>
          <w:lang w:val="en"/>
        </w:rPr>
        <w:t xml:space="preserve"> </w:t>
      </w:r>
      <w:r>
        <w:rPr>
          <w:color w:val="000000"/>
          <w:sz w:val="20"/>
          <w:szCs w:val="20"/>
          <w:lang w:val="en"/>
        </w:rPr>
        <w:t>preventing</w:t>
      </w:r>
      <w:r>
        <w:rPr>
          <w:rFonts w:eastAsia="Arial"/>
          <w:color w:val="000000"/>
          <w:sz w:val="20"/>
          <w:szCs w:val="20"/>
          <w:lang w:val="en"/>
        </w:rPr>
        <w:t xml:space="preserve"> </w:t>
      </w:r>
      <w:r>
        <w:rPr>
          <w:color w:val="000000"/>
          <w:sz w:val="20"/>
          <w:szCs w:val="20"/>
          <w:lang w:val="en"/>
        </w:rPr>
        <w:t>any</w:t>
      </w:r>
      <w:r>
        <w:rPr>
          <w:rFonts w:eastAsia="Arial"/>
          <w:color w:val="000000"/>
          <w:sz w:val="20"/>
          <w:szCs w:val="20"/>
          <w:lang w:val="en"/>
        </w:rPr>
        <w:t xml:space="preserve"> </w:t>
      </w:r>
      <w:r>
        <w:rPr>
          <w:color w:val="000000"/>
          <w:sz w:val="20"/>
          <w:szCs w:val="20"/>
          <w:lang w:val="en"/>
        </w:rPr>
        <w:t>further</w:t>
      </w:r>
      <w:r>
        <w:rPr>
          <w:rFonts w:eastAsia="Arial"/>
          <w:color w:val="000000"/>
          <w:sz w:val="20"/>
          <w:szCs w:val="20"/>
          <w:lang w:val="en"/>
        </w:rPr>
        <w:t xml:space="preserve"> </w:t>
      </w:r>
      <w:r>
        <w:rPr>
          <w:color w:val="000000"/>
          <w:sz w:val="20"/>
          <w:szCs w:val="20"/>
          <w:lang w:val="en"/>
        </w:rPr>
        <w:t>disclosure.</w:t>
      </w:r>
    </w:p>
    <w:p w14:paraId="198A688C" w14:textId="77777777" w:rsidR="00F2123B" w:rsidRDefault="00200CFB">
      <w:pPr>
        <w:pStyle w:val="Bullet"/>
        <w:numPr>
          <w:ilvl w:val="0"/>
          <w:numId w:val="3"/>
        </w:numPr>
        <w:tabs>
          <w:tab w:val="left" w:pos="360"/>
        </w:tabs>
        <w:spacing w:line="280" w:lineRule="atLeast"/>
        <w:ind w:left="720"/>
      </w:pPr>
      <w:r>
        <w:rPr>
          <w:color w:val="000000"/>
          <w:sz w:val="20"/>
          <w:szCs w:val="20"/>
          <w:lang w:val="en"/>
        </w:rPr>
        <w:t>Requires</w:t>
      </w:r>
      <w:r>
        <w:rPr>
          <w:rFonts w:eastAsia="Arial"/>
          <w:color w:val="000000"/>
          <w:sz w:val="20"/>
          <w:szCs w:val="20"/>
          <w:lang w:val="en"/>
        </w:rPr>
        <w:t xml:space="preserve"> </w:t>
      </w:r>
      <w:r>
        <w:rPr>
          <w:color w:val="000000"/>
          <w:sz w:val="20"/>
          <w:szCs w:val="20"/>
          <w:lang w:val="en"/>
        </w:rPr>
        <w:t>the</w:t>
      </w:r>
      <w:r>
        <w:rPr>
          <w:rFonts w:eastAsia="Arial"/>
          <w:color w:val="000000"/>
          <w:sz w:val="20"/>
          <w:szCs w:val="20"/>
          <w:lang w:val="en"/>
        </w:rPr>
        <w:t xml:space="preserve"> </w:t>
      </w:r>
      <w:r>
        <w:rPr>
          <w:color w:val="000000"/>
          <w:sz w:val="20"/>
          <w:szCs w:val="20"/>
          <w:lang w:val="en"/>
        </w:rPr>
        <w:t>Responsible Authority</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record</w:t>
      </w:r>
      <w:r>
        <w:rPr>
          <w:rFonts w:eastAsia="Arial"/>
          <w:color w:val="000000"/>
          <w:sz w:val="20"/>
          <w:szCs w:val="20"/>
          <w:lang w:val="en"/>
        </w:rPr>
        <w:t xml:space="preserve"> </w:t>
      </w:r>
      <w:r>
        <w:rPr>
          <w:color w:val="000000"/>
          <w:sz w:val="20"/>
          <w:szCs w:val="20"/>
          <w:lang w:val="en"/>
        </w:rPr>
        <w:t>its</w:t>
      </w:r>
      <w:r>
        <w:rPr>
          <w:rFonts w:eastAsia="Arial"/>
          <w:color w:val="000000"/>
          <w:sz w:val="20"/>
          <w:szCs w:val="20"/>
          <w:lang w:val="en"/>
        </w:rPr>
        <w:t xml:space="preserve"> </w:t>
      </w:r>
      <w:r>
        <w:rPr>
          <w:color w:val="000000"/>
          <w:sz w:val="20"/>
          <w:szCs w:val="20"/>
          <w:lang w:val="en"/>
        </w:rPr>
        <w:t>decision</w:t>
      </w:r>
      <w:r>
        <w:rPr>
          <w:rFonts w:eastAsia="Arial"/>
          <w:color w:val="000000"/>
          <w:sz w:val="20"/>
          <w:szCs w:val="20"/>
          <w:lang w:val="en"/>
        </w:rPr>
        <w:t xml:space="preserve"> </w:t>
      </w:r>
      <w:r>
        <w:rPr>
          <w:color w:val="000000"/>
          <w:sz w:val="20"/>
          <w:szCs w:val="20"/>
          <w:lang w:val="en"/>
        </w:rPr>
        <w:t>whether</w:t>
      </w:r>
      <w:r>
        <w:rPr>
          <w:rFonts w:eastAsia="Arial"/>
          <w:color w:val="000000"/>
          <w:sz w:val="20"/>
          <w:szCs w:val="20"/>
          <w:lang w:val="en"/>
        </w:rPr>
        <w:t xml:space="preserve"> </w:t>
      </w:r>
      <w:r>
        <w:rPr>
          <w:color w:val="000000"/>
          <w:sz w:val="20"/>
          <w:szCs w:val="20"/>
          <w:lang w:val="en"/>
        </w:rPr>
        <w:t>or</w:t>
      </w:r>
      <w:r>
        <w:rPr>
          <w:rFonts w:eastAsia="Arial"/>
          <w:color w:val="000000"/>
          <w:sz w:val="20"/>
          <w:szCs w:val="20"/>
          <w:lang w:val="en"/>
        </w:rPr>
        <w:t xml:space="preserve"> </w:t>
      </w:r>
      <w:r>
        <w:rPr>
          <w:color w:val="000000"/>
          <w:sz w:val="20"/>
          <w:szCs w:val="20"/>
          <w:lang w:val="en"/>
        </w:rPr>
        <w:t>not</w:t>
      </w:r>
      <w:r>
        <w:rPr>
          <w:rFonts w:eastAsia="Arial"/>
          <w:color w:val="000000"/>
          <w:sz w:val="20"/>
          <w:szCs w:val="20"/>
          <w:lang w:val="en"/>
        </w:rPr>
        <w:t xml:space="preserve"> </w:t>
      </w:r>
      <w:r>
        <w:rPr>
          <w:color w:val="000000"/>
          <w:sz w:val="20"/>
          <w:szCs w:val="20"/>
          <w:lang w:val="en"/>
        </w:rPr>
        <w:t>to</w:t>
      </w:r>
      <w:r>
        <w:rPr>
          <w:rFonts w:eastAsia="Arial"/>
          <w:color w:val="000000"/>
          <w:sz w:val="20"/>
          <w:szCs w:val="20"/>
          <w:lang w:val="en"/>
        </w:rPr>
        <w:t xml:space="preserve"> </w:t>
      </w:r>
      <w:r>
        <w:rPr>
          <w:color w:val="000000"/>
          <w:sz w:val="20"/>
          <w:szCs w:val="20"/>
          <w:lang w:val="en"/>
        </w:rPr>
        <w:t>make</w:t>
      </w:r>
      <w:r>
        <w:rPr>
          <w:rFonts w:eastAsia="Arial"/>
          <w:color w:val="000000"/>
          <w:sz w:val="20"/>
          <w:szCs w:val="20"/>
          <w:lang w:val="en"/>
        </w:rPr>
        <w:t xml:space="preserve"> </w:t>
      </w:r>
      <w:r>
        <w:rPr>
          <w:color w:val="000000"/>
          <w:sz w:val="20"/>
          <w:szCs w:val="20"/>
          <w:lang w:val="en"/>
        </w:rPr>
        <w:t>disclosure</w:t>
      </w:r>
      <w:r>
        <w:rPr>
          <w:rFonts w:eastAsia="Arial"/>
          <w:color w:val="000000"/>
          <w:sz w:val="20"/>
          <w:szCs w:val="20"/>
          <w:lang w:val="en"/>
        </w:rPr>
        <w:t xml:space="preserve"> </w:t>
      </w:r>
      <w:r>
        <w:rPr>
          <w:color w:val="000000"/>
          <w:sz w:val="20"/>
          <w:szCs w:val="20"/>
          <w:lang w:val="en"/>
        </w:rPr>
        <w:t>in</w:t>
      </w:r>
      <w:r>
        <w:rPr>
          <w:rFonts w:eastAsia="Arial"/>
          <w:color w:val="000000"/>
          <w:sz w:val="20"/>
          <w:szCs w:val="20"/>
          <w:lang w:val="en"/>
        </w:rPr>
        <w:t xml:space="preserve"> </w:t>
      </w:r>
      <w:r>
        <w:rPr>
          <w:color w:val="000000"/>
          <w:sz w:val="20"/>
          <w:szCs w:val="20"/>
          <w:lang w:val="en"/>
        </w:rPr>
        <w:t>each</w:t>
      </w:r>
      <w:r>
        <w:rPr>
          <w:rFonts w:eastAsia="Arial"/>
          <w:color w:val="000000"/>
          <w:sz w:val="20"/>
          <w:szCs w:val="20"/>
          <w:lang w:val="en"/>
        </w:rPr>
        <w:t xml:space="preserve"> </w:t>
      </w:r>
      <w:r>
        <w:rPr>
          <w:color w:val="000000"/>
          <w:sz w:val="20"/>
          <w:szCs w:val="20"/>
          <w:lang w:val="en"/>
        </w:rPr>
        <w:t>case.</w:t>
      </w:r>
    </w:p>
    <w:p w14:paraId="198A688D" w14:textId="77777777" w:rsidR="00F2123B" w:rsidRDefault="00F2123B">
      <w:pPr>
        <w:spacing w:line="280" w:lineRule="atLeast"/>
        <w:rPr>
          <w:rFonts w:ascii="Arial" w:hAnsi="Arial" w:cs="Arial"/>
          <w:sz w:val="20"/>
          <w:szCs w:val="20"/>
        </w:rPr>
      </w:pPr>
    </w:p>
    <w:p w14:paraId="198A688E" w14:textId="77777777" w:rsidR="00F2123B" w:rsidRDefault="00200CFB">
      <w:pPr>
        <w:shd w:val="clear" w:color="auto" w:fill="FFFFFF"/>
        <w:spacing w:line="280" w:lineRule="atLeast"/>
      </w:pP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327B:</w:t>
      </w:r>
      <w:r>
        <w:rPr>
          <w:rFonts w:ascii="Arial" w:eastAsia="Arial" w:hAnsi="Arial" w:cs="Arial"/>
          <w:b/>
          <w:color w:val="000000"/>
          <w:sz w:val="20"/>
          <w:szCs w:val="20"/>
        </w:rPr>
        <w:t xml:space="preserve"> </w:t>
      </w:r>
      <w:r>
        <w:rPr>
          <w:rFonts w:ascii="Arial" w:hAnsi="Arial" w:cs="Arial"/>
          <w:b/>
          <w:color w:val="000000"/>
          <w:sz w:val="20"/>
          <w:szCs w:val="20"/>
        </w:rPr>
        <w:t>Section</w:t>
      </w:r>
      <w:r>
        <w:rPr>
          <w:rFonts w:ascii="Arial" w:eastAsia="Arial" w:hAnsi="Arial" w:cs="Arial"/>
          <w:b/>
          <w:color w:val="000000"/>
          <w:sz w:val="20"/>
          <w:szCs w:val="20"/>
        </w:rPr>
        <w:t xml:space="preserve"> </w:t>
      </w:r>
      <w:r>
        <w:rPr>
          <w:rFonts w:ascii="Arial" w:hAnsi="Arial" w:cs="Arial"/>
          <w:b/>
          <w:color w:val="000000"/>
          <w:sz w:val="20"/>
          <w:szCs w:val="20"/>
        </w:rPr>
        <w:t>327A</w:t>
      </w:r>
      <w:r>
        <w:rPr>
          <w:rFonts w:ascii="Arial" w:eastAsia="Arial" w:hAnsi="Arial" w:cs="Arial"/>
          <w:b/>
          <w:color w:val="000000"/>
          <w:sz w:val="20"/>
          <w:szCs w:val="20"/>
        </w:rPr>
        <w:t xml:space="preserve"> – </w:t>
      </w:r>
      <w:r>
        <w:rPr>
          <w:rFonts w:ascii="Arial" w:hAnsi="Arial" w:cs="Arial"/>
          <w:b/>
          <w:color w:val="000000"/>
          <w:sz w:val="20"/>
          <w:szCs w:val="20"/>
        </w:rPr>
        <w:t>interpretation</w:t>
      </w:r>
      <w:r>
        <w:rPr>
          <w:rFonts w:ascii="Arial" w:eastAsia="Arial" w:hAnsi="Arial" w:cs="Arial"/>
          <w:b/>
          <w:color w:val="000000"/>
          <w:sz w:val="20"/>
          <w:szCs w:val="20"/>
        </w:rPr>
        <w:t xml:space="preserve"> </w:t>
      </w:r>
    </w:p>
    <w:p w14:paraId="198A688F" w14:textId="77777777" w:rsidR="00F2123B" w:rsidRDefault="00200CFB">
      <w:pPr>
        <w:spacing w:line="280" w:lineRule="atLeast"/>
      </w:pP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defines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terms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327A,</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18),</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sex</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t>2 Responsible Authority and Lead Agency</w:t>
      </w:r>
    </w:p>
    <w:p w14:paraId="198A6892" w14:textId="77777777" w:rsidR="00F2123B" w:rsidRDefault="00200CFB" w:rsidP="00880E02">
      <w:pPr>
        <w:pStyle w:val="Heading1"/>
      </w:pPr>
      <w:bookmarkStart w:id="0" w:name="7117076"/>
      <w:bookmarkStart w:id="1" w:name="7117108"/>
      <w:bookmarkEnd w:id="0"/>
      <w:bookmarkEnd w:id="1"/>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Make arrangements for assessing and managing the risks posed by MAPPA eligible offenders in its area.</w:t>
      </w:r>
    </w:p>
    <w:p w14:paraId="198A6895"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pPr>
        <w:pStyle w:val="ListParagraph"/>
        <w:numPr>
          <w:ilvl w:val="0"/>
          <w:numId w:val="4"/>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Consider disclosing information about offenders in order to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pPr>
        <w:pStyle w:val="ListParagraph"/>
        <w:numPr>
          <w:ilvl w:val="0"/>
          <w:numId w:val="5"/>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pPr>
        <w:numPr>
          <w:ilvl w:val="0"/>
          <w:numId w:val="5"/>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pPr>
        <w:pStyle w:val="ListParagraph"/>
        <w:numPr>
          <w:ilvl w:val="0"/>
          <w:numId w:val="5"/>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pPr>
        <w:pStyle w:val="ListParagraph"/>
        <w:numPr>
          <w:ilvl w:val="0"/>
          <w:numId w:val="5"/>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2" w:name="7117172"/>
      <w:bookmarkEnd w:id="2"/>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became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ViSOR.  Some areas have established joint Police and Probation Units to 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pPr>
        <w:pStyle w:val="ListParagraph"/>
        <w:numPr>
          <w:ilvl w:val="0"/>
          <w:numId w:val="6"/>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Are entered on ViSOR and have their ViSOR records maintained in accordance with national ViSOR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3" w:name="7117236"/>
      <w:bookmarkEnd w:id="3"/>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has the ability to work across boundaries.  It is part of the ViSOR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2.9 The BTP should be involved in the risk management of MAPPA offenders where this is appropriate and necessary, including being invited to Level 2 and 3 MAPPA meetings.  Invitation should be sent to the BTP Force Intelligence Bureau (email: fib@btp.pnn.police.uk telephone: 020 7830 8969 fax: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all of the necessary arrangements are in place to manage them.  The Royal Military Police is part of the ViSOR community and will ensure that the ViSOR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2.13 The Probation Service supervises MAPPA and high-risk offenders released in the community.  The Probation Service works in partnership with the CRCs, the courts, prisons, police, health, local authorities and with private and voluntary sector partners in order to manage offenders safely and effectively.  Probation Service responsibilities include:</w:t>
      </w:r>
    </w:p>
    <w:p w14:paraId="198A68B2"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pPr>
        <w:pStyle w:val="NormalWeb"/>
        <w:numPr>
          <w:ilvl w:val="0"/>
          <w:numId w:val="7"/>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pPr>
        <w:pStyle w:val="NormalWeb"/>
        <w:numPr>
          <w:ilvl w:val="0"/>
          <w:numId w:val="7"/>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Ensuring that all Category 2 Level 2 and 3 cases are recorded on ViSOR.</w:t>
      </w:r>
    </w:p>
    <w:p w14:paraId="198A68BA" w14:textId="77777777" w:rsidR="00F2123B" w:rsidRDefault="00200CFB">
      <w:pPr>
        <w:pStyle w:val="Heading1"/>
        <w:spacing w:before="100"/>
      </w:pPr>
      <w:bookmarkStart w:id="4" w:name="7117300"/>
      <w:bookmarkEnd w:id="4"/>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pPr>
        <w:pStyle w:val="ListParagraph"/>
        <w:numPr>
          <w:ilvl w:val="0"/>
          <w:numId w:val="8"/>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pPr>
        <w:pStyle w:val="ListParagraph"/>
        <w:numPr>
          <w:ilvl w:val="0"/>
          <w:numId w:val="8"/>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pPr>
        <w:pStyle w:val="ListParagraph"/>
        <w:numPr>
          <w:ilvl w:val="0"/>
          <w:numId w:val="8"/>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Maintain ViSOR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pPr>
        <w:pStyle w:val="NormalWeb"/>
        <w:numPr>
          <w:ilvl w:val="0"/>
          <w:numId w:val="9"/>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pPr>
        <w:pStyle w:val="NormalWeb"/>
        <w:numPr>
          <w:ilvl w:val="0"/>
          <w:numId w:val="9"/>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cases it will be co-ordinated by community mental health teams.  It is essential that mental health and learning disability services:</w:t>
      </w:r>
    </w:p>
    <w:p w14:paraId="198A68D0"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pPr>
        <w:pStyle w:val="NormalWeb"/>
        <w:numPr>
          <w:ilvl w:val="0"/>
          <w:numId w:val="10"/>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pPr>
        <w:pStyle w:val="NormalWeb"/>
        <w:numPr>
          <w:ilvl w:val="0"/>
          <w:numId w:val="10"/>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pPr>
        <w:pStyle w:val="NormalWeb"/>
        <w:numPr>
          <w:ilvl w:val="0"/>
          <w:numId w:val="10"/>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pPr>
        <w:pStyle w:val="NormalWeb"/>
        <w:numPr>
          <w:ilvl w:val="0"/>
          <w:numId w:val="11"/>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pPr>
        <w:pStyle w:val="NormalWeb"/>
        <w:numPr>
          <w:ilvl w:val="0"/>
          <w:numId w:val="11"/>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26.10).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it is clear that the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036B539A" w14:textId="77777777" w:rsidR="009E0DD4" w:rsidRDefault="009E0DD4" w:rsidP="009E0DD4">
      <w:pPr>
        <w:pStyle w:val="Heading1"/>
        <w:rPr>
          <w:sz w:val="24"/>
          <w:szCs w:val="48"/>
          <w:lang w:eastAsia="en-GB"/>
        </w:rPr>
      </w:pPr>
      <w:r>
        <w:rPr>
          <w:rStyle w:val="incmpparttitle"/>
        </w:rPr>
        <w:t>Introduction</w:t>
      </w:r>
    </w:p>
    <w:p w14:paraId="4772DCBD"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3.1 </w:t>
      </w:r>
      <w:r w:rsidRPr="004262AD">
        <w:rPr>
          <w:rStyle w:val="Strong"/>
          <w:rFonts w:ascii="Arial" w:hAnsi="Arial" w:cs="Arial"/>
          <w:b w:val="0"/>
          <w:bCs w:val="0"/>
          <w:sz w:val="20"/>
          <w:szCs w:val="20"/>
        </w:rPr>
        <w:t>Section</w:t>
      </w:r>
      <w:r w:rsidRPr="004262AD">
        <w:rPr>
          <w:rFonts w:ascii="Arial" w:hAnsi="Arial" w:cs="Arial"/>
          <w:b/>
          <w:bCs/>
          <w:sz w:val="20"/>
          <w:szCs w:val="20"/>
        </w:rPr>
        <w:t xml:space="preserve"> </w:t>
      </w:r>
      <w:r w:rsidRPr="004262AD">
        <w:rPr>
          <w:rStyle w:val="Strong"/>
          <w:rFonts w:ascii="Arial" w:hAnsi="Arial" w:cs="Arial"/>
          <w:b w:val="0"/>
          <w:bCs w:val="0"/>
          <w:sz w:val="20"/>
          <w:szCs w:val="20"/>
        </w:rPr>
        <w:t>325(3)</w:t>
      </w:r>
      <w:r w:rsidRPr="004262AD">
        <w:rPr>
          <w:rFonts w:ascii="Arial" w:hAnsi="Arial" w:cs="Arial"/>
          <w:sz w:val="20"/>
          <w:szCs w:val="20"/>
        </w:rPr>
        <w:t xml:space="preserve"> of the Criminal Justice Act 2003 (CJA 2003) requires the Responsible Authority (RA) to co-operate with the list of agencies specified in section 325(6) of the Act. They are known as Duty to Co-operate Agencies (DTC agencies).</w:t>
      </w:r>
    </w:p>
    <w:p w14:paraId="1C8B156E" w14:textId="77777777" w:rsidR="009E0DD4" w:rsidRPr="004262AD" w:rsidRDefault="009E0DD4" w:rsidP="004262AD">
      <w:pPr>
        <w:pStyle w:val="NormalWeb"/>
        <w:spacing w:line="280" w:lineRule="exact"/>
        <w:rPr>
          <w:rFonts w:ascii="Arial" w:hAnsi="Arial" w:cs="Arial"/>
          <w:b/>
          <w:bCs/>
          <w:sz w:val="20"/>
          <w:szCs w:val="20"/>
        </w:rPr>
      </w:pPr>
      <w:r w:rsidRPr="004262AD">
        <w:rPr>
          <w:rFonts w:ascii="Arial" w:hAnsi="Arial" w:cs="Arial"/>
          <w:sz w:val="20"/>
          <w:szCs w:val="20"/>
        </w:rPr>
        <w:t xml:space="preserve">3.2 </w:t>
      </w:r>
      <w:r w:rsidRPr="004262AD">
        <w:rPr>
          <w:rStyle w:val="Strong"/>
          <w:rFonts w:ascii="Arial" w:hAnsi="Arial" w:cs="Arial"/>
          <w:b w:val="0"/>
          <w:bCs w:val="0"/>
          <w:sz w:val="20"/>
          <w:szCs w:val="20"/>
        </w:rPr>
        <w:t>This</w:t>
      </w:r>
      <w:r w:rsidRPr="004262AD">
        <w:rPr>
          <w:rFonts w:ascii="Arial" w:hAnsi="Arial" w:cs="Arial"/>
          <w:b/>
          <w:bCs/>
          <w:sz w:val="20"/>
          <w:szCs w:val="20"/>
        </w:rPr>
        <w:t xml:space="preserve"> </w:t>
      </w:r>
      <w:r w:rsidRPr="004262AD">
        <w:rPr>
          <w:rStyle w:val="Strong"/>
          <w:rFonts w:ascii="Arial" w:hAnsi="Arial" w:cs="Arial"/>
          <w:b w:val="0"/>
          <w:bCs w:val="0"/>
          <w:sz w:val="20"/>
          <w:szCs w:val="20"/>
        </w:rPr>
        <w:t>is</w:t>
      </w:r>
      <w:r w:rsidRPr="004262AD">
        <w:rPr>
          <w:rFonts w:ascii="Arial" w:hAnsi="Arial" w:cs="Arial"/>
          <w:b/>
          <w:bCs/>
          <w:sz w:val="20"/>
          <w:szCs w:val="20"/>
        </w:rPr>
        <w:t xml:space="preserve"> </w:t>
      </w:r>
      <w:r w:rsidRPr="004262AD">
        <w:rPr>
          <w:rStyle w:val="Strong"/>
          <w:rFonts w:ascii="Arial" w:hAnsi="Arial" w:cs="Arial"/>
          <w:b w:val="0"/>
          <w:bCs w:val="0"/>
          <w:sz w:val="20"/>
          <w:szCs w:val="20"/>
        </w:rPr>
        <w:t>a</w:t>
      </w:r>
      <w:r w:rsidRPr="004262AD">
        <w:rPr>
          <w:rFonts w:ascii="Arial" w:hAnsi="Arial" w:cs="Arial"/>
          <w:b/>
          <w:bCs/>
          <w:sz w:val="20"/>
          <w:szCs w:val="20"/>
        </w:rPr>
        <w:t xml:space="preserve"> </w:t>
      </w:r>
      <w:r w:rsidRPr="004262AD">
        <w:rPr>
          <w:rStyle w:val="Strong"/>
          <w:rFonts w:ascii="Arial" w:hAnsi="Arial" w:cs="Arial"/>
          <w:b w:val="0"/>
          <w:bCs w:val="0"/>
          <w:sz w:val="20"/>
          <w:szCs w:val="20"/>
        </w:rPr>
        <w:t>reciprocal</w:t>
      </w:r>
      <w:r w:rsidRPr="004262AD">
        <w:rPr>
          <w:rFonts w:ascii="Arial" w:hAnsi="Arial" w:cs="Arial"/>
          <w:b/>
          <w:bCs/>
          <w:sz w:val="20"/>
          <w:szCs w:val="20"/>
        </w:rPr>
        <w:t xml:space="preserve"> </w:t>
      </w:r>
      <w:r w:rsidRPr="004262AD">
        <w:rPr>
          <w:rStyle w:val="Strong"/>
          <w:rFonts w:ascii="Arial" w:hAnsi="Arial" w:cs="Arial"/>
          <w:b w:val="0"/>
          <w:bCs w:val="0"/>
          <w:sz w:val="20"/>
          <w:szCs w:val="20"/>
        </w:rPr>
        <w:t>duty;</w:t>
      </w:r>
      <w:r w:rsidRPr="004262AD">
        <w:rPr>
          <w:rFonts w:ascii="Arial" w:hAnsi="Arial" w:cs="Arial"/>
          <w:sz w:val="20"/>
          <w:szCs w:val="20"/>
        </w:rPr>
        <w:t xml:space="preserve"> the CJA 2003 obliges DTC agencies to co-operate with the RA in establishing arrangements to assess and manage the risks presented by serious sexual, violent and terrorist offenders. This includes co-operating with other DTC agencies. DTC agencies are required to co-operate as far as they can, </w:t>
      </w:r>
      <w:r w:rsidRPr="004262AD">
        <w:rPr>
          <w:rStyle w:val="Strong"/>
          <w:rFonts w:ascii="Arial" w:hAnsi="Arial" w:cs="Arial"/>
          <w:b w:val="0"/>
          <w:bCs w:val="0"/>
          <w:sz w:val="20"/>
          <w:szCs w:val="20"/>
        </w:rPr>
        <w:t>consistent</w:t>
      </w:r>
      <w:r w:rsidRPr="004262AD">
        <w:rPr>
          <w:rFonts w:ascii="Arial" w:hAnsi="Arial" w:cs="Arial"/>
          <w:b/>
          <w:bCs/>
          <w:sz w:val="20"/>
          <w:szCs w:val="20"/>
        </w:rPr>
        <w:t xml:space="preserve"> </w:t>
      </w:r>
      <w:r w:rsidRPr="004262AD">
        <w:rPr>
          <w:rStyle w:val="Strong"/>
          <w:rFonts w:ascii="Arial" w:hAnsi="Arial" w:cs="Arial"/>
          <w:b w:val="0"/>
          <w:bCs w:val="0"/>
          <w:sz w:val="20"/>
          <w:szCs w:val="20"/>
        </w:rPr>
        <w:t>with</w:t>
      </w:r>
      <w:r w:rsidRPr="004262AD">
        <w:rPr>
          <w:rFonts w:ascii="Arial" w:hAnsi="Arial" w:cs="Arial"/>
          <w:b/>
          <w:bCs/>
          <w:sz w:val="20"/>
          <w:szCs w:val="20"/>
        </w:rPr>
        <w:t xml:space="preserve"> </w:t>
      </w:r>
      <w:r w:rsidRPr="004262AD">
        <w:rPr>
          <w:rStyle w:val="Strong"/>
          <w:rFonts w:ascii="Arial" w:hAnsi="Arial" w:cs="Arial"/>
          <w:b w:val="0"/>
          <w:bCs w:val="0"/>
          <w:sz w:val="20"/>
          <w:szCs w:val="20"/>
        </w:rPr>
        <w:t>the</w:t>
      </w:r>
      <w:r w:rsidRPr="004262AD">
        <w:rPr>
          <w:rFonts w:ascii="Arial" w:hAnsi="Arial" w:cs="Arial"/>
          <w:b/>
          <w:bCs/>
          <w:sz w:val="20"/>
          <w:szCs w:val="20"/>
        </w:rPr>
        <w:t xml:space="preserve"> </w:t>
      </w:r>
      <w:r w:rsidRPr="004262AD">
        <w:rPr>
          <w:rStyle w:val="Strong"/>
          <w:rFonts w:ascii="Arial" w:hAnsi="Arial" w:cs="Arial"/>
          <w:b w:val="0"/>
          <w:bCs w:val="0"/>
          <w:sz w:val="20"/>
          <w:szCs w:val="20"/>
        </w:rPr>
        <w:t>exercise</w:t>
      </w:r>
      <w:r w:rsidRPr="004262AD">
        <w:rPr>
          <w:rFonts w:ascii="Arial" w:hAnsi="Arial" w:cs="Arial"/>
          <w:b/>
          <w:bCs/>
          <w:sz w:val="20"/>
          <w:szCs w:val="20"/>
        </w:rPr>
        <w:t xml:space="preserve"> </w:t>
      </w:r>
      <w:r w:rsidRPr="004262AD">
        <w:rPr>
          <w:rStyle w:val="Strong"/>
          <w:rFonts w:ascii="Arial" w:hAnsi="Arial" w:cs="Arial"/>
          <w:b w:val="0"/>
          <w:bCs w:val="0"/>
          <w:sz w:val="20"/>
          <w:szCs w:val="20"/>
        </w:rPr>
        <w:t>of</w:t>
      </w:r>
      <w:r w:rsidRPr="004262AD">
        <w:rPr>
          <w:rFonts w:ascii="Arial" w:hAnsi="Arial" w:cs="Arial"/>
          <w:b/>
          <w:bCs/>
          <w:sz w:val="20"/>
          <w:szCs w:val="20"/>
        </w:rPr>
        <w:t xml:space="preserve"> </w:t>
      </w:r>
      <w:r w:rsidRPr="004262AD">
        <w:rPr>
          <w:rStyle w:val="Strong"/>
          <w:rFonts w:ascii="Arial" w:hAnsi="Arial" w:cs="Arial"/>
          <w:b w:val="0"/>
          <w:bCs w:val="0"/>
          <w:sz w:val="20"/>
          <w:szCs w:val="20"/>
        </w:rPr>
        <w:t>their</w:t>
      </w:r>
      <w:r w:rsidRPr="004262AD">
        <w:rPr>
          <w:rFonts w:ascii="Arial" w:hAnsi="Arial" w:cs="Arial"/>
          <w:b/>
          <w:bCs/>
          <w:sz w:val="20"/>
          <w:szCs w:val="20"/>
        </w:rPr>
        <w:t xml:space="preserve"> </w:t>
      </w:r>
      <w:r w:rsidRPr="004262AD">
        <w:rPr>
          <w:rStyle w:val="Strong"/>
          <w:rFonts w:ascii="Arial" w:hAnsi="Arial" w:cs="Arial"/>
          <w:b w:val="0"/>
          <w:bCs w:val="0"/>
          <w:sz w:val="20"/>
          <w:szCs w:val="20"/>
        </w:rPr>
        <w:t>statutory</w:t>
      </w:r>
      <w:r w:rsidRPr="004262AD">
        <w:rPr>
          <w:rFonts w:ascii="Arial" w:hAnsi="Arial" w:cs="Arial"/>
          <w:b/>
          <w:bCs/>
          <w:sz w:val="20"/>
          <w:szCs w:val="20"/>
        </w:rPr>
        <w:t xml:space="preserve"> </w:t>
      </w:r>
      <w:r w:rsidRPr="004262AD">
        <w:rPr>
          <w:rStyle w:val="Strong"/>
          <w:rFonts w:ascii="Arial" w:hAnsi="Arial" w:cs="Arial"/>
          <w:b w:val="0"/>
          <w:bCs w:val="0"/>
          <w:sz w:val="20"/>
          <w:szCs w:val="20"/>
        </w:rPr>
        <w:t>functions.</w:t>
      </w:r>
    </w:p>
    <w:p w14:paraId="1EC1DD7A"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3.3 s.</w:t>
      </w:r>
      <w:r w:rsidRPr="004262AD">
        <w:rPr>
          <w:rStyle w:val="Strong"/>
          <w:rFonts w:ascii="Arial" w:hAnsi="Arial" w:cs="Arial"/>
          <w:b w:val="0"/>
          <w:sz w:val="20"/>
          <w:szCs w:val="20"/>
        </w:rPr>
        <w:t>325(4)</w:t>
      </w:r>
      <w:r w:rsidRPr="004262AD">
        <w:rPr>
          <w:rFonts w:ascii="Arial" w:hAnsi="Arial" w:cs="Arial"/>
          <w:sz w:val="20"/>
          <w:szCs w:val="20"/>
        </w:rPr>
        <w:t xml:space="preserve"> of the CJA 2003 states that the duty to co-operate may include the exchange of information. For more about this, see Chapter 9 – Information-sharing.</w:t>
      </w:r>
    </w:p>
    <w:p w14:paraId="0E5A53DC" w14:textId="77777777"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 xml:space="preserve">3.4 The DTC agencies listed in </w:t>
      </w:r>
      <w:r w:rsidRPr="004262AD">
        <w:rPr>
          <w:rStyle w:val="Strong"/>
          <w:rFonts w:ascii="Arial" w:hAnsi="Arial" w:cs="Arial"/>
          <w:b w:val="0"/>
          <w:sz w:val="20"/>
          <w:szCs w:val="20"/>
        </w:rPr>
        <w:t>s.325(6)</w:t>
      </w:r>
      <w:r w:rsidRPr="004262AD">
        <w:rPr>
          <w:rFonts w:ascii="Arial" w:hAnsi="Arial" w:cs="Arial"/>
          <w:sz w:val="20"/>
          <w:szCs w:val="20"/>
        </w:rPr>
        <w:t xml:space="preserve"> of the CJA 2003 are as follows:</w:t>
      </w:r>
    </w:p>
    <w:p w14:paraId="3A4FDDCA"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Youth offending teams (YOT)</w:t>
      </w:r>
    </w:p>
    <w:p w14:paraId="24FC5112"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Department for Work and Pensions (DWP)</w:t>
      </w:r>
      <w:r w:rsidRPr="004262AD">
        <w:rPr>
          <w:rStyle w:val="FootnoteReference"/>
          <w:rFonts w:ascii="Arial" w:hAnsi="Arial" w:cs="Arial"/>
          <w:sz w:val="20"/>
          <w:szCs w:val="20"/>
        </w:rPr>
        <w:footnoteReference w:id="2"/>
      </w:r>
      <w:r w:rsidRPr="004262AD">
        <w:rPr>
          <w:rFonts w:ascii="Arial" w:hAnsi="Arial" w:cs="Arial"/>
          <w:sz w:val="20"/>
          <w:szCs w:val="20"/>
        </w:rPr>
        <w:t xml:space="preserve"> </w:t>
      </w:r>
    </w:p>
    <w:p w14:paraId="7EBEEC56"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Ministry of Defence</w:t>
      </w:r>
      <w:r w:rsidRPr="004262AD">
        <w:rPr>
          <w:rStyle w:val="FootnoteReference"/>
          <w:rFonts w:ascii="Arial" w:hAnsi="Arial" w:cs="Arial"/>
          <w:sz w:val="20"/>
          <w:szCs w:val="20"/>
        </w:rPr>
        <w:footnoteReference w:id="3"/>
      </w:r>
    </w:p>
    <w:p w14:paraId="7D7DA669"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Education, social services</w:t>
      </w:r>
      <w:r w:rsidRPr="004262AD">
        <w:rPr>
          <w:rStyle w:val="FootnoteReference"/>
          <w:rFonts w:ascii="Arial" w:hAnsi="Arial" w:cs="Arial"/>
          <w:sz w:val="20"/>
          <w:szCs w:val="20"/>
        </w:rPr>
        <w:footnoteReference w:id="4"/>
      </w:r>
      <w:r w:rsidRPr="004262AD">
        <w:rPr>
          <w:rFonts w:ascii="Arial" w:hAnsi="Arial" w:cs="Arial"/>
          <w:sz w:val="20"/>
          <w:szCs w:val="20"/>
        </w:rPr>
        <w:t xml:space="preserve"> and health</w:t>
      </w:r>
      <w:r w:rsidRPr="004262AD">
        <w:rPr>
          <w:rStyle w:val="FootnoteReference"/>
          <w:rFonts w:ascii="Arial" w:hAnsi="Arial" w:cs="Arial"/>
          <w:sz w:val="20"/>
          <w:szCs w:val="20"/>
        </w:rPr>
        <w:footnoteReference w:id="5"/>
      </w:r>
      <w:r w:rsidRPr="004262AD">
        <w:rPr>
          <w:rFonts w:ascii="Arial" w:hAnsi="Arial" w:cs="Arial"/>
          <w:sz w:val="20"/>
          <w:szCs w:val="20"/>
        </w:rPr>
        <w:t xml:space="preserve"> functions of local authorities</w:t>
      </w:r>
    </w:p>
    <w:p w14:paraId="5865FE0F"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NHS England</w:t>
      </w:r>
      <w:r w:rsidRPr="004262AD">
        <w:rPr>
          <w:rStyle w:val="FootnoteReference"/>
          <w:rFonts w:ascii="Arial" w:hAnsi="Arial" w:cs="Arial"/>
          <w:sz w:val="20"/>
          <w:szCs w:val="20"/>
        </w:rPr>
        <w:footnoteReference w:id="6"/>
      </w:r>
    </w:p>
    <w:p w14:paraId="5BD05F49"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Health Authority</w:t>
      </w:r>
    </w:p>
    <w:p w14:paraId="63E46B8E" w14:textId="77777777" w:rsidR="009E0DD4" w:rsidRPr="004262AD" w:rsidRDefault="009E0DD4" w:rsidP="00AD2BEF">
      <w:pPr>
        <w:numPr>
          <w:ilvl w:val="0"/>
          <w:numId w:val="61"/>
        </w:numPr>
        <w:suppressAutoHyphens w:val="0"/>
        <w:autoSpaceDN/>
        <w:spacing w:before="100" w:beforeAutospacing="1" w:after="100" w:afterAutospacing="1" w:line="280" w:lineRule="exact"/>
        <w:ind w:left="714" w:hanging="357"/>
        <w:textAlignment w:val="auto"/>
        <w:rPr>
          <w:rFonts w:ascii="Arial" w:hAnsi="Arial" w:cs="Arial"/>
          <w:sz w:val="20"/>
          <w:szCs w:val="20"/>
        </w:rPr>
      </w:pPr>
      <w:r w:rsidRPr="004262AD">
        <w:rPr>
          <w:rFonts w:ascii="Arial" w:hAnsi="Arial" w:cs="Arial"/>
          <w:sz w:val="20"/>
          <w:szCs w:val="20"/>
        </w:rPr>
        <w:t>The Clinical Commissioning Group (CCG)</w:t>
      </w:r>
      <w:r w:rsidRPr="004262AD">
        <w:rPr>
          <w:rStyle w:val="FootnoteReference"/>
          <w:rFonts w:ascii="Arial" w:hAnsi="Arial" w:cs="Arial"/>
          <w:sz w:val="20"/>
          <w:szCs w:val="20"/>
        </w:rPr>
        <w:footnoteReference w:id="7"/>
      </w:r>
      <w:r w:rsidRPr="004262AD">
        <w:rPr>
          <w:rFonts w:ascii="Arial" w:hAnsi="Arial" w:cs="Arial"/>
          <w:sz w:val="20"/>
          <w:szCs w:val="20"/>
        </w:rPr>
        <w:t xml:space="preserve"> or Local Health Board</w:t>
      </w:r>
    </w:p>
    <w:p w14:paraId="4CFEFFFA"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NHS Trust</w:t>
      </w:r>
    </w:p>
    <w:p w14:paraId="6DAEE80B"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The local housing authority</w:t>
      </w:r>
    </w:p>
    <w:p w14:paraId="6A08E01C"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Private registered providers of social housing</w:t>
      </w:r>
      <w:r w:rsidRPr="004262AD">
        <w:rPr>
          <w:rStyle w:val="FootnoteReference"/>
          <w:rFonts w:ascii="Arial" w:hAnsi="Arial" w:cs="Arial"/>
          <w:sz w:val="20"/>
          <w:szCs w:val="20"/>
        </w:rPr>
        <w:footnoteReference w:id="8"/>
      </w:r>
      <w:r w:rsidRPr="004262AD">
        <w:rPr>
          <w:rFonts w:ascii="Arial" w:hAnsi="Arial" w:cs="Arial"/>
          <w:sz w:val="20"/>
          <w:szCs w:val="20"/>
        </w:rPr>
        <w:t xml:space="preserve"> and registered social landlords providing or managing residential accommodation in which MAPPA offenders may reside</w:t>
      </w:r>
    </w:p>
    <w:p w14:paraId="718A8496"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Providers of electronic monitoring services</w:t>
      </w:r>
    </w:p>
    <w:p w14:paraId="6A0D5657" w14:textId="77777777" w:rsidR="009E0DD4" w:rsidRPr="004262AD" w:rsidRDefault="009E0DD4" w:rsidP="00AD2BEF">
      <w:pPr>
        <w:numPr>
          <w:ilvl w:val="0"/>
          <w:numId w:val="61"/>
        </w:numPr>
        <w:suppressAutoHyphens w:val="0"/>
        <w:autoSpaceDN/>
        <w:spacing w:before="100" w:beforeAutospacing="1" w:after="100" w:afterAutospacing="1" w:line="280" w:lineRule="exact"/>
        <w:textAlignment w:val="auto"/>
        <w:rPr>
          <w:rFonts w:ascii="Arial" w:hAnsi="Arial" w:cs="Arial"/>
          <w:sz w:val="20"/>
          <w:szCs w:val="20"/>
        </w:rPr>
      </w:pPr>
      <w:r w:rsidRPr="004262AD">
        <w:rPr>
          <w:rFonts w:ascii="Arial" w:hAnsi="Arial" w:cs="Arial"/>
          <w:sz w:val="20"/>
          <w:szCs w:val="20"/>
        </w:rPr>
        <w:t>UK Visas and Immigration, UK Border Force and UK Immigration Enforcement (Home Office)</w:t>
      </w:r>
      <w:r w:rsidRPr="004262AD">
        <w:rPr>
          <w:rStyle w:val="FootnoteReference"/>
          <w:rFonts w:ascii="Arial" w:hAnsi="Arial" w:cs="Arial"/>
          <w:sz w:val="20"/>
          <w:szCs w:val="20"/>
        </w:rPr>
        <w:footnoteReference w:id="9"/>
      </w:r>
    </w:p>
    <w:p w14:paraId="1CB63E85" w14:textId="69CD763A" w:rsidR="009E0DD4" w:rsidRPr="004262AD" w:rsidRDefault="009E0DD4" w:rsidP="004262AD">
      <w:pPr>
        <w:pStyle w:val="NormalWeb"/>
        <w:spacing w:line="280" w:lineRule="exact"/>
        <w:rPr>
          <w:rFonts w:ascii="Arial" w:hAnsi="Arial" w:cs="Arial"/>
          <w:sz w:val="20"/>
          <w:szCs w:val="20"/>
        </w:rPr>
      </w:pPr>
      <w:r w:rsidRPr="004262AD">
        <w:rPr>
          <w:rFonts w:ascii="Arial" w:hAnsi="Arial" w:cs="Arial"/>
          <w:sz w:val="20"/>
          <w:szCs w:val="20"/>
        </w:rPr>
        <w:t>3.5 S.</w:t>
      </w:r>
      <w:r w:rsidRPr="004262AD">
        <w:rPr>
          <w:rStyle w:val="Strong"/>
          <w:rFonts w:ascii="Arial" w:hAnsi="Arial" w:cs="Arial"/>
          <w:b w:val="0"/>
          <w:sz w:val="20"/>
          <w:szCs w:val="20"/>
        </w:rPr>
        <w:t>325(7)</w:t>
      </w:r>
      <w:r w:rsidRPr="004262AD">
        <w:rPr>
          <w:rFonts w:ascii="Arial" w:hAnsi="Arial" w:cs="Arial"/>
          <w:sz w:val="20"/>
          <w:szCs w:val="20"/>
        </w:rPr>
        <w:t xml:space="preserve"> of the CJA 2003 enables the Secretary of State to add to this list, or remove from it, by means of secondary legislation. The relevant Order must be laid before Parliament in draft</w:t>
      </w:r>
      <w:r w:rsidR="00ED34DF">
        <w:rPr>
          <w:rFonts w:ascii="Arial" w:hAnsi="Arial" w:cs="Arial"/>
          <w:sz w:val="20"/>
          <w:szCs w:val="20"/>
        </w:rPr>
        <w:t xml:space="preserve"> </w:t>
      </w:r>
      <w:r w:rsidRPr="004262AD">
        <w:rPr>
          <w:rFonts w:ascii="Arial" w:hAnsi="Arial" w:cs="Arial"/>
          <w:sz w:val="20"/>
          <w:szCs w:val="20"/>
        </w:rPr>
        <w:t>and approved by both the House of Commons and the House of Lords, before it can be made.</w:t>
      </w:r>
    </w:p>
    <w:p w14:paraId="168931E9" w14:textId="77777777" w:rsidR="009E0DD4" w:rsidRDefault="009E0DD4" w:rsidP="004262AD">
      <w:pPr>
        <w:pStyle w:val="Heading1"/>
        <w:rPr>
          <w:rFonts w:cs="Times New Roman"/>
          <w:sz w:val="24"/>
          <w:szCs w:val="48"/>
        </w:rPr>
      </w:pPr>
      <w:r>
        <w:rPr>
          <w:rStyle w:val="incmpparttitle"/>
        </w:rPr>
        <w:t>What the duty to co-operate means</w:t>
      </w:r>
    </w:p>
    <w:p w14:paraId="284C76F6" w14:textId="0E50EE5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3.6 The principal responsibility for protecting the public from sexual and violent </w:t>
      </w:r>
      <w:r w:rsidR="00ED34DF" w:rsidRPr="004262AD">
        <w:rPr>
          <w:rFonts w:ascii="Arial" w:hAnsi="Arial" w:cs="Arial"/>
          <w:sz w:val="20"/>
          <w:szCs w:val="20"/>
        </w:rPr>
        <w:t>offenders’</w:t>
      </w:r>
      <w:r w:rsidRPr="004262AD">
        <w:rPr>
          <w:rFonts w:ascii="Arial" w:hAnsi="Arial" w:cs="Arial"/>
          <w:sz w:val="20"/>
          <w:szCs w:val="20"/>
        </w:rPr>
        <w:t xml:space="preserve">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offenders to resettle and may help to reduce re-offending. The Duty to Co-operate covers all MAPPA offenders, including those managed at Level 1, and DTC agencies must engage with MAPPA for all MAPPA offenders they are involved with. DTC agencies may also be lead agencies (see Chapter 2 Responsible Authority and Lead Agency). </w:t>
      </w:r>
    </w:p>
    <w:p w14:paraId="187C8181" w14:textId="0032898E"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3.7 MAPPA and the duty to co-operate enable different agencies to work together. MAPPA are not a legal entity but are a set of administrative arrangements. Authority rests with each of the agencies involved. Each agency will act in its own sphere and fulfil its own </w:t>
      </w:r>
      <w:r w:rsidR="00ED34DF" w:rsidRPr="004262AD">
        <w:rPr>
          <w:rFonts w:ascii="Arial" w:hAnsi="Arial" w:cs="Arial"/>
          <w:sz w:val="20"/>
          <w:szCs w:val="20"/>
        </w:rPr>
        <w:t>responsibilities but</w:t>
      </w:r>
      <w:r w:rsidRPr="004262AD">
        <w:rPr>
          <w:rFonts w:ascii="Arial" w:hAnsi="Arial" w:cs="Arial"/>
          <w:sz w:val="20"/>
          <w:szCs w:val="20"/>
        </w:rPr>
        <w:t xml:space="preserve">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ignorance of other agencies’ actions and enables joint working. Without co-operation, there is a risk of collision – agencies unintentionally frustrating or compromising each other’s work, sometimes with dangerous consequences.</w:t>
      </w:r>
    </w:p>
    <w:p w14:paraId="7B80E5EF" w14:textId="2FC6B420"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3.8 Representatives from DTC agencies who are involved with an offender must attend MAPPA meetings. These representatives should be in a position to make an active contribution to the discussion and of sufficient seniority to allocate the appropriate level of resources (Please see Chapter 13a – MAPPA Meetings for further information). Representatives from Children’s Services or Adult Safeguarding Teams might not be involved with the </w:t>
      </w:r>
      <w:r w:rsidR="00ED34DF" w:rsidRPr="004262AD">
        <w:rPr>
          <w:rFonts w:ascii="Arial" w:hAnsi="Arial" w:cs="Arial"/>
          <w:sz w:val="20"/>
          <w:szCs w:val="20"/>
        </w:rPr>
        <w:t>offender but</w:t>
      </w:r>
      <w:r w:rsidRPr="004262AD">
        <w:rPr>
          <w:rFonts w:ascii="Arial" w:hAnsi="Arial" w:cs="Arial"/>
          <w:sz w:val="20"/>
          <w:szCs w:val="20"/>
        </w:rPr>
        <w:t xml:space="preserve">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13a – Multi-Agency Public Protection Meetings.</w:t>
      </w:r>
    </w:p>
    <w:p w14:paraId="1B020B3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3.9 It is best practice for the Strategic Management Board (SMB) to include representation at an appropriately senior level from each of the DTC agencies in the area (see Chapter 4 – Strategic Management Board). </w:t>
      </w:r>
    </w:p>
    <w:p w14:paraId="38762875" w14:textId="77777777" w:rsidR="009E0DD4" w:rsidRPr="004262AD" w:rsidRDefault="009E0DD4" w:rsidP="004262AD">
      <w:pPr>
        <w:pStyle w:val="Heading1"/>
        <w:rPr>
          <w:szCs w:val="28"/>
        </w:rPr>
      </w:pPr>
      <w:r w:rsidRPr="004262AD">
        <w:rPr>
          <w:rStyle w:val="incmpparttitle"/>
          <w:szCs w:val="28"/>
        </w:rPr>
        <w:t>The Memorandum</w:t>
      </w:r>
    </w:p>
    <w:p w14:paraId="27FAEFAA" w14:textId="77777777" w:rsidR="009E0DD4" w:rsidRPr="004262AD" w:rsidRDefault="009E0DD4" w:rsidP="004262AD">
      <w:pPr>
        <w:pStyle w:val="NormalWeb"/>
        <w:spacing w:before="240" w:after="240" w:line="280" w:lineRule="exact"/>
        <w:rPr>
          <w:rFonts w:ascii="Arial" w:hAnsi="Arial" w:cs="Arial"/>
          <w:b/>
          <w:bCs/>
        </w:rPr>
      </w:pPr>
      <w:r w:rsidRPr="004262AD">
        <w:rPr>
          <w:rFonts w:ascii="Arial" w:hAnsi="Arial" w:cs="Arial"/>
          <w:b/>
          <w:bCs/>
        </w:rPr>
        <w:t xml:space="preserve">Standard: The RA and DTC agencies have a Memorandum of Understanding in place setting out how they will co-operate. </w:t>
      </w:r>
    </w:p>
    <w:p w14:paraId="60C91A7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3.10 s.325(5) of the CJA 2003 requires the RA and each DTC agency in each area to draw up a Memorandum of Understanding (MoU) setting out how they are going to co-operate to ensure effective and appropriate information-sharing. This document articulates the practical arrangements for local co-operation. Although it may reflect local variations, it should be in a standard form and should include the following:</w:t>
      </w:r>
    </w:p>
    <w:p w14:paraId="1E08E235"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description of the MAPPA framework, setting out its purpose and its statutory basis.</w:t>
      </w:r>
    </w:p>
    <w:p w14:paraId="55DACDB7"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RA and how it will co-operate with the DTC agency.</w:t>
      </w:r>
    </w:p>
    <w:p w14:paraId="4612C3BD"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 statement of the role of the DTC agency and how it will co-operate with the RA.</w:t>
      </w:r>
    </w:p>
    <w:p w14:paraId="58EC16D4" w14:textId="77777777" w:rsidR="009E0DD4" w:rsidRPr="004262AD" w:rsidRDefault="009E0DD4" w:rsidP="00AD2BEF">
      <w:pPr>
        <w:numPr>
          <w:ilvl w:val="0"/>
          <w:numId w:val="6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An endorsement at a senior level within both the RA and the DTC agency.</w:t>
      </w:r>
    </w:p>
    <w:p w14:paraId="7434B5CE"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3.11 The main areas in which co-operation is likely to be needed are as follows:</w:t>
      </w:r>
    </w:p>
    <w:p w14:paraId="252F842B"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when offenders enter the MAPPA system.</w:t>
      </w:r>
    </w:p>
    <w:p w14:paraId="2AEE217E"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Invitations to meetings when cases of interest to the DTC agency are to be discussed.</w:t>
      </w:r>
    </w:p>
    <w:p w14:paraId="0C879746"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Notification of changes in the offender's status.</w:t>
      </w:r>
    </w:p>
    <w:p w14:paraId="48C30A42"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an up-to-date risk assessment and other information to ensure that the offender is managed effectively.</w:t>
      </w:r>
    </w:p>
    <w:p w14:paraId="7D6D57CB"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Provision of general advice about an agency's role and the type of services it provides (including advice about how services can be accessed).</w:t>
      </w:r>
    </w:p>
    <w:p w14:paraId="66CE146F" w14:textId="77777777" w:rsidR="009E0DD4" w:rsidRPr="004262AD" w:rsidRDefault="009E0DD4" w:rsidP="00AD2BEF">
      <w:pPr>
        <w:numPr>
          <w:ilvl w:val="0"/>
          <w:numId w:val="63"/>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Co-ordination of activities in a way that complements rather than undermines other agencies.</w:t>
      </w:r>
    </w:p>
    <w:p w14:paraId="0AF2D2C0" w14:textId="77777777" w:rsidR="009E0DD4" w:rsidRPr="004262AD" w:rsidRDefault="009E0DD4" w:rsidP="004262AD">
      <w:pPr>
        <w:pStyle w:val="NormalWeb"/>
        <w:spacing w:before="240" w:after="240" w:line="280" w:lineRule="exact"/>
        <w:rPr>
          <w:rFonts w:ascii="Arial" w:hAnsi="Arial" w:cs="Arial"/>
        </w:rPr>
      </w:pPr>
      <w:r w:rsidRPr="004262AD">
        <w:rPr>
          <w:rFonts w:ascii="Arial" w:hAnsi="Arial" w:cs="Arial"/>
          <w:b/>
          <w:bCs/>
        </w:rPr>
        <w:t xml:space="preserve">Standard: Each MAPPA Area and DTC Agency identifies a SPOC  </w:t>
      </w:r>
    </w:p>
    <w:p w14:paraId="208BBCDC"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3.12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2BD904BD"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3.13 Although the requirement to prepare an MoU is placed on the RA and each DTC agency, it is not intended that they should work in isolation. To ensure consistency, the National MAPPA Team will prepare national MoUs with national DTC agencies (such as the Home Office) to outline their involvement in the MAPPA process. This will be circulated to the RA and DTC agencies operating at a local level to help them draw up their own MoU.</w:t>
      </w:r>
    </w:p>
    <w:p w14:paraId="3F977EB5" w14:textId="77777777" w:rsidR="009E0DD4" w:rsidRPr="004262AD" w:rsidRDefault="009E0DD4" w:rsidP="004262AD">
      <w:pPr>
        <w:pStyle w:val="Heading1"/>
        <w:rPr>
          <w:szCs w:val="28"/>
        </w:rPr>
      </w:pPr>
      <w:r w:rsidRPr="004262AD">
        <w:rPr>
          <w:szCs w:val="28"/>
        </w:rPr>
        <w:t xml:space="preserve">Information Sharing Agreements </w:t>
      </w:r>
    </w:p>
    <w:p w14:paraId="31E4BA80"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3.14 The SMB is expected to have in place Information Sharing Agreements (ISA) that address how information can be shared with the RA and DTC agencies, so that they are following a common set of rules and security standards as far as possible. A template ISA is available on the MAPPA website and the Data Sharing Code of Practice is available at </w:t>
      </w:r>
      <w:hyperlink r:id="rId19" w:tgtFrame="_blank" w:history="1">
        <w:r w:rsidRPr="004262AD">
          <w:rPr>
            <w:rStyle w:val="Hyperlink"/>
            <w:rFonts w:ascii="Arial" w:hAnsi="Arial" w:cs="Arial"/>
            <w:sz w:val="20"/>
            <w:szCs w:val="20"/>
          </w:rPr>
          <w:t>http://www.ico.org.uk</w:t>
        </w:r>
      </w:hyperlink>
      <w:r w:rsidRPr="004262AD">
        <w:rPr>
          <w:rFonts w:ascii="Arial" w:hAnsi="Arial" w:cs="Arial"/>
          <w:sz w:val="20"/>
          <w:szCs w:val="20"/>
        </w:rPr>
        <w:t>. For further information please see Chapter 4 – Strategic Management Board and Chapter 9 – Information Sharing.</w:t>
      </w:r>
    </w:p>
    <w:p w14:paraId="2ED384B0" w14:textId="77777777" w:rsidR="009E0DD4" w:rsidRPr="004262AD" w:rsidRDefault="009E0DD4" w:rsidP="004262AD">
      <w:pPr>
        <w:pStyle w:val="Heading1"/>
        <w:rPr>
          <w:szCs w:val="28"/>
        </w:rPr>
      </w:pPr>
      <w:r w:rsidRPr="004262AD">
        <w:rPr>
          <w:rStyle w:val="incmpparttitle"/>
          <w:szCs w:val="28"/>
        </w:rPr>
        <w:t>The Duty to Co-operate Agencies</w:t>
      </w:r>
    </w:p>
    <w:p w14:paraId="039612A8" w14:textId="77777777" w:rsidR="009E0DD4" w:rsidRPr="004262AD" w:rsidRDefault="009E0DD4" w:rsidP="004262AD">
      <w:pPr>
        <w:pStyle w:val="NormalWeb"/>
        <w:spacing w:before="240" w:after="240" w:line="280" w:lineRule="exact"/>
        <w:rPr>
          <w:rStyle w:val="Strong"/>
          <w:rFonts w:ascii="Arial" w:hAnsi="Arial" w:cs="Arial"/>
          <w:bCs w:val="0"/>
        </w:rPr>
      </w:pPr>
      <w:r w:rsidRPr="004262AD">
        <w:rPr>
          <w:rStyle w:val="Strong"/>
          <w:rFonts w:ascii="Arial" w:hAnsi="Arial" w:cs="Arial"/>
          <w:bCs w:val="0"/>
        </w:rPr>
        <w:t>Standard – DTC agencies manage MAPPA offenders in line with their own policies and procedures and co-operate with MAPPA to the extent allowed by their statutory powers.</w:t>
      </w:r>
    </w:p>
    <w:p w14:paraId="2F566BC8" w14:textId="77777777" w:rsidR="009E0DD4" w:rsidRPr="004262AD" w:rsidRDefault="009E0DD4" w:rsidP="004262AD">
      <w:pPr>
        <w:pStyle w:val="NormalWeb"/>
        <w:spacing w:before="240" w:after="240" w:line="280" w:lineRule="exact"/>
        <w:rPr>
          <w:rStyle w:val="Strong"/>
          <w:rFonts w:ascii="Arial" w:hAnsi="Arial" w:cs="Arial"/>
          <w:b w:val="0"/>
          <w:sz w:val="20"/>
          <w:szCs w:val="20"/>
        </w:rPr>
      </w:pPr>
      <w:r w:rsidRPr="004262AD">
        <w:rPr>
          <w:rStyle w:val="Strong"/>
          <w:rFonts w:ascii="Arial" w:hAnsi="Arial" w:cs="Arial"/>
          <w:b w:val="0"/>
          <w:sz w:val="20"/>
          <w:szCs w:val="20"/>
        </w:rPr>
        <w:t>3.15 The following agencies have a DTC with MAPPA and may have a role to play in protecting the community from the risks presented by individual MAPPA offenders. This chapter provides a brief overview of what the agency does and how it works with MAPPA offenders. See the appropriate chapter (where applicable) for more detailed guidance on how these agencies engage with MAPPA and fulfil their DTC.</w:t>
      </w:r>
    </w:p>
    <w:p w14:paraId="2171ACB4" w14:textId="77777777" w:rsidR="009E0DD4" w:rsidRPr="004262AD" w:rsidRDefault="009E0DD4" w:rsidP="004262AD">
      <w:pPr>
        <w:pStyle w:val="Heading1"/>
        <w:rPr>
          <w:rStyle w:val="Strong"/>
          <w:b/>
          <w:szCs w:val="28"/>
        </w:rPr>
      </w:pPr>
      <w:r w:rsidRPr="004262AD">
        <w:rPr>
          <w:rStyle w:val="Strong"/>
          <w:b/>
          <w:bCs w:val="0"/>
          <w:szCs w:val="28"/>
        </w:rPr>
        <w:t>1. Youth Offending Teams (YOT)</w:t>
      </w:r>
    </w:p>
    <w:p w14:paraId="20FB2F16" w14:textId="77777777" w:rsidR="009E0DD4" w:rsidRPr="004262AD" w:rsidRDefault="009E0DD4" w:rsidP="004262AD">
      <w:pPr>
        <w:pStyle w:val="NormalWeb"/>
        <w:spacing w:before="240" w:after="240" w:line="280" w:lineRule="exact"/>
        <w:rPr>
          <w:rFonts w:ascii="Arial" w:hAnsi="Arial" w:cs="Arial"/>
          <w:b/>
          <w:sz w:val="20"/>
          <w:szCs w:val="20"/>
        </w:rPr>
      </w:pPr>
      <w:r w:rsidRPr="004262AD">
        <w:rPr>
          <w:rStyle w:val="Strong"/>
          <w:rFonts w:ascii="Arial" w:hAnsi="Arial" w:cs="Arial"/>
          <w:b w:val="0"/>
          <w:sz w:val="20"/>
          <w:szCs w:val="20"/>
        </w:rPr>
        <w:t xml:space="preserve">3.16 YOTs are part of the local authority and help young people stay away from crime. </w:t>
      </w:r>
      <w:r w:rsidRPr="004262AD">
        <w:rPr>
          <w:rFonts w:ascii="Arial" w:hAnsi="Arial" w:cs="Arial"/>
          <w:sz w:val="20"/>
          <w:szCs w:val="20"/>
        </w:rPr>
        <w:t>YOTs differ from most other DTC agencies in that they have direct supervisory responsibility for all young offenders who are in the community and subject to the sentence of the court, e.g. during the community element of a Detention and Training Order.  YOTs are the lead agency for these offenders (see Chapter 3 – Responsible Authority and Lead Agency).  YOTs also have a duty to co-operate with MAPPA when they are not the lead agency.  This may include occasions when an offender was previously managed by a YOT or when a co-defendant, victim or family member is managed by a YOT. See Chapter 23 – Children for more details.</w:t>
      </w:r>
    </w:p>
    <w:p w14:paraId="5F4A3396" w14:textId="77777777" w:rsidR="009E0DD4" w:rsidRPr="004262AD" w:rsidRDefault="009E0DD4" w:rsidP="004262AD">
      <w:pPr>
        <w:pStyle w:val="Heading1"/>
        <w:rPr>
          <w:szCs w:val="28"/>
        </w:rPr>
      </w:pPr>
      <w:r w:rsidRPr="004262AD">
        <w:rPr>
          <w:rStyle w:val="Strong"/>
          <w:b/>
          <w:bCs w:val="0"/>
          <w:szCs w:val="28"/>
        </w:rPr>
        <w:t xml:space="preserve">2. Department for Work and Pensions </w:t>
      </w:r>
    </w:p>
    <w:p w14:paraId="3CA9DE1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3.17 The (DWP) is a ministerial department with responsibility for welfare, pensions and child maintenance policy. It has three primary functions in relation to managing MAPPA offenders:</w:t>
      </w:r>
    </w:p>
    <w:p w14:paraId="5BBA78C4"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support offenders into employment or to access suitable training to reduce their risk of reoffending and protect the public.</w:t>
      </w:r>
    </w:p>
    <w:p w14:paraId="1BB7D192"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ensure any restrictions on the types of employment and training available to some offenders are taken into account when considering employment and training options.</w:t>
      </w:r>
    </w:p>
    <w:p w14:paraId="75EF83C2" w14:textId="77777777" w:rsidR="009E0DD4" w:rsidRPr="004262AD" w:rsidRDefault="009E0DD4" w:rsidP="00AD2BEF">
      <w:pPr>
        <w:numPr>
          <w:ilvl w:val="0"/>
          <w:numId w:val="64"/>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To ensure that benefits, such as Universal Credit, are paid.</w:t>
      </w:r>
    </w:p>
    <w:p w14:paraId="009EB2C0" w14:textId="1548F119"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3.18 This will give offenders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w:t>
      </w:r>
      <w:r w:rsidR="000D0936">
        <w:rPr>
          <w:rFonts w:ascii="Arial" w:hAnsi="Arial" w:cs="Arial"/>
          <w:sz w:val="20"/>
          <w:szCs w:val="20"/>
        </w:rPr>
        <w:t>21</w:t>
      </w:r>
      <w:r w:rsidRPr="004262AD">
        <w:rPr>
          <w:rFonts w:ascii="Arial" w:hAnsi="Arial" w:cs="Arial"/>
          <w:sz w:val="20"/>
          <w:szCs w:val="20"/>
        </w:rPr>
        <w:t xml:space="preserve"> – Accommodation and Employment for more information.</w:t>
      </w:r>
    </w:p>
    <w:p w14:paraId="633C1A3C" w14:textId="77777777" w:rsidR="009E0DD4" w:rsidRPr="004262AD" w:rsidRDefault="009E0DD4" w:rsidP="004262AD">
      <w:pPr>
        <w:pStyle w:val="Heading1"/>
        <w:rPr>
          <w:szCs w:val="28"/>
        </w:rPr>
      </w:pPr>
      <w:r w:rsidRPr="004262AD">
        <w:rPr>
          <w:szCs w:val="28"/>
        </w:rPr>
        <w:t>3. Ministry of Defence</w:t>
      </w:r>
    </w:p>
    <w:p w14:paraId="13C7494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3.19 The Ministry of Defence (MoD) is a ministerial department with responsibility for armed forces personnel. They will be involved in the management of MAPPA offenders sentenced to service detention at the Military Corrective Training Centre (MCTC) and those who remain in the armed forces following conviction. The MoD will disclose information regarding MAPPA offenders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5F526FFF" w14:textId="77777777" w:rsidR="009E0DD4" w:rsidRPr="004262AD" w:rsidRDefault="009E0DD4" w:rsidP="004262AD">
      <w:pPr>
        <w:pStyle w:val="Heading1"/>
        <w:rPr>
          <w:rStyle w:val="Strong"/>
          <w:b/>
          <w:szCs w:val="28"/>
        </w:rPr>
      </w:pPr>
      <w:r w:rsidRPr="004262AD">
        <w:rPr>
          <w:szCs w:val="28"/>
        </w:rPr>
        <w:t>4</w:t>
      </w:r>
      <w:r w:rsidRPr="004262AD">
        <w:rPr>
          <w:rStyle w:val="Strong"/>
          <w:szCs w:val="28"/>
        </w:rPr>
        <w:t>.</w:t>
      </w:r>
      <w:r w:rsidRPr="004262AD">
        <w:rPr>
          <w:szCs w:val="28"/>
        </w:rPr>
        <w:t xml:space="preserve"> Education, social care and health functions of </w:t>
      </w:r>
      <w:r w:rsidRPr="004262AD">
        <w:rPr>
          <w:rStyle w:val="Strong"/>
          <w:b/>
          <w:bCs w:val="0"/>
          <w:szCs w:val="28"/>
        </w:rPr>
        <w:t>Local Authorities</w:t>
      </w:r>
    </w:p>
    <w:p w14:paraId="789F6F9C" w14:textId="77777777" w:rsidR="009E0DD4" w:rsidRPr="004262AD" w:rsidRDefault="009E0DD4" w:rsidP="004262AD">
      <w:pPr>
        <w:pStyle w:val="NormalWeb"/>
        <w:spacing w:before="240" w:after="240" w:line="280" w:lineRule="exact"/>
        <w:rPr>
          <w:rFonts w:ascii="Arial" w:hAnsi="Arial" w:cs="Arial"/>
        </w:rPr>
      </w:pPr>
      <w:r w:rsidRPr="004262AD">
        <w:rPr>
          <w:rStyle w:val="Strong"/>
          <w:rFonts w:ascii="Arial" w:hAnsi="Arial" w:cs="Arial"/>
        </w:rPr>
        <w:t>Schools and colleges</w:t>
      </w:r>
    </w:p>
    <w:p w14:paraId="1789BC0B"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3.20 Schools and colleges provide a helpful contribution to MAPPA.</w:t>
      </w:r>
    </w:p>
    <w:p w14:paraId="19FFBBF4"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provide pupils with programmes of child protection awareness training. This training can be reinforced at times when there is a particular local risk.</w:t>
      </w:r>
    </w:p>
    <w:p w14:paraId="02DA3DD6"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Their staff are well-placed to be alert and aware of local activities that could provide a threat to pupils.</w:t>
      </w:r>
    </w:p>
    <w:p w14:paraId="0982E515"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In particular situations, and with the authorisation of the police, they are able to warn individuals or groups of pupils, or staff, about possible dangers.</w:t>
      </w:r>
    </w:p>
    <w:p w14:paraId="7D9AFBCB"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can provide a safe environment during the daytime for children and young people.</w:t>
      </w:r>
    </w:p>
    <w:p w14:paraId="3DBA8F2D" w14:textId="77777777" w:rsidR="009E0DD4" w:rsidRPr="004262AD" w:rsidRDefault="009E0DD4" w:rsidP="00AD2BEF">
      <w:pPr>
        <w:numPr>
          <w:ilvl w:val="0"/>
          <w:numId w:val="65"/>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They are often the first port of call for parents who want to voice their concerns about worrying activities in the area.</w:t>
      </w:r>
    </w:p>
    <w:p w14:paraId="3913866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3.21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4262AD">
        <w:rPr>
          <w:rStyle w:val="FootnoteReference"/>
          <w:rFonts w:ascii="Arial" w:hAnsi="Arial" w:cs="Arial"/>
          <w:sz w:val="20"/>
          <w:szCs w:val="20"/>
        </w:rPr>
        <w:footnoteReference w:id="10"/>
      </w:r>
      <w:r w:rsidRPr="004262AD">
        <w:rPr>
          <w:rFonts w:ascii="Arial" w:hAnsi="Arial" w:cs="Arial"/>
          <w:sz w:val="20"/>
          <w:szCs w:val="20"/>
        </w:rPr>
        <w:t xml:space="preserve">. </w:t>
      </w:r>
    </w:p>
    <w:p w14:paraId="3D178A6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3.22 </w:t>
      </w:r>
      <w:r w:rsidRPr="004262AD">
        <w:rPr>
          <w:rStyle w:val="incmpdoctitle"/>
          <w:rFonts w:ascii="Arial" w:hAnsi="Arial" w:cs="Arial"/>
          <w:sz w:val="20"/>
          <w:szCs w:val="20"/>
        </w:rPr>
        <w:t>Please note that independent schools, academies and free schools are not subject to the DTC.  However, all schools are obliged to work with other agencies to safeguard children and keep children safe in education.  These obligations are set out in DfE Statutory Guidance KCSIE and Working Together to Safeguard Children (WT)</w:t>
      </w:r>
      <w:r w:rsidRPr="004262AD">
        <w:rPr>
          <w:rStyle w:val="FootnoteReference"/>
          <w:rFonts w:ascii="Arial" w:hAnsi="Arial" w:cs="Arial"/>
          <w:bCs/>
          <w:sz w:val="20"/>
          <w:szCs w:val="20"/>
        </w:rPr>
        <w:footnoteReference w:id="11"/>
      </w:r>
      <w:r w:rsidRPr="004262AD">
        <w:rPr>
          <w:rStyle w:val="incmpdoctitle"/>
          <w:rFonts w:ascii="Arial" w:hAnsi="Arial" w:cs="Arial"/>
          <w:sz w:val="20"/>
          <w:szCs w:val="20"/>
        </w:rPr>
        <w:t xml:space="preserve">. </w:t>
      </w:r>
      <w:r w:rsidRPr="004262AD">
        <w:rPr>
          <w:rFonts w:ascii="Arial" w:hAnsi="Arial" w:cs="Arial"/>
          <w:sz w:val="20"/>
          <w:szCs w:val="20"/>
        </w:rPr>
        <w:t xml:space="preserve">Disclosures to non-DTC agencies are covered in Chapter 10 – Disclosure.  </w:t>
      </w:r>
    </w:p>
    <w:p w14:paraId="4B24CC8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3.23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the safety, of children. Early information sharing is vital for effective identification, assessment and allocation of appropriate service provision. Further guidance about data sharing can be found in KCSIE and WT.</w:t>
      </w:r>
    </w:p>
    <w:p w14:paraId="5DC8668F" w14:textId="77777777" w:rsidR="009E0DD4" w:rsidRPr="004262AD" w:rsidRDefault="009E0DD4" w:rsidP="004262AD">
      <w:pPr>
        <w:spacing w:before="240" w:after="240" w:line="280" w:lineRule="exact"/>
        <w:rPr>
          <w:rFonts w:ascii="Arial" w:hAnsi="Arial" w:cs="Arial"/>
        </w:rPr>
      </w:pPr>
      <w:r w:rsidRPr="004262AD">
        <w:rPr>
          <w:rStyle w:val="Strong"/>
          <w:rFonts w:ascii="Arial" w:hAnsi="Arial" w:cs="Arial"/>
        </w:rPr>
        <w:t>Children's</w:t>
      </w:r>
      <w:r w:rsidRPr="004262AD">
        <w:rPr>
          <w:rFonts w:ascii="Arial" w:hAnsi="Arial" w:cs="Arial"/>
        </w:rPr>
        <w:t xml:space="preserve"> </w:t>
      </w:r>
      <w:r w:rsidRPr="004262AD">
        <w:rPr>
          <w:rStyle w:val="Strong"/>
          <w:rFonts w:ascii="Arial" w:hAnsi="Arial" w:cs="Arial"/>
        </w:rPr>
        <w:t xml:space="preserve">services </w:t>
      </w:r>
    </w:p>
    <w:p w14:paraId="6C13694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3.24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w:t>
      </w:r>
      <w:r w:rsidRPr="004262AD">
        <w:rPr>
          <w:rStyle w:val="Strong"/>
          <w:rFonts w:ascii="Arial" w:hAnsi="Arial" w:cs="Arial"/>
          <w:b w:val="0"/>
          <w:bCs w:val="0"/>
          <w:sz w:val="20"/>
          <w:szCs w:val="20"/>
        </w:rPr>
        <w:t>See Chapter 23 – Children for further details.</w:t>
      </w:r>
    </w:p>
    <w:p w14:paraId="3FBA566E"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They have a number of statutory functions under the 1989 and 2004 Children Acts, which include specific duties in relation to children in need and children suffering, or likely to suffer, significant harm, regardless of where they are found (Ss.17 and 47 of the Children Act 1989).  </w:t>
      </w:r>
    </w:p>
    <w:p w14:paraId="6A929632"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1498ED02"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49C92E55" w14:textId="74F8F8FA"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46034D18" w14:textId="77777777" w:rsidR="009E0DD4" w:rsidRPr="004262AD" w:rsidRDefault="009E0DD4" w:rsidP="00AD2BEF">
      <w:pPr>
        <w:pStyle w:val="NormalWeb"/>
        <w:numPr>
          <w:ilvl w:val="0"/>
          <w:numId w:val="66"/>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07B15FDF"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3.25 Other statutory and practice guidance in relation to safeguarding and child protection includes:</w:t>
      </w:r>
    </w:p>
    <w:p w14:paraId="3AB7B2CC"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 xml:space="preserve">Working Together to Safeguard Children </w:t>
      </w:r>
      <w:r w:rsidRPr="004262AD">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34530C35"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sz w:val="20"/>
          <w:szCs w:val="20"/>
        </w:rPr>
        <w:t xml:space="preserve">The </w:t>
      </w:r>
      <w:r w:rsidRPr="004262AD">
        <w:rPr>
          <w:rFonts w:ascii="Arial" w:hAnsi="Arial" w:cs="Arial"/>
          <w:i/>
          <w:sz w:val="20"/>
          <w:szCs w:val="20"/>
        </w:rPr>
        <w:t>What to do if you're worried a child is being abused</w:t>
      </w:r>
      <w:r w:rsidRPr="004262AD">
        <w:rPr>
          <w:rStyle w:val="FootnoteReference"/>
          <w:rFonts w:ascii="Arial" w:hAnsi="Arial" w:cs="Arial"/>
          <w:sz w:val="20"/>
          <w:szCs w:val="20"/>
        </w:rPr>
        <w:footnoteReference w:id="12"/>
      </w:r>
      <w:r w:rsidRPr="004262AD">
        <w:rPr>
          <w:rFonts w:ascii="Arial" w:hAnsi="Arial" w:cs="Arial"/>
          <w:sz w:val="20"/>
          <w:szCs w:val="20"/>
        </w:rPr>
        <w:t xml:space="preserve"> practice guidance helps practitioners identify the signs of child abuse and neglect and understand what action to take. </w:t>
      </w:r>
    </w:p>
    <w:p w14:paraId="71082DC2" w14:textId="77777777" w:rsidR="009E0DD4" w:rsidRPr="004262AD" w:rsidRDefault="009E0DD4" w:rsidP="00AD2BEF">
      <w:pPr>
        <w:pStyle w:val="NormalWeb"/>
        <w:numPr>
          <w:ilvl w:val="0"/>
          <w:numId w:val="67"/>
        </w:numPr>
        <w:suppressAutoHyphens w:val="0"/>
        <w:autoSpaceDN/>
        <w:spacing w:before="240" w:after="240" w:line="280" w:lineRule="exact"/>
        <w:textAlignment w:val="auto"/>
        <w:rPr>
          <w:rFonts w:ascii="Arial" w:hAnsi="Arial" w:cs="Arial"/>
          <w:sz w:val="20"/>
          <w:szCs w:val="20"/>
        </w:rPr>
      </w:pPr>
      <w:r w:rsidRPr="004262AD">
        <w:rPr>
          <w:rFonts w:ascii="Arial" w:hAnsi="Arial" w:cs="Arial"/>
          <w:i/>
          <w:sz w:val="20"/>
          <w:szCs w:val="20"/>
        </w:rPr>
        <w:t>Information sharing advice for safeguarding practitioners</w:t>
      </w:r>
      <w:r w:rsidRPr="004262AD">
        <w:rPr>
          <w:rFonts w:ascii="Arial" w:hAnsi="Arial" w:cs="Arial"/>
          <w:sz w:val="20"/>
          <w:szCs w:val="20"/>
        </w:rPr>
        <w:t xml:space="preserve"> helps practitioners and their managers decide when and how to share personal information for the purposes of safeguarding children legally and professionally. </w:t>
      </w:r>
    </w:p>
    <w:p w14:paraId="61D069E1" w14:textId="77777777" w:rsidR="009E0DD4" w:rsidRPr="00B21807" w:rsidRDefault="009E0DD4" w:rsidP="004262AD">
      <w:pPr>
        <w:spacing w:before="240" w:after="240" w:line="280" w:lineRule="exact"/>
        <w:rPr>
          <w:rFonts w:ascii="Arial" w:hAnsi="Arial" w:cs="Arial"/>
        </w:rPr>
      </w:pPr>
      <w:r w:rsidRPr="00B21807">
        <w:rPr>
          <w:rStyle w:val="Strong"/>
          <w:rFonts w:ascii="Arial" w:hAnsi="Arial" w:cs="Arial"/>
        </w:rPr>
        <w:t>Adult</w:t>
      </w:r>
      <w:r w:rsidRPr="00B21807">
        <w:rPr>
          <w:rFonts w:ascii="Arial" w:hAnsi="Arial" w:cs="Arial"/>
        </w:rPr>
        <w:t xml:space="preserve"> </w:t>
      </w:r>
      <w:r w:rsidRPr="00B21807">
        <w:rPr>
          <w:rStyle w:val="Strong"/>
          <w:rFonts w:ascii="Arial" w:hAnsi="Arial" w:cs="Arial"/>
        </w:rPr>
        <w:t xml:space="preserve">Social Care </w:t>
      </w:r>
    </w:p>
    <w:p w14:paraId="137AC711"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3.26 The </w:t>
      </w:r>
      <w:r w:rsidRPr="004262AD">
        <w:rPr>
          <w:rStyle w:val="Strong"/>
          <w:rFonts w:ascii="Arial" w:hAnsi="Arial" w:cs="Arial"/>
          <w:b w:val="0"/>
          <w:sz w:val="20"/>
          <w:szCs w:val="20"/>
        </w:rPr>
        <w:t>Care Act 2014</w:t>
      </w:r>
      <w:r w:rsidRPr="004262AD">
        <w:rPr>
          <w:rFonts w:ascii="Arial" w:hAnsi="Arial" w:cs="Arial"/>
          <w:sz w:val="20"/>
          <w:szCs w:val="20"/>
        </w:rPr>
        <w:t xml:space="preserve">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MAPPA agencies, to co-operate with each other in respect of their relevant care and support functions.  The aims of co-operation are to:</w:t>
      </w:r>
    </w:p>
    <w:p w14:paraId="683380FC" w14:textId="77777777" w:rsidR="009E0DD4" w:rsidRPr="004262AD" w:rsidRDefault="009E0DD4" w:rsidP="00AD2BEF">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promote the well-being of adults needing care and support, and of their carers;</w:t>
      </w:r>
    </w:p>
    <w:p w14:paraId="1AE82B07" w14:textId="77777777" w:rsidR="009E0DD4" w:rsidRPr="004262AD" w:rsidRDefault="009E0DD4" w:rsidP="00AD2BEF">
      <w:pPr>
        <w:numPr>
          <w:ilvl w:val="0"/>
          <w:numId w:val="68"/>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improve the quality of care and support for adults and support for carers;</w:t>
      </w:r>
    </w:p>
    <w:p w14:paraId="57C75919" w14:textId="39F5360F" w:rsidR="009E0DD4" w:rsidRPr="004262AD" w:rsidRDefault="009E0DD4" w:rsidP="00AD2BEF">
      <w:pPr>
        <w:numPr>
          <w:ilvl w:val="0"/>
          <w:numId w:val="69"/>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smooth the transition from </w:t>
      </w:r>
      <w:r w:rsidR="00ED34DF" w:rsidRPr="004262AD">
        <w:rPr>
          <w:rFonts w:ascii="Arial" w:hAnsi="Arial" w:cs="Arial"/>
          <w:sz w:val="20"/>
          <w:szCs w:val="20"/>
        </w:rPr>
        <w:t>children</w:t>
      </w:r>
      <w:r w:rsidRPr="004262AD">
        <w:rPr>
          <w:rFonts w:ascii="Arial" w:hAnsi="Arial" w:cs="Arial"/>
          <w:sz w:val="20"/>
          <w:szCs w:val="20"/>
        </w:rPr>
        <w:t xml:space="preserve"> to adult services;</w:t>
      </w:r>
    </w:p>
    <w:p w14:paraId="15B1FEB5" w14:textId="77777777" w:rsidR="009E0DD4" w:rsidRPr="004262AD" w:rsidRDefault="009E0DD4" w:rsidP="00AD2BEF">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protect adults with needs for care and support who are experiencing, or are at risk of, abuse or neglect; and</w:t>
      </w:r>
    </w:p>
    <w:p w14:paraId="68852B6F" w14:textId="0E74885B" w:rsidR="009E0DD4" w:rsidRPr="004262AD" w:rsidRDefault="009E0DD4" w:rsidP="00AD2BEF">
      <w:pPr>
        <w:numPr>
          <w:ilvl w:val="0"/>
          <w:numId w:val="70"/>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identify lessons to be learned from cases where adults with needs for care and support have experienced serious abuse or neglect and apply those lessons to future cases.</w:t>
      </w:r>
    </w:p>
    <w:p w14:paraId="57E03EAE" w14:textId="0F27A875"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3.27 The </w:t>
      </w:r>
      <w:r w:rsidRPr="004262AD">
        <w:rPr>
          <w:rStyle w:val="Strong"/>
          <w:rFonts w:ascii="Arial" w:hAnsi="Arial" w:cs="Arial"/>
          <w:b w:val="0"/>
          <w:sz w:val="20"/>
          <w:szCs w:val="20"/>
        </w:rPr>
        <w:t>Social Services and Well-being (Wales) Act 2014</w:t>
      </w:r>
      <w:r w:rsidRPr="004262AD">
        <w:rPr>
          <w:rFonts w:ascii="Arial" w:hAnsi="Arial" w:cs="Arial"/>
          <w:sz w:val="20"/>
          <w:szCs w:val="20"/>
        </w:rPr>
        <w:t xml:space="preserve">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50D16EA1"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Public Health</w:t>
      </w:r>
    </w:p>
    <w:p w14:paraId="0D8DF307"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3.28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19B11389" w14:textId="77777777" w:rsidR="009E0DD4" w:rsidRPr="00B21807" w:rsidRDefault="009E0DD4" w:rsidP="004262AD">
      <w:pPr>
        <w:pStyle w:val="Heading1"/>
        <w:rPr>
          <w:rStyle w:val="Strong"/>
          <w:b/>
          <w:szCs w:val="28"/>
        </w:rPr>
      </w:pPr>
      <w:r w:rsidRPr="00B21807">
        <w:rPr>
          <w:rStyle w:val="Strong"/>
          <w:b/>
          <w:bCs w:val="0"/>
          <w:szCs w:val="28"/>
        </w:rPr>
        <w:t>5 NHS England</w:t>
      </w:r>
    </w:p>
    <w:p w14:paraId="394726E4"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3.29 NHS England was created by the Health and Social Care Act 2012 and is referred to in legislation as the National Health Service Commissioning Board.  Its functions include:</w:t>
      </w:r>
    </w:p>
    <w:p w14:paraId="79ABD48A"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Setting the priorities and direction of the National Health Service (NHS) in England.</w:t>
      </w:r>
    </w:p>
    <w:p w14:paraId="5005988F"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Commissioning some primary care services in England, such as GPs, pharmacists and dentists as well as some specialised hospital services. </w:t>
      </w:r>
    </w:p>
    <w:p w14:paraId="01BA8B7B" w14:textId="77777777" w:rsidR="009E0DD4" w:rsidRPr="004262AD" w:rsidRDefault="009E0DD4" w:rsidP="00AD2BEF">
      <w:pPr>
        <w:pStyle w:val="ListParagraph"/>
        <w:numPr>
          <w:ilvl w:val="0"/>
          <w:numId w:val="71"/>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 xml:space="preserve">Supporting CCGs in commissioning other local health care services.  </w:t>
      </w:r>
    </w:p>
    <w:p w14:paraId="6C85A5E1" w14:textId="77777777" w:rsidR="009E0DD4" w:rsidRPr="004262AD" w:rsidRDefault="009E0DD4" w:rsidP="004262AD">
      <w:pPr>
        <w:spacing w:before="240" w:after="240" w:line="280" w:lineRule="exact"/>
        <w:rPr>
          <w:rStyle w:val="Strong"/>
          <w:rFonts w:ascii="Arial" w:hAnsi="Arial" w:cs="Arial"/>
          <w:b w:val="0"/>
          <w:bCs w:val="0"/>
          <w:sz w:val="20"/>
          <w:szCs w:val="20"/>
        </w:rPr>
      </w:pPr>
      <w:r w:rsidRPr="004262AD">
        <w:rPr>
          <w:rFonts w:ascii="Arial" w:hAnsi="Arial" w:cs="Arial"/>
          <w:sz w:val="20"/>
          <w:szCs w:val="20"/>
        </w:rPr>
        <w:t xml:space="preserve">3.30 NHS England has a responsibility to ensure that health providers and CCGs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5E398B6B" w14:textId="77777777" w:rsidR="009E0DD4" w:rsidRPr="00B21807" w:rsidRDefault="009E0DD4" w:rsidP="004262AD">
      <w:pPr>
        <w:pStyle w:val="Heading1"/>
        <w:rPr>
          <w:szCs w:val="28"/>
        </w:rPr>
      </w:pPr>
      <w:r w:rsidRPr="00B21807">
        <w:rPr>
          <w:rStyle w:val="Strong"/>
          <w:b/>
          <w:bCs w:val="0"/>
          <w:szCs w:val="28"/>
        </w:rPr>
        <w:t>6.</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Authority</w:t>
      </w:r>
      <w:r w:rsidRPr="00B21807">
        <w:rPr>
          <w:szCs w:val="28"/>
        </w:rPr>
        <w:t xml:space="preserve"> </w:t>
      </w:r>
    </w:p>
    <w:p w14:paraId="60A6812E"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3.31 A special health authority is a type of NHS Trust that operates nationally.  They are NHS Blood and Transplant, NHS Business Services Authority, NHS Litigation Authority and NHS Counter Fraud Authority.</w:t>
      </w:r>
    </w:p>
    <w:p w14:paraId="6EB69E78" w14:textId="77777777" w:rsidR="009E0DD4" w:rsidRPr="00B21807" w:rsidRDefault="009E0DD4" w:rsidP="004262AD">
      <w:pPr>
        <w:pStyle w:val="Heading1"/>
        <w:rPr>
          <w:rStyle w:val="Strong"/>
          <w:b/>
          <w:szCs w:val="28"/>
        </w:rPr>
      </w:pPr>
      <w:r w:rsidRPr="00B21807">
        <w:rPr>
          <w:rStyle w:val="Strong"/>
          <w:b/>
          <w:bCs w:val="0"/>
          <w:szCs w:val="28"/>
        </w:rPr>
        <w:t>7.</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Clinical Commissioning Group</w:t>
      </w:r>
      <w:r w:rsidRPr="00B21807">
        <w:rPr>
          <w:szCs w:val="28"/>
        </w:rPr>
        <w:t xml:space="preserve"> </w:t>
      </w:r>
      <w:r w:rsidRPr="00B21807">
        <w:rPr>
          <w:rStyle w:val="Strong"/>
          <w:b/>
          <w:bCs w:val="0"/>
          <w:szCs w:val="28"/>
        </w:rPr>
        <w:t>or</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Health</w:t>
      </w:r>
      <w:r w:rsidRPr="00B21807">
        <w:rPr>
          <w:szCs w:val="28"/>
        </w:rPr>
        <w:t xml:space="preserve"> </w:t>
      </w:r>
      <w:r w:rsidRPr="00B21807">
        <w:rPr>
          <w:rStyle w:val="Strong"/>
          <w:b/>
          <w:bCs w:val="0"/>
          <w:szCs w:val="28"/>
        </w:rPr>
        <w:t>Board</w:t>
      </w:r>
    </w:p>
    <w:p w14:paraId="6EEA5CD9"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3.32 CCGs commission most of the hospital and community NHS services in England in the local areas for which they are responsible.  Commissioning involves deciding what services are needed and ensuring that they are provided by planning, contracting and paying for them.  CCGs are assured by NHS England, which retains responsibility for commissioning some primary care services and some specialised hospital services, like radiotherapy for cancer. The commissioning of some primary care has been delegated by NHS England to some CCGs.  </w:t>
      </w:r>
    </w:p>
    <w:p w14:paraId="2FF8E965"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3.33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7B1E853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3.34 CCGs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3.49-3.50 for more information about GPs).</w:t>
      </w:r>
    </w:p>
    <w:p w14:paraId="5CE920F6" w14:textId="77777777" w:rsidR="009E0DD4" w:rsidRPr="00B21807" w:rsidRDefault="009E0DD4" w:rsidP="004262AD">
      <w:pPr>
        <w:pStyle w:val="Heading1"/>
        <w:rPr>
          <w:rStyle w:val="Strong"/>
          <w:b/>
          <w:szCs w:val="28"/>
        </w:rPr>
      </w:pPr>
      <w:r w:rsidRPr="00B21807">
        <w:rPr>
          <w:rStyle w:val="Strong"/>
          <w:b/>
          <w:bCs w:val="0"/>
          <w:szCs w:val="28"/>
        </w:rPr>
        <w:t>8.</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NHS</w:t>
      </w:r>
      <w:r w:rsidRPr="00B21807">
        <w:rPr>
          <w:szCs w:val="28"/>
        </w:rPr>
        <w:t xml:space="preserve"> </w:t>
      </w:r>
      <w:r w:rsidRPr="00B21807">
        <w:rPr>
          <w:rStyle w:val="Strong"/>
          <w:b/>
          <w:bCs w:val="0"/>
          <w:szCs w:val="28"/>
        </w:rPr>
        <w:t xml:space="preserve">Trust </w:t>
      </w:r>
    </w:p>
    <w:p w14:paraId="76A26DFB"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3.35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5062369C" w14:textId="77777777" w:rsidR="009E0DD4" w:rsidRPr="00B21807" w:rsidRDefault="009E0DD4" w:rsidP="004262AD">
      <w:pPr>
        <w:spacing w:before="240" w:after="240" w:line="280" w:lineRule="exact"/>
        <w:rPr>
          <w:rFonts w:ascii="Arial" w:hAnsi="Arial" w:cs="Arial"/>
          <w:b/>
        </w:rPr>
      </w:pPr>
      <w:r w:rsidRPr="00B21807">
        <w:rPr>
          <w:rFonts w:ascii="Arial" w:hAnsi="Arial" w:cs="Arial"/>
          <w:b/>
        </w:rPr>
        <w:t>Mental Health Trust</w:t>
      </w:r>
    </w:p>
    <w:p w14:paraId="62D5E566"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3.36 Mental Health Trusts provide health and social care services for people with mental health disorders and learning disabilities in England.  They are commissioned and funded by CCGs.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42CE5505" w14:textId="77777777" w:rsidR="009E0DD4" w:rsidRPr="00B21807" w:rsidRDefault="009E0DD4" w:rsidP="004262AD">
      <w:pPr>
        <w:spacing w:before="240" w:after="240" w:line="280" w:lineRule="exact"/>
        <w:rPr>
          <w:rFonts w:ascii="Arial" w:hAnsi="Arial" w:cs="Arial"/>
          <w:b/>
          <w:bCs/>
        </w:rPr>
      </w:pPr>
      <w:r w:rsidRPr="00B21807">
        <w:rPr>
          <w:rFonts w:ascii="Arial" w:hAnsi="Arial" w:cs="Arial"/>
          <w:b/>
          <w:bCs/>
        </w:rPr>
        <w:t xml:space="preserve">Standard: Mental Health Trusts identify all MAPPA patients and inform the MAPPA Co-ordinator of them. </w:t>
      </w:r>
    </w:p>
    <w:p w14:paraId="00A067ED"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3.37 Mental Health Trusts have a statutory responsibility to provide after-care in relation to certain MAPPA offenders and can be the lead agency (see Chapter 2 – Responsible Authority and Lead Agencies for more details).  It is essential that </w:t>
      </w:r>
      <w:bookmarkStart w:id="5" w:name="_Hlk80626580"/>
      <w:r w:rsidRPr="004262AD">
        <w:rPr>
          <w:rFonts w:ascii="Arial" w:hAnsi="Arial" w:cs="Arial"/>
          <w:sz w:val="20"/>
          <w:szCs w:val="20"/>
        </w:rPr>
        <w:t>Mental Health Trusts identify all patients who fall within MAPPA (both those in hospital and those in the community) and inform the MAPPA Co-ordinator of them via the MAPPA I</w:t>
      </w:r>
      <w:bookmarkEnd w:id="5"/>
      <w:r w:rsidRPr="004262AD">
        <w:rPr>
          <w:rFonts w:ascii="Arial" w:hAnsi="Arial" w:cs="Arial"/>
          <w:sz w:val="20"/>
          <w:szCs w:val="20"/>
        </w:rPr>
        <w:t xml:space="preserve">.  The MoU should include clear standing agreements about these offenders and RA contacts to help Trusts in managing them.  </w:t>
      </w:r>
    </w:p>
    <w:p w14:paraId="24BFB109"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3.38 Further information on mentally disordered offenders and MAPPA can be found in Chapter 26 – Mentally Disordered Offenders. </w:t>
      </w:r>
    </w:p>
    <w:p w14:paraId="68F77A1D" w14:textId="77777777" w:rsidR="009E0DD4" w:rsidRPr="00B21807" w:rsidRDefault="009E0DD4" w:rsidP="004262AD">
      <w:pPr>
        <w:pStyle w:val="Heading1"/>
        <w:rPr>
          <w:szCs w:val="28"/>
        </w:rPr>
      </w:pPr>
      <w:r w:rsidRPr="00B21807">
        <w:rPr>
          <w:rStyle w:val="Strong"/>
          <w:b/>
          <w:bCs w:val="0"/>
          <w:szCs w:val="28"/>
        </w:rPr>
        <w:t>9.</w:t>
      </w:r>
      <w:r w:rsidRPr="00B21807">
        <w:rPr>
          <w:szCs w:val="28"/>
        </w:rPr>
        <w:t xml:space="preserve"> </w:t>
      </w:r>
      <w:r w:rsidRPr="00B21807">
        <w:rPr>
          <w:rStyle w:val="Strong"/>
          <w:b/>
          <w:bCs w:val="0"/>
          <w:szCs w:val="28"/>
        </w:rPr>
        <w:t>The</w:t>
      </w:r>
      <w:r w:rsidRPr="00B21807">
        <w:rPr>
          <w:szCs w:val="28"/>
        </w:rPr>
        <w:t xml:space="preserve"> </w:t>
      </w:r>
      <w:r w:rsidRPr="00B21807">
        <w:rPr>
          <w:rStyle w:val="Strong"/>
          <w:b/>
          <w:bCs w:val="0"/>
          <w:szCs w:val="28"/>
        </w:rPr>
        <w:t>Local</w:t>
      </w:r>
      <w:r w:rsidRPr="00B21807">
        <w:rPr>
          <w:szCs w:val="28"/>
        </w:rPr>
        <w:t xml:space="preserve"> </w:t>
      </w:r>
      <w:r w:rsidRPr="00B21807">
        <w:rPr>
          <w:rStyle w:val="Strong"/>
          <w:b/>
          <w:bCs w:val="0"/>
          <w:szCs w:val="28"/>
        </w:rPr>
        <w:t>Housing</w:t>
      </w:r>
      <w:r w:rsidRPr="00B21807">
        <w:rPr>
          <w:szCs w:val="28"/>
        </w:rPr>
        <w:t xml:space="preserve"> </w:t>
      </w:r>
      <w:r w:rsidRPr="00B21807">
        <w:rPr>
          <w:rStyle w:val="Strong"/>
          <w:b/>
          <w:bCs w:val="0"/>
          <w:szCs w:val="28"/>
        </w:rPr>
        <w:t xml:space="preserve">Authority </w:t>
      </w:r>
    </w:p>
    <w:p w14:paraId="791499B0" w14:textId="4AD05776"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3.39 Local housing authority (LHA) is the name given to the local authority when acting in their housing capacity.  They have two functions that relate to the resettlement of offenders; the allocation of social housing and the provision of housing assistance for people who are homeless.  The duty of LHAs to co-operate with the RA does not create a separate duty to accommodate offenders.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 </w:t>
      </w:r>
    </w:p>
    <w:p w14:paraId="2658F3B8" w14:textId="77777777" w:rsidR="009E0DD4" w:rsidRPr="00B21807" w:rsidRDefault="009E0DD4" w:rsidP="004262AD">
      <w:pPr>
        <w:pStyle w:val="Heading1"/>
        <w:rPr>
          <w:szCs w:val="28"/>
        </w:rPr>
      </w:pPr>
      <w:r w:rsidRPr="00B21807">
        <w:rPr>
          <w:rStyle w:val="Strong"/>
          <w:b/>
          <w:bCs w:val="0"/>
          <w:szCs w:val="28"/>
        </w:rPr>
        <w:t xml:space="preserve">10. </w:t>
      </w:r>
      <w:r w:rsidRPr="00B21807">
        <w:rPr>
          <w:szCs w:val="28"/>
        </w:rPr>
        <w:t>Private Registered Providers of Social Housing/</w:t>
      </w:r>
      <w:r w:rsidRPr="00B21807">
        <w:rPr>
          <w:rStyle w:val="Strong"/>
          <w:b/>
          <w:bCs w:val="0"/>
          <w:szCs w:val="28"/>
        </w:rPr>
        <w:t>Registered</w:t>
      </w:r>
      <w:r w:rsidRPr="00B21807">
        <w:rPr>
          <w:szCs w:val="28"/>
        </w:rPr>
        <w:t xml:space="preserve"> </w:t>
      </w:r>
      <w:r w:rsidRPr="00B21807">
        <w:rPr>
          <w:rStyle w:val="Strong"/>
          <w:b/>
          <w:bCs w:val="0"/>
          <w:szCs w:val="28"/>
        </w:rPr>
        <w:t>Social</w:t>
      </w:r>
      <w:r w:rsidRPr="00B21807">
        <w:rPr>
          <w:szCs w:val="28"/>
        </w:rPr>
        <w:t xml:space="preserve"> </w:t>
      </w:r>
      <w:r w:rsidRPr="00B21807">
        <w:rPr>
          <w:rStyle w:val="Strong"/>
          <w:b/>
          <w:bCs w:val="0"/>
          <w:szCs w:val="28"/>
        </w:rPr>
        <w:t>Landlords</w:t>
      </w:r>
    </w:p>
    <w:p w14:paraId="3D8A9A35"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3.40 Private Registered Provider of Social Housing (Registered Social Landlord in Wales) is the statutory name for social landlords who are registered with the Regulator of Social Housing.  The majority of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094ABE38" w14:textId="3A7CB381"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3.41 Not all Private Registered Providers of Social Housing provide accommodation for MAPPA offenders.  It is likely that, as providers of accommodation, the duty to co-operate will only engage when they are considering accommodating a MAPPA offender.  However, the precise nature of the duty is determined by Private Registered Providers of Social Housing with the RA in each area and should be reflected in an information-sharing protocol.   For more information see Chapter </w:t>
      </w:r>
      <w:r w:rsidR="000D0936">
        <w:rPr>
          <w:rFonts w:ascii="Arial" w:hAnsi="Arial" w:cs="Arial"/>
          <w:sz w:val="20"/>
          <w:szCs w:val="20"/>
        </w:rPr>
        <w:t>21</w:t>
      </w:r>
      <w:r w:rsidRPr="004262AD">
        <w:rPr>
          <w:rFonts w:ascii="Arial" w:hAnsi="Arial" w:cs="Arial"/>
          <w:sz w:val="20"/>
          <w:szCs w:val="20"/>
        </w:rPr>
        <w:t xml:space="preserve"> – Accommodation and Employment.</w:t>
      </w:r>
    </w:p>
    <w:p w14:paraId="13703174" w14:textId="77777777" w:rsidR="009E0DD4" w:rsidRPr="00B21807" w:rsidRDefault="009E0DD4" w:rsidP="004262AD">
      <w:pPr>
        <w:pStyle w:val="Heading1"/>
        <w:rPr>
          <w:szCs w:val="28"/>
        </w:rPr>
      </w:pPr>
      <w:r w:rsidRPr="00B21807">
        <w:rPr>
          <w:rStyle w:val="Strong"/>
          <w:b/>
          <w:bCs w:val="0"/>
          <w:szCs w:val="28"/>
        </w:rPr>
        <w:t>11.</w:t>
      </w:r>
      <w:r w:rsidRPr="00B21807">
        <w:rPr>
          <w:szCs w:val="28"/>
        </w:rPr>
        <w:t xml:space="preserve"> </w:t>
      </w:r>
      <w:r w:rsidRPr="00B21807">
        <w:rPr>
          <w:rStyle w:val="Strong"/>
          <w:b/>
          <w:bCs w:val="0"/>
          <w:szCs w:val="28"/>
        </w:rPr>
        <w:t>Electronic</w:t>
      </w:r>
      <w:r w:rsidRPr="00B21807">
        <w:rPr>
          <w:szCs w:val="28"/>
        </w:rPr>
        <w:t xml:space="preserve"> </w:t>
      </w:r>
      <w:r w:rsidRPr="00B21807">
        <w:rPr>
          <w:rStyle w:val="Strong"/>
          <w:b/>
          <w:bCs w:val="0"/>
          <w:szCs w:val="28"/>
        </w:rPr>
        <w:t>Monitoring</w:t>
      </w:r>
      <w:r w:rsidRPr="00B21807">
        <w:rPr>
          <w:szCs w:val="28"/>
        </w:rPr>
        <w:t xml:space="preserve"> </w:t>
      </w:r>
      <w:r w:rsidRPr="00B21807">
        <w:rPr>
          <w:rStyle w:val="Strong"/>
          <w:b/>
          <w:bCs w:val="0"/>
          <w:szCs w:val="28"/>
        </w:rPr>
        <w:t>(EM)</w:t>
      </w:r>
      <w:r w:rsidRPr="00B21807">
        <w:rPr>
          <w:szCs w:val="28"/>
        </w:rPr>
        <w:t xml:space="preserve"> </w:t>
      </w:r>
      <w:r w:rsidRPr="00B21807">
        <w:rPr>
          <w:rStyle w:val="Strong"/>
          <w:b/>
          <w:bCs w:val="0"/>
          <w:szCs w:val="28"/>
        </w:rPr>
        <w:t xml:space="preserve">providers </w:t>
      </w:r>
    </w:p>
    <w:p w14:paraId="5225F114"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3.42 The EM Field and Service Provider delivers an electronic monitoring service to the Ministry of Justice under contract.  Their duty to co-operate with the RA is intended to be synonymous with their contractual responsibilities.  In practical terms this may involve the EM provider:</w:t>
      </w:r>
    </w:p>
    <w:p w14:paraId="149E601D" w14:textId="77777777" w:rsidR="009E0DD4" w:rsidRPr="004262AD" w:rsidRDefault="009E0DD4" w:rsidP="00AD2BEF">
      <w:pPr>
        <w:pStyle w:val="NormalWeb"/>
        <w:numPr>
          <w:ilvl w:val="0"/>
          <w:numId w:val="7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Providing advice to the RA on the capability and limits of the available technology.</w:t>
      </w:r>
    </w:p>
    <w:p w14:paraId="1AD9F5D4" w14:textId="77777777" w:rsidR="009E0DD4" w:rsidRPr="004262AD" w:rsidRDefault="009E0DD4" w:rsidP="00AD2BEF">
      <w:pPr>
        <w:pStyle w:val="NormalWeb"/>
        <w:numPr>
          <w:ilvl w:val="0"/>
          <w:numId w:val="72"/>
        </w:numPr>
        <w:suppressAutoHyphens w:val="0"/>
        <w:autoSpaceDN/>
        <w:spacing w:before="240" w:after="240" w:line="280" w:lineRule="exact"/>
        <w:ind w:left="714" w:hanging="357"/>
        <w:contextualSpacing/>
        <w:textAlignment w:val="auto"/>
        <w:rPr>
          <w:rFonts w:ascii="Arial" w:hAnsi="Arial" w:cs="Arial"/>
          <w:sz w:val="20"/>
          <w:szCs w:val="20"/>
        </w:rPr>
      </w:pPr>
      <w:r w:rsidRPr="004262AD">
        <w:rPr>
          <w:rFonts w:ascii="Arial" w:hAnsi="Arial" w:cs="Arial"/>
          <w:sz w:val="20"/>
          <w:szCs w:val="20"/>
        </w:rPr>
        <w:t>Attending meetings of the SMB, as and when required, for discussions about policy and practice relating to electronic monitoring.</w:t>
      </w:r>
    </w:p>
    <w:p w14:paraId="36B88FD2" w14:textId="77777777" w:rsidR="009E0DD4" w:rsidRPr="004262AD" w:rsidRDefault="009E0DD4" w:rsidP="00AD2BEF">
      <w:pPr>
        <w:pStyle w:val="NormalWeb"/>
        <w:numPr>
          <w:ilvl w:val="0"/>
          <w:numId w:val="72"/>
        </w:numPr>
        <w:suppressAutoHyphens w:val="0"/>
        <w:autoSpaceDN/>
        <w:spacing w:before="240" w:after="240" w:line="280" w:lineRule="exact"/>
        <w:ind w:left="714" w:hanging="357"/>
        <w:textAlignment w:val="auto"/>
        <w:rPr>
          <w:rFonts w:ascii="Arial" w:hAnsi="Arial" w:cs="Arial"/>
          <w:sz w:val="20"/>
          <w:szCs w:val="20"/>
        </w:rPr>
      </w:pPr>
      <w:r w:rsidRPr="004262AD">
        <w:rPr>
          <w:rFonts w:ascii="Arial" w:hAnsi="Arial" w:cs="Arial"/>
          <w:sz w:val="20"/>
          <w:szCs w:val="20"/>
        </w:rPr>
        <w:t>Attending MAPPA meetings when the needs of a particular case require.</w:t>
      </w:r>
    </w:p>
    <w:p w14:paraId="617241E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3.43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77573A38"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3.44 The lead agency for each offender should inform the EM provider of every MAPPA offender who is subject to EM, so that the offender's MAPPA status may be recorded on the EM provider’s database.  The EM provider is then authorised by the Ministry of Justice to release relevant information about the offender to the RA for MAPPA purposes as soon as it is requested.</w:t>
      </w:r>
    </w:p>
    <w:p w14:paraId="6861677C" w14:textId="4E998EE8"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3.45 The EM provider should be kept informed of the names of the relevant </w:t>
      </w:r>
      <w:r w:rsidR="003D5681">
        <w:rPr>
          <w:rFonts w:ascii="Arial" w:hAnsi="Arial" w:cs="Arial"/>
          <w:sz w:val="20"/>
          <w:szCs w:val="20"/>
        </w:rPr>
        <w:t xml:space="preserve">Probation Practitioner </w:t>
      </w:r>
      <w:r w:rsidRPr="004262AD">
        <w:rPr>
          <w:rFonts w:ascii="Arial" w:hAnsi="Arial" w:cs="Arial"/>
          <w:sz w:val="20"/>
          <w:szCs w:val="20"/>
        </w:rPr>
        <w:t>and provided with contact details for key agencies, such as the police (including out of hours), and that these are updated when necessary.  The EM provider will provide up-to-date progress reports at any time when asked to do so, e.g. for MAPPA meetings.</w:t>
      </w:r>
    </w:p>
    <w:p w14:paraId="7BCBE4AC" w14:textId="77777777" w:rsidR="009E0DD4" w:rsidRPr="00B21807" w:rsidRDefault="009E0DD4" w:rsidP="004262AD">
      <w:pPr>
        <w:pStyle w:val="Heading1"/>
        <w:rPr>
          <w:rStyle w:val="Strong"/>
          <w:b/>
          <w:szCs w:val="28"/>
        </w:rPr>
      </w:pPr>
      <w:r w:rsidRPr="00B21807">
        <w:rPr>
          <w:rStyle w:val="Strong"/>
          <w:b/>
          <w:bCs w:val="0"/>
          <w:szCs w:val="28"/>
        </w:rPr>
        <w:t>12.</w:t>
      </w:r>
      <w:r w:rsidRPr="00B21807">
        <w:rPr>
          <w:szCs w:val="28"/>
        </w:rPr>
        <w:t xml:space="preserve"> </w:t>
      </w:r>
      <w:r w:rsidRPr="00B21807">
        <w:rPr>
          <w:rStyle w:val="Strong"/>
          <w:b/>
          <w:bCs w:val="0"/>
          <w:szCs w:val="28"/>
        </w:rPr>
        <w:t xml:space="preserve">Home Office </w:t>
      </w:r>
    </w:p>
    <w:p w14:paraId="58109883"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3.46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 prisoners who are released into the community.</w:t>
      </w:r>
    </w:p>
    <w:p w14:paraId="0FB7C783" w14:textId="42FA658D"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3.47 As a DTC agency, the Home Office can prioritise enforcement action for the most dangerous sexual and violent offenders and improve the information flow to immigration detention centres in respect of risk management and safeguarding - for example, avoiding the placement of certain offenders with children and vulnerable adults at the centres.  See Chapter 25 – Foreign National Offenders for further information.</w:t>
      </w:r>
    </w:p>
    <w:p w14:paraId="186DB1FA" w14:textId="77777777" w:rsidR="009E0DD4" w:rsidRPr="004262AD" w:rsidRDefault="009E0DD4" w:rsidP="004262AD">
      <w:pPr>
        <w:pStyle w:val="NormalWeb"/>
        <w:spacing w:before="240" w:after="240" w:line="280" w:lineRule="exact"/>
        <w:rPr>
          <w:rFonts w:ascii="Arial" w:hAnsi="Arial" w:cs="Arial"/>
          <w:sz w:val="20"/>
          <w:szCs w:val="20"/>
        </w:rPr>
      </w:pPr>
      <w:r w:rsidRPr="004262AD">
        <w:rPr>
          <w:rFonts w:ascii="Arial" w:hAnsi="Arial" w:cs="Arial"/>
          <w:sz w:val="20"/>
          <w:szCs w:val="20"/>
        </w:rPr>
        <w:t xml:space="preserve">3.48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0" w:history="1">
        <w:r w:rsidRPr="004262AD">
          <w:rPr>
            <w:rStyle w:val="Hyperlink"/>
            <w:rFonts w:ascii="Arial" w:hAnsi="Arial" w:cs="Arial"/>
            <w:sz w:val="20"/>
            <w:szCs w:val="20"/>
          </w:rPr>
          <w:t>https://mappa.justice.gov.uk/General/view?objectID=265796</w:t>
        </w:r>
      </w:hyperlink>
      <w:r w:rsidRPr="004262AD">
        <w:rPr>
          <w:rFonts w:ascii="Arial" w:hAnsi="Arial" w:cs="Arial"/>
          <w:sz w:val="20"/>
          <w:szCs w:val="20"/>
        </w:rPr>
        <w:t xml:space="preserve">. </w:t>
      </w:r>
    </w:p>
    <w:p w14:paraId="43517EF0" w14:textId="77777777" w:rsidR="009E0DD4" w:rsidRPr="00B21807" w:rsidRDefault="009E0DD4" w:rsidP="004262AD">
      <w:pPr>
        <w:pStyle w:val="Heading1"/>
        <w:rPr>
          <w:szCs w:val="28"/>
        </w:rPr>
      </w:pPr>
      <w:r w:rsidRPr="00B21807">
        <w:rPr>
          <w:szCs w:val="28"/>
        </w:rPr>
        <w:t>Non-DTC Agencies</w:t>
      </w:r>
    </w:p>
    <w:p w14:paraId="287FA317"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Commissioned Services</w:t>
      </w:r>
    </w:p>
    <w:p w14:paraId="43A08465" w14:textId="2247D6AD"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3.49 The Probation Service commissions a number of organisations to provide services in relation to accommodation, education training and employment, personal wellbeing and women’s services.  These providers do not have a statutory duty to co-operate but must engage with MAPPA as part of their contract.  Where they offer services to MAPPA offenders Probation </w:t>
      </w:r>
      <w:r w:rsidR="0072210E">
        <w:rPr>
          <w:rFonts w:ascii="Arial" w:hAnsi="Arial" w:cs="Arial"/>
          <w:sz w:val="20"/>
          <w:szCs w:val="20"/>
        </w:rPr>
        <w:t>Practitioners</w:t>
      </w:r>
      <w:r w:rsidRPr="004262AD">
        <w:rPr>
          <w:rFonts w:ascii="Arial" w:hAnsi="Arial" w:cs="Arial"/>
          <w:sz w:val="20"/>
          <w:szCs w:val="20"/>
        </w:rPr>
        <w:t xml:space="preserve"> may request contributions to MAPPA meetings.</w:t>
      </w:r>
    </w:p>
    <w:p w14:paraId="0003E4C5"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Independent Sector Mental Health Providers</w:t>
      </w:r>
    </w:p>
    <w:p w14:paraId="306C1762"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3.50 Independent sector mental health providers can be commissioned and contracted by NHS England, CCGs or Local Health Boards to provide mental health services under the NHS.  They can also provide services privately without an NHS contract.  NHS contracts require these providers to engage in safeguarding. Independent mental health providers may be the lead agency (see Chapter 2 – Responsible Authority and Lead Agency). </w:t>
      </w:r>
    </w:p>
    <w:p w14:paraId="3DC9DED3" w14:textId="77777777" w:rsidR="009E0DD4" w:rsidRPr="00B21807" w:rsidRDefault="009E0DD4" w:rsidP="004262AD">
      <w:pPr>
        <w:spacing w:before="240" w:after="240" w:line="280" w:lineRule="exact"/>
        <w:rPr>
          <w:rFonts w:ascii="Arial" w:hAnsi="Arial" w:cs="Arial"/>
          <w:b/>
          <w:bCs/>
          <w:iCs/>
        </w:rPr>
      </w:pPr>
      <w:r w:rsidRPr="00B21807">
        <w:rPr>
          <w:rFonts w:ascii="Arial" w:hAnsi="Arial" w:cs="Arial"/>
          <w:b/>
          <w:bCs/>
          <w:iCs/>
        </w:rPr>
        <w:t>General Practitioners</w:t>
      </w:r>
    </w:p>
    <w:p w14:paraId="04760C40" w14:textId="77777777" w:rsidR="009E0DD4" w:rsidRPr="004262AD" w:rsidRDefault="009E0DD4" w:rsidP="004262AD">
      <w:pPr>
        <w:spacing w:before="240" w:after="240" w:line="280" w:lineRule="exact"/>
        <w:rPr>
          <w:rFonts w:ascii="Arial" w:hAnsi="Arial" w:cs="Arial"/>
          <w:sz w:val="20"/>
          <w:szCs w:val="20"/>
        </w:rPr>
      </w:pPr>
      <w:r w:rsidRPr="004262AD">
        <w:rPr>
          <w:rFonts w:ascii="Arial" w:hAnsi="Arial" w:cs="Arial"/>
          <w:sz w:val="20"/>
          <w:szCs w:val="20"/>
        </w:rPr>
        <w:t xml:space="preserve">3.51 GPs are medical doctors who treat acute and chronic illnesses and provide preventive care and health education to patients.  GPs can work with offenders to promote health and wellbeing as part of their rehabilitation.  Although they do not have a statutory duty to co-operate with MAPPA, GPs have a professional duty to maintain and develop multi-agency collaboration (see </w:t>
      </w:r>
      <w:hyperlink r:id="rId21" w:history="1">
        <w:r w:rsidRPr="004262AD">
          <w:rPr>
            <w:rStyle w:val="Hyperlink"/>
            <w:rFonts w:ascii="Arial" w:hAnsi="Arial" w:cs="Arial"/>
            <w:sz w:val="20"/>
            <w:szCs w:val="20"/>
          </w:rPr>
          <w:t>https://www.gmc-uk.org/guidance/ethical_guidance/30608.asp</w:t>
        </w:r>
      </w:hyperlink>
      <w:r w:rsidRPr="004262AD">
        <w:rPr>
          <w:rFonts w:ascii="Arial" w:hAnsi="Arial" w:cs="Arial"/>
          <w:sz w:val="20"/>
          <w:szCs w:val="20"/>
        </w:rPr>
        <w:t xml:space="preserve"> paragraph 71, which specifically refers to MAPPA). The Care Quality Commission (CQC) ensures that GP practices deliver high quality safeguarding support, work collaboratively and adopt recommendations from serious safeguarding reviews.  CCGs and local authorities have local safeguarding teams who monitor the quality of safeguarding at a practice level (or generally within services).  GPs are often amongst the first to witness escalating risk and the effects of crime.  The offender’s medical record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any disclosures made to GPs about abuse experienced or perpetrated. Consideration should be given to disclosing information to GPs in order to protect staff and other patients (including offenders’ partners and children).</w:t>
      </w: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properly-constituted</w:t>
      </w:r>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 The Strategic Management Board (SMB) is the means by which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"keep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4.2 The SMB is therefore responsible for managing MAPPA activity in its area. This will include reviewing its operations for quality and effectiveness and planning how to accommodate any changes as a result of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198A69F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4.3 The SMB must have a Chair who is responsible for the work of the SMB. The Chair will either be a Police Assistant Chief Constable, Probation LDU Head or Prison Group Director. The role of the Chair can be shared, although it is important that this does not hinder consistency or the development of good practice. The SMB must ensure the role of Chair is not vacant for longer than absolutely necessary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a period of time.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Identify cases that require a MAPPA Serious Case Review (see Chapter 20 – MAPPA Serious Case Reviews) and carry out a review in qualifying cases, in accordance with this Guidance.</w:t>
      </w:r>
    </w:p>
    <w:p w14:paraId="198A6A02"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B21807">
      <w:pPr>
        <w:pStyle w:val="ListParagraph"/>
        <w:numPr>
          <w:ilvl w:val="0"/>
          <w:numId w:val="12"/>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all agencies of the Responsible Authority are equally responsible for the use of ViSOR, and that they use it in accordance with the relevant agencies' agreed business models and ViSOR National Standards.</w:t>
      </w:r>
    </w:p>
    <w:p w14:paraId="198A6A08"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B21807">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B21807">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at Assistant Chief Constable rank.</w:t>
      </w:r>
    </w:p>
    <w:p w14:paraId="198A6A10"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at a level equivalent to the Prison Group Director.</w:t>
      </w:r>
    </w:p>
    <w:p w14:paraId="198A6A11"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B21807">
      <w:pPr>
        <w:pStyle w:val="ListParagraph"/>
        <w:numPr>
          <w:ilvl w:val="0"/>
          <w:numId w:val="13"/>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B21807">
      <w:pPr>
        <w:pStyle w:val="ListParagraph"/>
        <w:numPr>
          <w:ilvl w:val="0"/>
          <w:numId w:val="13"/>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4.10 The Responsible Authority will make arrangements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B21807">
      <w:pPr>
        <w:pStyle w:val="ListParagraph"/>
        <w:numPr>
          <w:ilvl w:val="0"/>
          <w:numId w:val="14"/>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B21807">
      <w:pPr>
        <w:pStyle w:val="ListParagraph"/>
        <w:numPr>
          <w:ilvl w:val="0"/>
          <w:numId w:val="14"/>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4.11 The SMB should ensure that MAPPA has effective links with local multi-agency forums in its area, in order to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B21807">
      <w:pPr>
        <w:pStyle w:val="ListParagraph"/>
        <w:numPr>
          <w:ilvl w:val="0"/>
          <w:numId w:val="15"/>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B21807">
      <w:pPr>
        <w:pStyle w:val="ListParagraph"/>
        <w:numPr>
          <w:ilvl w:val="0"/>
          <w:numId w:val="15"/>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4.13 The structure of SMB meetings is a matter for the Responsible Authority, in consultation with its MAPPA partners, and will reflect how the SMB chooses to organise itself. For example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4.16 The Ministry of Justice and Home Office Press Offices have a specialist desk to deal with MAPPA-related enquiries and they can provide support, advice, up-to-date lines or statements, and Q&amp;A material. They are also in a position to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98A6A3C"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A3D"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facilitates the appointment of two Lay Advisers by the</w:t>
      </w:r>
      <w:r>
        <w:rPr>
          <w:rFonts w:ascii="Arial" w:hAnsi="Arial" w:cs="Arial"/>
          <w:lang w:eastAsia="en-GB"/>
        </w:rPr>
        <w:t xml:space="preserve"> </w:t>
      </w:r>
      <w:r>
        <w:rPr>
          <w:rFonts w:ascii="Arial" w:hAnsi="Arial" w:cs="Arial"/>
          <w:b/>
          <w:bCs/>
          <w:lang w:eastAsia="en-GB"/>
        </w:rPr>
        <w:t>Secretary</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 xml:space="preserve">State </w:t>
      </w:r>
    </w:p>
    <w:p w14:paraId="198A6A3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 Section 326 of the Criminal Justice Act 2003 requires the Minister to appoint two Lay Advisers to each Responsible Authority (RA) area.  Areas may have more than two Lay Advisers at the Minister’s discretion.  The Act makes clear that Lay Advisers are appointed to be consulted in the respect of the review of MAPPA functions.  They must be consulted in monitoring the effectiveness of MAPPA and any changes made in order to bring about improvement.  They do not have a role in decisions about, or the management of, individual cases assigned to MAPPA.  Lay Advisers will operate as full members of the area's Strategic Management Board (SMB), participating in the SMB itself and any relevant sub-groups or working parties.  Lay Advisers are voluntary public appointments and are unpaid.</w:t>
      </w:r>
    </w:p>
    <w:p w14:paraId="198A6A3F"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Role of Lay Advisers</w:t>
      </w:r>
    </w:p>
    <w:p w14:paraId="198A6A40" w14:textId="77777777" w:rsidR="00F2123B" w:rsidRDefault="00200CFB">
      <w:pPr>
        <w:spacing w:before="100" w:after="240" w:line="280" w:lineRule="exact"/>
      </w:pPr>
      <w:r>
        <w:rPr>
          <w:rFonts w:ascii="Arial" w:hAnsi="Arial" w:cs="Arial"/>
          <w:b/>
          <w:bCs/>
          <w:lang w:eastAsia="en-GB"/>
        </w:rPr>
        <w:t>Standard - Lay Advisers</w:t>
      </w:r>
      <w:r>
        <w:rPr>
          <w:rFonts w:ascii="Arial" w:hAnsi="Arial" w:cs="Arial"/>
          <w:b/>
          <w:lang w:eastAsia="en-GB"/>
        </w:rPr>
        <w:t xml:space="preserve"> </w:t>
      </w:r>
      <w:r>
        <w:rPr>
          <w:rFonts w:ascii="Arial" w:hAnsi="Arial" w:cs="Arial"/>
          <w:b/>
          <w:bCs/>
          <w:lang w:eastAsia="en-GB"/>
        </w:rPr>
        <w:t>adhere</w:t>
      </w:r>
      <w:r>
        <w:rPr>
          <w:rFonts w:ascii="Arial" w:hAnsi="Arial" w:cs="Arial"/>
          <w:b/>
          <w:lang w:eastAsia="en-GB"/>
        </w:rPr>
        <w:t xml:space="preserve"> </w:t>
      </w:r>
      <w:r>
        <w:rPr>
          <w:rFonts w:ascii="Arial" w:hAnsi="Arial" w:cs="Arial"/>
          <w:b/>
          <w:bCs/>
          <w:lang w:eastAsia="en-GB"/>
        </w:rPr>
        <w:t>to</w:t>
      </w:r>
      <w:r>
        <w:rPr>
          <w:rFonts w:ascii="Arial" w:hAnsi="Arial" w:cs="Arial"/>
          <w:b/>
          <w:lang w:eastAsia="en-GB"/>
        </w:rPr>
        <w:t xml:space="preserve"> </w:t>
      </w:r>
      <w:r>
        <w:rPr>
          <w:rFonts w:ascii="Arial" w:hAnsi="Arial" w:cs="Arial"/>
          <w:b/>
          <w:bCs/>
          <w:lang w:eastAsia="en-GB"/>
        </w:rPr>
        <w:t>their</w:t>
      </w:r>
      <w:r>
        <w:rPr>
          <w:rFonts w:ascii="Arial" w:hAnsi="Arial" w:cs="Arial"/>
          <w:b/>
          <w:lang w:eastAsia="en-GB"/>
        </w:rPr>
        <w:t xml:space="preserve"> </w:t>
      </w:r>
      <w:r>
        <w:rPr>
          <w:rFonts w:ascii="Arial" w:hAnsi="Arial" w:cs="Arial"/>
          <w:b/>
          <w:bCs/>
          <w:lang w:eastAsia="en-GB"/>
        </w:rPr>
        <w:t>agreed</w:t>
      </w:r>
      <w:r>
        <w:rPr>
          <w:rFonts w:ascii="Arial" w:hAnsi="Arial" w:cs="Arial"/>
          <w:b/>
          <w:lang w:eastAsia="en-GB"/>
        </w:rPr>
        <w:t xml:space="preserve"> </w:t>
      </w:r>
      <w:r>
        <w:rPr>
          <w:rFonts w:ascii="Arial" w:hAnsi="Arial" w:cs="Arial"/>
          <w:b/>
          <w:bCs/>
          <w:lang w:eastAsia="en-GB"/>
        </w:rPr>
        <w:t>role, keep information</w:t>
      </w:r>
      <w:r>
        <w:rPr>
          <w:rFonts w:ascii="Arial" w:hAnsi="Arial" w:cs="Arial"/>
          <w:b/>
          <w:lang w:eastAsia="en-GB"/>
        </w:rPr>
        <w:t xml:space="preserve"> </w:t>
      </w:r>
      <w:r>
        <w:rPr>
          <w:rFonts w:ascii="Arial" w:hAnsi="Arial" w:cs="Arial"/>
          <w:b/>
          <w:bCs/>
          <w:lang w:eastAsia="en-GB"/>
        </w:rPr>
        <w:t>confidential</w:t>
      </w:r>
      <w:r>
        <w:rPr>
          <w:rFonts w:ascii="Arial" w:hAnsi="Arial" w:cs="Arial"/>
          <w:b/>
          <w:lang w:eastAsia="en-GB"/>
        </w:rPr>
        <w:t xml:space="preserve"> </w:t>
      </w:r>
      <w:r>
        <w:rPr>
          <w:rFonts w:ascii="Arial" w:hAnsi="Arial" w:cs="Arial"/>
          <w:b/>
          <w:bCs/>
          <w:lang w:eastAsia="en-GB"/>
        </w:rPr>
        <w:t>and</w:t>
      </w:r>
      <w:r>
        <w:rPr>
          <w:rFonts w:ascii="Arial" w:hAnsi="Arial" w:cs="Arial"/>
          <w:b/>
          <w:lang w:eastAsia="en-GB"/>
        </w:rPr>
        <w:t xml:space="preserve"> recognise and value </w:t>
      </w:r>
      <w:r>
        <w:rPr>
          <w:rFonts w:ascii="Arial" w:hAnsi="Arial" w:cs="Arial"/>
          <w:b/>
          <w:bCs/>
          <w:lang w:eastAsia="en-GB"/>
        </w:rPr>
        <w:t>diversity</w:t>
      </w:r>
      <w:r>
        <w:rPr>
          <w:rFonts w:ascii="Arial" w:hAnsi="Arial" w:cs="Arial"/>
          <w:b/>
          <w:lang w:eastAsia="en-GB"/>
        </w:rPr>
        <w:t xml:space="preserve"> </w:t>
      </w:r>
    </w:p>
    <w:p w14:paraId="198A6A41" w14:textId="77777777" w:rsidR="00F2123B" w:rsidRDefault="00200CFB">
      <w:pPr>
        <w:spacing w:before="100" w:after="240" w:line="280" w:lineRule="exact"/>
        <w:rPr>
          <w:rFonts w:ascii="Arial" w:hAnsi="Arial" w:cs="Arial"/>
          <w:b/>
          <w:lang w:eastAsia="en-GB"/>
        </w:rPr>
      </w:pPr>
      <w:r>
        <w:rPr>
          <w:rFonts w:ascii="Arial" w:hAnsi="Arial" w:cs="Arial"/>
          <w:b/>
          <w:lang w:eastAsia="en-GB"/>
        </w:rPr>
        <w:t>Time Commitment</w:t>
      </w:r>
    </w:p>
    <w:p w14:paraId="198A6A4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 A Lay Adviser will:</w:t>
      </w:r>
    </w:p>
    <w:p w14:paraId="198A6A43"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Provide up to 8 hours a month to the SMB.  Any additional time worked should be agreed with the SMB through the MAPPA Co-ordinator.  Lay Advisers should not be expected to provide more than 16 hours per month and may not work as a Lay Adviser full time.</w:t>
      </w:r>
    </w:p>
    <w:p w14:paraId="198A6A44" w14:textId="77777777" w:rsidR="00F2123B" w:rsidRDefault="00200CFB">
      <w:pPr>
        <w:spacing w:before="100" w:after="240" w:line="280" w:lineRule="exact"/>
        <w:rPr>
          <w:rFonts w:ascii="Arial" w:hAnsi="Arial" w:cs="Arial"/>
          <w:b/>
          <w:lang w:eastAsia="en-GB"/>
        </w:rPr>
      </w:pPr>
      <w:r>
        <w:rPr>
          <w:rFonts w:ascii="Arial" w:hAnsi="Arial" w:cs="Arial"/>
          <w:b/>
          <w:lang w:eastAsia="en-GB"/>
        </w:rPr>
        <w:t>Attendance at Meetings</w:t>
      </w:r>
    </w:p>
    <w:p w14:paraId="198A6A4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 A Lay Adviser will:</w:t>
      </w:r>
    </w:p>
    <w:p w14:paraId="198A6A4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Attend each SMB meeting.</w:t>
      </w:r>
    </w:p>
    <w:p w14:paraId="198A6A47"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 xml:space="preserve">Attend at least one Level 2 or 3 MAPPA meeting each quarter, to help them understand the process and enable them to fulfil their task of monitoring and evaluating MAPPA. </w:t>
      </w:r>
    </w:p>
    <w:p w14:paraId="198A6A48" w14:textId="77777777" w:rsidR="00F2123B" w:rsidRDefault="00200CFB">
      <w:pPr>
        <w:spacing w:before="100" w:after="240" w:line="280" w:lineRule="exact"/>
      </w:pPr>
      <w:r>
        <w:rPr>
          <w:rFonts w:ascii="Arial" w:hAnsi="Arial" w:cs="Arial"/>
          <w:sz w:val="20"/>
          <w:szCs w:val="20"/>
          <w:lang w:eastAsia="en-GB"/>
        </w:rPr>
        <w:t xml:space="preserve">5.4 A Lay Adviser will </w:t>
      </w:r>
      <w:r>
        <w:rPr>
          <w:rFonts w:ascii="Arial" w:hAnsi="Arial" w:cs="Arial"/>
          <w:b/>
          <w:sz w:val="20"/>
          <w:szCs w:val="20"/>
          <w:lang w:eastAsia="en-GB"/>
        </w:rPr>
        <w:t>not</w:t>
      </w:r>
      <w:r>
        <w:rPr>
          <w:rFonts w:ascii="Arial" w:hAnsi="Arial" w:cs="Arial"/>
          <w:sz w:val="20"/>
          <w:szCs w:val="20"/>
          <w:lang w:eastAsia="en-GB"/>
        </w:rPr>
        <w:t>:</w:t>
      </w:r>
    </w:p>
    <w:p w14:paraId="198A6A49"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Make decisions relating to the risk assessment of offenders and subsequent MAPPA Risk Management Plan(s) when attending level 2 or 3 MAPPA meetings.  However, they may ask questions and contribute to the discussion from a lay perspective.</w:t>
      </w:r>
    </w:p>
    <w:p w14:paraId="198A6A4A"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Formally appraise meetings in the manner of an inspector.  However, they can participate in audits following meetings and can give a lay perspective on the way in which they are conducted.</w:t>
      </w:r>
    </w:p>
    <w:p w14:paraId="198A6A4B" w14:textId="77777777" w:rsidR="00F2123B" w:rsidRDefault="00200CFB">
      <w:pPr>
        <w:spacing w:before="100" w:after="240" w:line="280" w:lineRule="exact"/>
        <w:rPr>
          <w:rFonts w:ascii="Arial" w:hAnsi="Arial" w:cs="Arial"/>
          <w:b/>
          <w:lang w:eastAsia="en-GB"/>
        </w:rPr>
      </w:pPr>
      <w:r>
        <w:rPr>
          <w:rFonts w:ascii="Arial" w:hAnsi="Arial" w:cs="Arial"/>
          <w:b/>
          <w:lang w:eastAsia="en-GB"/>
        </w:rPr>
        <w:t>Knowledge</w:t>
      </w:r>
    </w:p>
    <w:p w14:paraId="198A6A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5.5 A Lay Adviser will:</w:t>
      </w:r>
    </w:p>
    <w:p w14:paraId="198A6A4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Become familiar enough with MAPPA to understand and contribute to meetings without becoming experts.  The value of Lay Advisers is as informed observers and as posers of questions that the professionals closely involved in the work might not necessarily think of asking.</w:t>
      </w:r>
    </w:p>
    <w:p w14:paraId="198A6A4E" w14:textId="77777777" w:rsidR="00F2123B" w:rsidRDefault="00200CFB">
      <w:pPr>
        <w:spacing w:before="100" w:after="240" w:line="280" w:lineRule="exact"/>
        <w:rPr>
          <w:rFonts w:ascii="Arial" w:hAnsi="Arial" w:cs="Arial"/>
          <w:b/>
          <w:lang w:eastAsia="en-GB"/>
        </w:rPr>
      </w:pPr>
      <w:r>
        <w:rPr>
          <w:rFonts w:ascii="Arial" w:hAnsi="Arial" w:cs="Arial"/>
          <w:b/>
          <w:lang w:eastAsia="en-GB"/>
        </w:rPr>
        <w:t>Tasks</w:t>
      </w:r>
    </w:p>
    <w:p w14:paraId="198A6A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5.6 A Lay Adviser will:</w:t>
      </w:r>
    </w:p>
    <w:p w14:paraId="198A6A5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Contribute to the monitoring and evaluation of the operation of MAPPA in their area.  </w:t>
      </w:r>
    </w:p>
    <w:p w14:paraId="198A6A51"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Act as a critical friend in challenging professionals.</w:t>
      </w:r>
    </w:p>
    <w:p w14:paraId="198A6A52"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Participate in reviewing the SMB Business Plan and broader communication strategy. </w:t>
      </w:r>
    </w:p>
    <w:p w14:paraId="198A6A53"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Confirm that the SMB has created effective links with other multi-agency forums, e.g. local Community Safety Partnerships, Criminal Justice Boards, Safeguarding Children Boards and Safeguarding Adults Boards.</w:t>
      </w:r>
    </w:p>
    <w:p w14:paraId="198A6A54"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Support the SMB to ensure that MAPPA adhere to the duties under equalities legislation.</w:t>
      </w:r>
    </w:p>
    <w:p w14:paraId="198A6A55"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any SMB sub-groups, working parties or projects.</w:t>
      </w:r>
    </w:p>
    <w:p w14:paraId="198A6A56"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Participate in reviewing and questioning local MAPPA statistics.</w:t>
      </w:r>
    </w:p>
    <w:p w14:paraId="198A6A57"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Assist in the preparation of the MAPPA annual report.</w:t>
      </w:r>
    </w:p>
    <w:p w14:paraId="198A6A58"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Attend local and regional events with the agreement of the RA.  </w:t>
      </w:r>
    </w:p>
    <w:p w14:paraId="198A6A59"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Immediately declare any conflict or perceived conflict of interest if a particular discussion within MAPPA covers an area or issue that they are involved in personally or professionally.</w:t>
      </w:r>
    </w:p>
    <w:p w14:paraId="198A6A5A" w14:textId="77777777" w:rsidR="00F2123B" w:rsidRDefault="00200CFB">
      <w:pPr>
        <w:spacing w:before="100" w:after="240" w:line="280" w:lineRule="exact"/>
      </w:pPr>
      <w:r>
        <w:rPr>
          <w:rFonts w:ascii="Arial" w:hAnsi="Arial" w:cs="Arial"/>
          <w:sz w:val="20"/>
          <w:szCs w:val="20"/>
          <w:lang w:eastAsia="en-GB"/>
        </w:rPr>
        <w:t xml:space="preserve">5.7 A Lay Adviser will </w:t>
      </w:r>
      <w:r>
        <w:rPr>
          <w:rFonts w:ascii="Arial" w:hAnsi="Arial" w:cs="Arial"/>
          <w:b/>
          <w:sz w:val="20"/>
          <w:szCs w:val="20"/>
          <w:lang w:eastAsia="en-GB"/>
        </w:rPr>
        <w:t>not</w:t>
      </w:r>
      <w:r>
        <w:rPr>
          <w:rFonts w:ascii="Arial" w:hAnsi="Arial" w:cs="Arial"/>
          <w:sz w:val="20"/>
          <w:szCs w:val="20"/>
          <w:lang w:eastAsia="en-GB"/>
        </w:rPr>
        <w:t>:</w:t>
      </w:r>
    </w:p>
    <w:p w14:paraId="198A6A5B"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any involvement in operational activity or assist in organisational decision making.</w:t>
      </w:r>
    </w:p>
    <w:p w14:paraId="198A6A5C"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Lead on the development of strategy, although they can advise and influence.</w:t>
      </w:r>
    </w:p>
    <w:p w14:paraId="198A6A5D"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Act as a representative of the local community in the same way as an elected councillor.  They bring to the SMB their understanding and knowledge of the local area but they have no role in reporting to or briefing the community, except as part of the SMB’s communication strategy.</w:t>
      </w:r>
    </w:p>
    <w:p w14:paraId="198A6A5E" w14:textId="77777777" w:rsidR="00F2123B" w:rsidRDefault="00200CFB">
      <w:pPr>
        <w:spacing w:before="100" w:after="240" w:line="280" w:lineRule="exact"/>
        <w:rPr>
          <w:rFonts w:ascii="Arial" w:hAnsi="Arial" w:cs="Arial"/>
          <w:b/>
          <w:lang w:eastAsia="en-GB"/>
        </w:rPr>
      </w:pPr>
      <w:r>
        <w:rPr>
          <w:rFonts w:ascii="Arial" w:hAnsi="Arial" w:cs="Arial"/>
          <w:b/>
          <w:lang w:eastAsia="en-GB"/>
        </w:rPr>
        <w:t>Confidentiality</w:t>
      </w:r>
    </w:p>
    <w:p w14:paraId="198A6A5F" w14:textId="77777777" w:rsidR="00F2123B" w:rsidRDefault="00200CFB">
      <w:pPr>
        <w:spacing w:before="100" w:after="240" w:line="280" w:lineRule="exact"/>
      </w:pPr>
      <w:r>
        <w:rPr>
          <w:rFonts w:ascii="Arial" w:hAnsi="Arial" w:cs="Arial"/>
          <w:sz w:val="20"/>
          <w:szCs w:val="20"/>
          <w:lang w:eastAsia="en-GB"/>
        </w:rPr>
        <w:t xml:space="preserve">5.8 A Lay Adviser will </w:t>
      </w:r>
      <w:r>
        <w:rPr>
          <w:rFonts w:ascii="Arial" w:hAnsi="Arial" w:cs="Arial"/>
          <w:b/>
          <w:sz w:val="20"/>
          <w:szCs w:val="20"/>
          <w:lang w:eastAsia="en-GB"/>
        </w:rPr>
        <w:t>not</w:t>
      </w:r>
      <w:r>
        <w:rPr>
          <w:rFonts w:ascii="Arial" w:hAnsi="Arial" w:cs="Arial"/>
          <w:sz w:val="20"/>
          <w:szCs w:val="20"/>
          <w:lang w:eastAsia="en-GB"/>
        </w:rPr>
        <w:t>:</w:t>
      </w:r>
    </w:p>
    <w:p w14:paraId="198A6A60" w14:textId="77777777" w:rsidR="00F2123B" w:rsidRDefault="00200CFB" w:rsidP="00B21807">
      <w:pPr>
        <w:numPr>
          <w:ilvl w:val="0"/>
          <w:numId w:val="16"/>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Disclose any information given to them in confidence as members of the SMB, or any other information acquired by them in that role that they believe to be of a confidential nature, without the consent of a person authorised to give it or unless required to do so by law.</w:t>
      </w:r>
    </w:p>
    <w:p w14:paraId="198A6A61" w14:textId="77777777" w:rsidR="00F2123B" w:rsidRDefault="00200CFB" w:rsidP="00B21807">
      <w:pPr>
        <w:numPr>
          <w:ilvl w:val="0"/>
          <w:numId w:val="16"/>
        </w:numPr>
        <w:spacing w:before="100" w:after="240" w:line="280" w:lineRule="exact"/>
        <w:rPr>
          <w:rFonts w:ascii="Arial" w:hAnsi="Arial" w:cs="Arial"/>
          <w:sz w:val="20"/>
          <w:szCs w:val="20"/>
          <w:lang w:eastAsia="en-GB"/>
        </w:rPr>
      </w:pPr>
      <w:r>
        <w:rPr>
          <w:rFonts w:ascii="Arial" w:hAnsi="Arial" w:cs="Arial"/>
          <w:sz w:val="20"/>
          <w:szCs w:val="20"/>
          <w:lang w:eastAsia="en-GB"/>
        </w:rPr>
        <w:t>Disclose any information that they receive during the course of being a visitor to any criminal justice premises or at meetings, such as level 2 and 3 MAPPA meetings.</w:t>
      </w:r>
    </w:p>
    <w:p w14:paraId="198A6A62" w14:textId="77777777" w:rsidR="00F2123B" w:rsidRDefault="00200CFB">
      <w:pPr>
        <w:spacing w:before="100" w:after="240" w:line="280" w:lineRule="exact"/>
        <w:rPr>
          <w:rFonts w:ascii="Arial" w:hAnsi="Arial" w:cs="Arial"/>
          <w:b/>
          <w:lang w:eastAsia="en-GB"/>
        </w:rPr>
      </w:pPr>
      <w:r>
        <w:rPr>
          <w:rFonts w:ascii="Arial" w:hAnsi="Arial" w:cs="Arial"/>
          <w:b/>
          <w:lang w:eastAsia="en-GB"/>
        </w:rPr>
        <w:t>Equality</w:t>
      </w:r>
    </w:p>
    <w:p w14:paraId="198A6A63"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5.9 A Lay Adviser will:</w:t>
      </w:r>
    </w:p>
    <w:p w14:paraId="198A6A64" w14:textId="77777777" w:rsidR="00F2123B" w:rsidRDefault="00200CFB" w:rsidP="00B21807">
      <w:pPr>
        <w:numPr>
          <w:ilvl w:val="0"/>
          <w:numId w:val="16"/>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Recognise and value diversity by ensuring inclusiveness, equality and fairness in the treatment of people in all aspects of MAPPA.  They must ensure that they do not discriminate against individuals because of their protected characteristics (age, disability, sex, sexual orientation, gender reassignment, race, religion or belief, marriage &amp; civil partnership, pregnancy &amp; maternity) or for any other reason.</w:t>
      </w:r>
    </w:p>
    <w:p w14:paraId="198A6A65"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Person Specification</w:t>
      </w:r>
    </w:p>
    <w:p w14:paraId="198A6A6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5.10 A Lay Adviser must:</w:t>
      </w:r>
    </w:p>
    <w:p w14:paraId="198A6A67"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understand complex information in written and numerical form, although they do not need any formal qualifications.</w:t>
      </w:r>
    </w:p>
    <w:p w14:paraId="198A6A68"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interested in community and social issues, preferably with a history of involvement in them.</w:t>
      </w:r>
    </w:p>
    <w:p w14:paraId="198A6A69"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make decisions based on and supported by the available information.</w:t>
      </w:r>
    </w:p>
    <w:p w14:paraId="198A6A6A"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Demonstrate a capacity for emotional resilience, retaining sensitivity whilst dealing with tragic or painful human situations. </w:t>
      </w:r>
    </w:p>
    <w:p w14:paraId="198A6A6B"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Understand the needs and feelings of both victims and offenders. </w:t>
      </w:r>
    </w:p>
    <w:p w14:paraId="198A6A6C"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work effectively with people in groups and informal meetings.</w:t>
      </w:r>
    </w:p>
    <w:p w14:paraId="198A6A6D"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Have an awareness of, and commitment to, equality and diversity.</w:t>
      </w:r>
    </w:p>
    <w:p w14:paraId="198A6A6E"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Be able to challenge constructively the views and assumptions of senior professionals.</w:t>
      </w:r>
    </w:p>
    <w:p w14:paraId="198A6A6F"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Be able to maintain confidentiality appropriate to the circumstances and local protocols.</w:t>
      </w:r>
    </w:p>
    <w:p w14:paraId="198A6A7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5.11 Lay Advisers need to be independent of the MAPPA organisations with which they work, otherwise it will be difficult for them to challenge the thinking of the professionals in the criminal justice and duty to co-operate agencies (see below for details).  SMBs should make this clear in recruitment campaigns and explore any conflicts of interest that arise at interview.</w:t>
      </w:r>
    </w:p>
    <w:p w14:paraId="198A6A7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5.12 In order to preserve the lay status of those who are appointed to the role, certain people are ineligible for appointment.  These are:</w:t>
      </w:r>
    </w:p>
    <w:p w14:paraId="198A6A72"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members of Parliament or the Welsh Assembly;</w:t>
      </w:r>
    </w:p>
    <w:p w14:paraId="198A6A73"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local authority councillors, where MAPPA are within their area of councillor responsibility;</w:t>
      </w:r>
    </w:p>
    <w:p w14:paraId="198A6A74" w14:textId="77777777" w:rsidR="00F2123B" w:rsidRDefault="00200CFB" w:rsidP="00B21807">
      <w:pPr>
        <w:numPr>
          <w:ilvl w:val="0"/>
          <w:numId w:val="1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employees of RA agencies in operational roles or MAPPA related fields, </w:t>
      </w:r>
    </w:p>
    <w:p w14:paraId="198A6A75" w14:textId="77777777" w:rsidR="00F2123B" w:rsidRDefault="00200CFB" w:rsidP="00B21807">
      <w:pPr>
        <w:numPr>
          <w:ilvl w:val="0"/>
          <w:numId w:val="17"/>
        </w:numPr>
        <w:spacing w:before="100" w:after="240" w:line="280" w:lineRule="exact"/>
        <w:rPr>
          <w:rFonts w:ascii="Arial" w:hAnsi="Arial" w:cs="Arial"/>
          <w:sz w:val="20"/>
          <w:szCs w:val="20"/>
          <w:lang w:eastAsia="en-GB"/>
        </w:rPr>
      </w:pPr>
      <w:r>
        <w:rPr>
          <w:rFonts w:ascii="Arial" w:hAnsi="Arial" w:cs="Arial"/>
          <w:sz w:val="20"/>
          <w:szCs w:val="20"/>
          <w:lang w:eastAsia="en-GB"/>
        </w:rPr>
        <w:t>civil servants at the Home Office or Ministry of Justice.</w:t>
      </w:r>
    </w:p>
    <w:p w14:paraId="198A6A7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5.13 Civil servants who work for other government departments may be appointed as Lay Advisers if the SMB feel there is no conflict of interest and they would be able to provide a lay perspective. </w:t>
      </w:r>
    </w:p>
    <w:p w14:paraId="198A6A7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5.14 Other categories who are likely to be deemed unsuitable are:</w:t>
      </w:r>
    </w:p>
    <w:p w14:paraId="198A6A78"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 is not resident within the RA area.  In exceptional circumstances they may, at the discretion of the RA, live just outside the area, but they must still be able to demonstrate strong and sustained connections with the communities within the area.</w:t>
      </w:r>
    </w:p>
    <w:p w14:paraId="198A6A79"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Lay Advisers who have served two terms in any area (by this time they may no longer be sufficiently independent).</w:t>
      </w:r>
    </w:p>
    <w:p w14:paraId="198A6A7A"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else whose paid employment specifically involves working with offenders who fall within the remit of MAPPA.  A similar exclusion may apply to voluntary work where the primary focus is with MAPPA offenders.</w:t>
      </w:r>
    </w:p>
    <w:p w14:paraId="198A6A7B" w14:textId="77777777" w:rsidR="00F2123B" w:rsidRDefault="00200CFB" w:rsidP="00B21807">
      <w:pPr>
        <w:numPr>
          <w:ilvl w:val="0"/>
          <w:numId w:val="18"/>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Anyone whose personal or family circumstances may give rise to a conflict of interest with the duties and responsibilities of the MAPPA role.</w:t>
      </w:r>
    </w:p>
    <w:p w14:paraId="198A6A7C" w14:textId="77777777" w:rsidR="00F2123B" w:rsidRDefault="00200CFB" w:rsidP="00B21807">
      <w:pPr>
        <w:numPr>
          <w:ilvl w:val="0"/>
          <w:numId w:val="18"/>
        </w:numPr>
        <w:spacing w:before="100" w:after="240" w:line="280" w:lineRule="exact"/>
        <w:ind w:left="714" w:hanging="357"/>
      </w:pPr>
      <w:r>
        <w:rPr>
          <w:rFonts w:ascii="Arial" w:hAnsi="Arial" w:cs="Arial"/>
          <w:sz w:val="20"/>
          <w:szCs w:val="20"/>
          <w:lang w:eastAsia="en-GB"/>
        </w:rPr>
        <w:t>Anyone who has been convicted of, or cautioned for, a relevant sexual or violent offence</w:t>
      </w:r>
      <w:r>
        <w:rPr>
          <w:rFonts w:ascii="Arial" w:hAnsi="Arial" w:cs="Arial"/>
          <w:sz w:val="20"/>
          <w:szCs w:val="20"/>
          <w:vertAlign w:val="superscript"/>
          <w:lang w:eastAsia="en-GB"/>
        </w:rPr>
        <w:footnoteReference w:id="13"/>
      </w:r>
      <w:r>
        <w:rPr>
          <w:rFonts w:ascii="Arial" w:hAnsi="Arial" w:cs="Arial"/>
          <w:sz w:val="20"/>
          <w:szCs w:val="20"/>
          <w:lang w:eastAsia="en-GB"/>
        </w:rPr>
        <w:t>.  Other previous convictions will not automatically bar someone from becoming a Lay Adviser, but individual consideration of the relevance (seriousness and how long ago) of any caution or conviction should be given to their suitability to undertake the role.</w:t>
      </w:r>
    </w:p>
    <w:p w14:paraId="198A6A7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Recruitment of Lay Advisers</w:t>
      </w:r>
    </w:p>
    <w:p w14:paraId="198A6A7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5.15 The Governance Code on Public Appointments (the Code) requires that all public appointment processes meet the principles of Ministerial responsibility, selflessness, integrity, merit, openness, diversity, assurance and fairness (the Principles of Public Appointments).  However, the Code recognises that recruitment processes can vary and should be proportionate to the nature of the appointment.  The appointment of MAPPA Lay Advisers must follow the principles of the Code but a number of exemptions have been agreed with the Minister.  These exemptions are highlighted in 5.17 below.  A checklist outlining both the requirements of the Code and the MAPPA Guidance is available on the MAPPA website to assist in recruitment.</w:t>
      </w:r>
    </w:p>
    <w:p w14:paraId="198A6A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5.16 The SMB conducts the recruitment process but it does not have the authority to make appointments.  The SMB must submit suitable candidates to the Minister for the final stage of recruitment.  Candidates should not be informed they have been successful and cannot commence duties as a Lay Adviser until the Minister has issued a letter of appointment.  </w:t>
      </w:r>
    </w:p>
    <w:p w14:paraId="198A6A80"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Governance Code on Public Appointments</w:t>
      </w:r>
    </w:p>
    <w:p w14:paraId="198A6A81" w14:textId="77777777" w:rsidR="00F2123B" w:rsidRDefault="00200CFB">
      <w:pPr>
        <w:spacing w:before="100" w:after="240" w:line="280" w:lineRule="exact"/>
      </w:pPr>
      <w:r>
        <w:rPr>
          <w:rFonts w:ascii="Arial" w:hAnsi="Arial" w:cs="Arial"/>
          <w:sz w:val="20"/>
          <w:szCs w:val="20"/>
          <w:lang w:eastAsia="en-GB"/>
        </w:rPr>
        <w:t xml:space="preserve">5.17 SMBs are advised to familiarise themselves with the Code, which can be found at </w:t>
      </w:r>
      <w:hyperlink r:id="rId22" w:history="1">
        <w:r>
          <w:rPr>
            <w:rFonts w:ascii="Arial" w:hAnsi="Arial" w:cs="Arial"/>
            <w:color w:val="0000FF"/>
            <w:sz w:val="20"/>
            <w:szCs w:val="20"/>
            <w:u w:val="single"/>
            <w:lang w:eastAsia="en-GB"/>
          </w:rPr>
          <w:t>http://publicappointmentscommissioner.independent.gov.uk/the-code-of-practice</w:t>
        </w:r>
      </w:hyperlink>
      <w:r>
        <w:rPr>
          <w:rFonts w:ascii="Arial" w:hAnsi="Arial" w:cs="Arial"/>
          <w:sz w:val="20"/>
          <w:szCs w:val="20"/>
          <w:lang w:eastAsia="en-GB"/>
        </w:rPr>
        <w:t xml:space="preserve"> or on the MAPPA website.  In summary the Code requires that:</w:t>
      </w:r>
    </w:p>
    <w:p w14:paraId="198A6A82"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Minister is responsible for the appointment of Lay Advisers.  (See 3.1 and 5.5 of the Code.)  However, exemptions to the Code mean that it is not necessary to consult the Minister before commencing a recruitment campaign (although the National MAPPA Team must still be informed) or inform the Minister of progress at each stage of the process.  It is also not necessary to provide the Minister with a shortlist of appointable candidates and panels can select a single candidate for the Minister to appoint.  However, the Minister may still choose not to appoint a selected candidate.</w:t>
      </w:r>
    </w:p>
    <w:p w14:paraId="198A6A83"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All public appointments should be advertised openly.  Vacancies and the names of panel members must be published on the Public Appointments website via the National MAPPA Team.  An exemption to the Code means it is not necessary to publish real time data on the progress of the competition.  The names of successful candidates must also be published.  This will be done on the MAPPA website (8.2-8.3 of the Code).</w:t>
      </w:r>
    </w:p>
    <w:p w14:paraId="198A6A84"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There must be a consistent selection panel, including a Panel Chair and an independent member, to oversee the appointment process.  An exemption to the Code means that the independent member can be a RA representative from another MAPPA area.  All members of the panel must be competent to fulfil their role and understand the principles and requirements of the Code (5.1-5.2 of the Code).</w:t>
      </w:r>
    </w:p>
    <w:p w14:paraId="198A6A85"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The selection process must be agreed with the Minister and designed with diversity in mind.  The agreed process is set out in 5.19-5.25 below (5.3 and 7.4 of the Code).</w:t>
      </w:r>
    </w:p>
    <w:p w14:paraId="198A6A86" w14:textId="77777777" w:rsidR="00F2123B" w:rsidRDefault="00200CFB" w:rsidP="00B21807">
      <w:pPr>
        <w:numPr>
          <w:ilvl w:val="0"/>
          <w:numId w:val="19"/>
        </w:numPr>
        <w:spacing w:before="100" w:after="120" w:line="280" w:lineRule="exact"/>
      </w:pPr>
      <w:r>
        <w:rPr>
          <w:rFonts w:ascii="Arial" w:hAnsi="Arial" w:cs="Arial"/>
          <w:sz w:val="20"/>
          <w:szCs w:val="20"/>
          <w:lang w:eastAsia="en-GB"/>
        </w:rPr>
        <w:t>The panel must satisfy itself that all candidates can meet the standards of conduct set out in The Seven Principles of Public Life</w:t>
      </w:r>
      <w:r>
        <w:rPr>
          <w:rFonts w:ascii="Arial" w:hAnsi="Arial" w:cs="Arial"/>
          <w:sz w:val="20"/>
          <w:szCs w:val="20"/>
          <w:vertAlign w:val="superscript"/>
          <w:lang w:eastAsia="en-GB"/>
        </w:rPr>
        <w:footnoteReference w:id="14"/>
      </w:r>
      <w:r>
        <w:rPr>
          <w:rFonts w:ascii="Arial" w:hAnsi="Arial" w:cs="Arial"/>
          <w:sz w:val="20"/>
          <w:szCs w:val="20"/>
          <w:lang w:eastAsia="en-GB"/>
        </w:rPr>
        <w:t xml:space="preserve"> and the Code of Conduct for Board Members of Public Bodies</w:t>
      </w:r>
      <w:r>
        <w:rPr>
          <w:rFonts w:ascii="Arial" w:hAnsi="Arial" w:cs="Arial"/>
          <w:sz w:val="20"/>
          <w:szCs w:val="20"/>
          <w:vertAlign w:val="superscript"/>
          <w:lang w:eastAsia="en-GB"/>
        </w:rPr>
        <w:footnoteReference w:id="15"/>
      </w:r>
      <w:r>
        <w:rPr>
          <w:rFonts w:ascii="Arial" w:hAnsi="Arial" w:cs="Arial"/>
          <w:sz w:val="20"/>
          <w:szCs w:val="20"/>
          <w:lang w:eastAsia="en-GB"/>
        </w:rPr>
        <w:t>.  Candidates must be asked to declare potential conflicts of interest in their application and these must be discussed at interview.  A potential conflict should not preclude a candidate from being appointed, provided appropriate arrangements are made to manage the conflict.  Political activity should not affect any judgment of merit nor be a bar to appointment.  However, the Public Appointments website should note any panel member or a successful candidate who has, in the last five years, been employed by a political party, held a significant office in a party, stood as a candidate for a party in an election, publicly spoken on behalf of a political party, or made significant donations or loans to a party (9.1-9.2 of the Code).</w:t>
      </w:r>
    </w:p>
    <w:p w14:paraId="198A6A87"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Effective complaints handing procedures must be in place.  Details of the Commissioner for Public Appointments (CPA) complaints process must be included in the application pack (4.4 of the Code).</w:t>
      </w:r>
    </w:p>
    <w:p w14:paraId="198A6A88"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Candidates should be kept in touch with the progress of competitions and informed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12 months of the conclusion of the competition (7.5-7.7 of the Code).</w:t>
      </w:r>
    </w:p>
    <w:p w14:paraId="198A6A89" w14:textId="77777777" w:rsidR="00F2123B" w:rsidRDefault="00200CFB" w:rsidP="00B21807">
      <w:pPr>
        <w:numPr>
          <w:ilvl w:val="0"/>
          <w:numId w:val="19"/>
        </w:numPr>
        <w:spacing w:before="100" w:after="120" w:line="280" w:lineRule="exact"/>
        <w:rPr>
          <w:rFonts w:ascii="Arial" w:hAnsi="Arial" w:cs="Arial"/>
          <w:sz w:val="20"/>
          <w:szCs w:val="20"/>
          <w:lang w:eastAsia="en-GB"/>
        </w:rPr>
      </w:pPr>
      <w:r>
        <w:rPr>
          <w:rFonts w:ascii="Arial" w:hAnsi="Arial" w:cs="Arial"/>
          <w:sz w:val="20"/>
          <w:szCs w:val="20"/>
          <w:lang w:eastAsia="en-GB"/>
        </w:rPr>
        <w:t>Appointments should be made within three months of the closing date for applications.  Recommendations are put to the Minister quarterly and the dates are available on the MAPPA website.  Recruitment processes should be planned to coincide with submissions as far as possible, in order to minimise delays in appointing candidates.  Recommendations can be put to the Minister before security checks have been completed (7.8 of the Code).</w:t>
      </w:r>
    </w:p>
    <w:p w14:paraId="198A6A8A" w14:textId="77777777" w:rsidR="00F2123B" w:rsidRDefault="00200CFB" w:rsidP="00B21807">
      <w:pPr>
        <w:numPr>
          <w:ilvl w:val="0"/>
          <w:numId w:val="19"/>
        </w:numPr>
        <w:tabs>
          <w:tab w:val="left" w:pos="720"/>
        </w:tabs>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Re-appointments can be made only when a satisfactory performance appraisal has been carried out (see 5.38).  Re-appointments should not be default options and decisions to re-appoint need to be justified.  A request for a Lay Adviser re-appointment must be submitted to the National MAPPA Team before they can be re-appointed by the Minister.  A template for this is available on the MAPPA website (3.4-3.5 of the Code).</w:t>
      </w:r>
    </w:p>
    <w:p w14:paraId="198A6A8B" w14:textId="77777777" w:rsidR="00F2123B" w:rsidRDefault="00200CFB" w:rsidP="00B21807">
      <w:pPr>
        <w:numPr>
          <w:ilvl w:val="0"/>
          <w:numId w:val="19"/>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The maximum length of tenure for public appointees is set by the Minister.  For MAPPA Lay Advisers it is seven years over two terms.  Public appointees may not serve more than two terms, except in exceptional circumstances.  The CPA must be notified before any appointment for a third term (3.6 of the Code).</w:t>
      </w:r>
    </w:p>
    <w:p w14:paraId="198A6A8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5.18 SMBs do not have any discretion to depart from the Code.  Any failure to follow the above requirements, for example telling a candidate they are successful before the Ministerial appointment, must be referred to the National MAPPA Team.  Any such failure must be documented and retained by the SMB and provided to the National MAPPA Team for potential audit by the CPA.</w:t>
      </w:r>
    </w:p>
    <w:p w14:paraId="198A6A8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MAPPA Public Appointments Guidance</w:t>
      </w:r>
    </w:p>
    <w:p w14:paraId="198A6A8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5.19 In order to attract suitable candidates for selection, the SMB must consider how it reaches out to the diverse communities within its area in order to stimulate people's interest in the work of MAPPA locally and in the role of the Lay Adviser.  Areas may wish to advertise in the local press, including their local free newspaper, local radio, libraries, local authority and RA websites and the MAPPA website.  All vacancies must also be advertised on the Public Appointments website.  A template for this is available on the MAPPA website and must be sent to the National MAPPA Team for uploading.  </w:t>
      </w:r>
    </w:p>
    <w:p w14:paraId="198A6A8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5.20 Applicants should be sent an application pack containing an application form, job specification, the CPA complaints process and a diversity monitoring form.  Candidates should be encouraged to complete the diversity monitoring form (including for re-appointments) but cannot be compelled to do so.  All diversity monitoring forms submitted must be scanned and sent electronically to the National MAPPA Team at the sift stage.  These must include the name of the candidate.  The originals must be separated from the application form prior to the sift and retained by the recruiting area.  </w:t>
      </w:r>
    </w:p>
    <w:p w14:paraId="198A6A90"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5.21 Given the demanding nature of any selection process, it is important that areas attract sufficient candidates to enable them to effectively short-list those who are suitable.  Good practice principles must apply to all short-listing and selection processes (see the Code and the recruitment policies of the agency conducting the recruitment process).  </w:t>
      </w:r>
    </w:p>
    <w:p w14:paraId="198A6A9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5.22 The panel will conduct a structured two-part interview for those short-listed.  The first part will make reference to a case study which will be given to the candidate at the interview.  The second part will allow further examination of skills and motivation.  The interview should last approximately 60 minutes.  Example interview questions and case study are available on the MAPPA website.  The panel should consist of three people who adequately represent the interests of the RA, the specialist public protection skills associated with MAPPA, and a diverse community perspective.</w:t>
      </w:r>
    </w:p>
    <w:p w14:paraId="198A6A9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5.23 The Panel Chair must produce a report at the end of the selection process that includes the following:</w:t>
      </w:r>
    </w:p>
    <w:p w14:paraId="198A6A93"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summary of the reasons for the panel's conclusions, including the reasons those not recommended for interview or appointment were considered less suitable than those who were recommended. </w:t>
      </w:r>
    </w:p>
    <w:p w14:paraId="198A6A94"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A description of the stages and outcome of the selection process, how the external perspective was achieved, and confirmation that the process was conducted in accordance with the Principles of Public Appointments.  </w:t>
      </w:r>
    </w:p>
    <w:p w14:paraId="198A6A95"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Whether any of the panel members had previous knowledge of any of the candidates and how that was allowed for.  </w:t>
      </w:r>
    </w:p>
    <w:p w14:paraId="198A6A96"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personal details and a biographical pen-picture of all candidates invited for interview, including a written assessment of their suitability for the role</w:t>
      </w:r>
    </w:p>
    <w:p w14:paraId="198A6A97" w14:textId="77777777" w:rsidR="00F2123B" w:rsidRDefault="00200CFB" w:rsidP="00B21807">
      <w:pPr>
        <w:numPr>
          <w:ilvl w:val="0"/>
          <w:numId w:val="20"/>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Contact details for a single recommended candidate for each post advertised. </w:t>
      </w:r>
    </w:p>
    <w:p w14:paraId="198A6A98" w14:textId="77777777" w:rsidR="00F2123B" w:rsidRDefault="00200CFB" w:rsidP="00B21807">
      <w:pPr>
        <w:numPr>
          <w:ilvl w:val="0"/>
          <w:numId w:val="20"/>
        </w:numPr>
        <w:spacing w:before="100" w:after="240" w:line="280" w:lineRule="exact"/>
        <w:rPr>
          <w:rFonts w:ascii="Arial" w:hAnsi="Arial" w:cs="Arial"/>
          <w:sz w:val="20"/>
          <w:szCs w:val="20"/>
          <w:lang w:eastAsia="en-GB"/>
        </w:rPr>
      </w:pPr>
      <w:r>
        <w:rPr>
          <w:rFonts w:ascii="Arial" w:hAnsi="Arial" w:cs="Arial"/>
          <w:sz w:val="20"/>
          <w:szCs w:val="20"/>
          <w:lang w:eastAsia="en-GB"/>
        </w:rPr>
        <w:t>The length of term the SMB is recommending (see paragraphs 5.27 to 5.28 below).  Lay Advisers may also serve for a further period of 3 years provided the SMB supports their re-appointment and the Minister agrees.</w:t>
      </w:r>
    </w:p>
    <w:p w14:paraId="198A6A99"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5.24 The MAPPA Co-ordinator must submit the Panel Chair’s report to the National MAPPA Team before an appointment can be made.  This information will be used in a written submission to the Minister recommending the appointment of the Lay Adviser.  A Panel Chair’s report must be submitted at the end of any recruitment campaign, even if no candidate is being recommended for appointment.  A template Panel Chair’s report is available on the MAPPA website.</w:t>
      </w:r>
    </w:p>
    <w:p w14:paraId="198A6A9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w:t>
      </w:r>
    </w:p>
    <w:p w14:paraId="198A6A9B" w14:textId="77777777" w:rsidR="00F2123B" w:rsidRDefault="00200CFB">
      <w:pPr>
        <w:spacing w:before="100" w:after="240" w:line="280" w:lineRule="exact"/>
      </w:pPr>
      <w:r>
        <w:rPr>
          <w:rFonts w:ascii="Arial" w:hAnsi="Arial" w:cs="Arial"/>
          <w:sz w:val="20"/>
          <w:szCs w:val="20"/>
          <w:lang w:eastAsia="en-GB"/>
        </w:rPr>
        <w:t xml:space="preserve">5.26 As part of the recruitment process, all Lay Advisers must undergo a HMPPS personnel security check at Enhanced 1 Level for Not Directly Employed Workers, in line with PSI 07 2014 and PI 03 2014.  This will be conducted via Vetting Contact Points (VCP), either within prisons or </w:t>
      </w:r>
      <w:r>
        <w:rPr>
          <w:rFonts w:ascii="Arial" w:hAnsi="Arial" w:cs="Arial"/>
          <w:color w:val="333333"/>
          <w:sz w:val="20"/>
          <w:szCs w:val="20"/>
        </w:rPr>
        <w:t xml:space="preserve">Probation Service </w:t>
      </w:r>
      <w:r>
        <w:rPr>
          <w:rFonts w:ascii="Arial" w:hAnsi="Arial" w:cs="Arial"/>
          <w:sz w:val="20"/>
          <w:szCs w:val="20"/>
          <w:lang w:eastAsia="en-GB"/>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198A6A9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5.27 All documentation, including the Panel Chair's report, must be retained for at least two years.  Templates for these documents are available on the MAPPA website.</w:t>
      </w:r>
    </w:p>
    <w:p w14:paraId="198A6A9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Appointment of Lay Advisers</w:t>
      </w:r>
    </w:p>
    <w:p w14:paraId="198A6A9E" w14:textId="77777777" w:rsidR="00F2123B" w:rsidRDefault="00200CFB">
      <w:pPr>
        <w:spacing w:before="100" w:after="240" w:line="280" w:lineRule="exact"/>
      </w:pPr>
      <w:r>
        <w:rPr>
          <w:rFonts w:ascii="Arial" w:hAnsi="Arial" w:cs="Arial"/>
          <w:b/>
          <w:bCs/>
          <w:lang w:eastAsia="en-GB"/>
        </w:rPr>
        <w:t>Standard - The Minister appoints Lay</w:t>
      </w:r>
      <w:r>
        <w:rPr>
          <w:rFonts w:ascii="Arial" w:hAnsi="Arial" w:cs="Arial"/>
          <w:lang w:eastAsia="en-GB"/>
        </w:rPr>
        <w:t xml:space="preserve"> </w:t>
      </w:r>
      <w:r>
        <w:rPr>
          <w:rFonts w:ascii="Arial" w:hAnsi="Arial" w:cs="Arial"/>
          <w:b/>
          <w:bCs/>
          <w:lang w:eastAsia="en-GB"/>
        </w:rPr>
        <w:t>Advisers for</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initial</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4</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may re-appoint</w:t>
      </w:r>
      <w:r>
        <w:rPr>
          <w:rFonts w:ascii="Arial" w:hAnsi="Arial" w:cs="Arial"/>
          <w:lang w:eastAsia="en-GB"/>
        </w:rPr>
        <w:t xml:space="preserve"> </w:t>
      </w:r>
      <w:r>
        <w:rPr>
          <w:rFonts w:ascii="Arial" w:hAnsi="Arial" w:cs="Arial"/>
          <w:b/>
          <w:bCs/>
          <w:lang w:eastAsia="en-GB"/>
        </w:rPr>
        <w:t>for</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further</w:t>
      </w:r>
      <w:r>
        <w:rPr>
          <w:rFonts w:ascii="Arial" w:hAnsi="Arial" w:cs="Arial"/>
          <w:lang w:eastAsia="en-GB"/>
        </w:rPr>
        <w:t xml:space="preserve"> </w:t>
      </w:r>
      <w:r>
        <w:rPr>
          <w:rFonts w:ascii="Arial" w:hAnsi="Arial" w:cs="Arial"/>
          <w:b/>
          <w:bCs/>
          <w:lang w:eastAsia="en-GB"/>
        </w:rPr>
        <w:t>period</w:t>
      </w:r>
      <w:r>
        <w:rPr>
          <w:rFonts w:ascii="Arial" w:hAnsi="Arial" w:cs="Arial"/>
          <w:lang w:eastAsia="en-GB"/>
        </w:rPr>
        <w:t xml:space="preserve"> </w:t>
      </w:r>
      <w:r>
        <w:rPr>
          <w:rFonts w:ascii="Arial" w:hAnsi="Arial" w:cs="Arial"/>
          <w:b/>
          <w:bCs/>
          <w:lang w:eastAsia="en-GB"/>
        </w:rPr>
        <w:t>not</w:t>
      </w:r>
      <w:r>
        <w:rPr>
          <w:rFonts w:ascii="Arial" w:hAnsi="Arial" w:cs="Arial"/>
          <w:lang w:eastAsia="en-GB"/>
        </w:rPr>
        <w:t xml:space="preserve"> </w:t>
      </w:r>
      <w:r>
        <w:rPr>
          <w:rFonts w:ascii="Arial" w:hAnsi="Arial" w:cs="Arial"/>
          <w:b/>
          <w:bCs/>
          <w:lang w:eastAsia="en-GB"/>
        </w:rPr>
        <w:t>exceeding</w:t>
      </w:r>
      <w:r>
        <w:rPr>
          <w:rFonts w:ascii="Arial" w:hAnsi="Arial" w:cs="Arial"/>
          <w:lang w:eastAsia="en-GB"/>
        </w:rPr>
        <w:t xml:space="preserve"> </w:t>
      </w:r>
      <w:r>
        <w:rPr>
          <w:rFonts w:ascii="Arial" w:hAnsi="Arial" w:cs="Arial"/>
          <w:b/>
          <w:bCs/>
          <w:lang w:eastAsia="en-GB"/>
        </w:rPr>
        <w:t>3</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(i.e.</w:t>
      </w:r>
      <w:r>
        <w:rPr>
          <w:rFonts w:ascii="Arial" w:hAnsi="Arial" w:cs="Arial"/>
          <w:lang w:eastAsia="en-GB"/>
        </w:rPr>
        <w:t xml:space="preserve"> </w:t>
      </w:r>
      <w:r>
        <w:rPr>
          <w:rFonts w:ascii="Arial" w:hAnsi="Arial" w:cs="Arial"/>
          <w:b/>
          <w:bCs/>
          <w:lang w:eastAsia="en-GB"/>
        </w:rPr>
        <w:t>a</w:t>
      </w:r>
      <w:r>
        <w:rPr>
          <w:rFonts w:ascii="Arial" w:hAnsi="Arial" w:cs="Arial"/>
          <w:lang w:eastAsia="en-GB"/>
        </w:rPr>
        <w:t xml:space="preserve"> </w:t>
      </w:r>
      <w:r>
        <w:rPr>
          <w:rFonts w:ascii="Arial" w:hAnsi="Arial" w:cs="Arial"/>
          <w:b/>
          <w:bCs/>
          <w:lang w:eastAsia="en-GB"/>
        </w:rPr>
        <w:t>maximum</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7</w:t>
      </w:r>
      <w:r>
        <w:rPr>
          <w:rFonts w:ascii="Arial" w:hAnsi="Arial" w:cs="Arial"/>
          <w:lang w:eastAsia="en-GB"/>
        </w:rPr>
        <w:t xml:space="preserve"> </w:t>
      </w:r>
      <w:r>
        <w:rPr>
          <w:rFonts w:ascii="Arial" w:hAnsi="Arial" w:cs="Arial"/>
          <w:b/>
          <w:bCs/>
          <w:lang w:eastAsia="en-GB"/>
        </w:rPr>
        <w:t>years</w:t>
      </w:r>
      <w:r>
        <w:rPr>
          <w:rFonts w:ascii="Arial" w:hAnsi="Arial" w:cs="Arial"/>
          <w:lang w:eastAsia="en-GB"/>
        </w:rPr>
        <w:t xml:space="preserve"> </w:t>
      </w:r>
      <w:r>
        <w:rPr>
          <w:rFonts w:ascii="Arial" w:hAnsi="Arial" w:cs="Arial"/>
          <w:b/>
          <w:bCs/>
          <w:lang w:eastAsia="en-GB"/>
        </w:rPr>
        <w:t>in</w:t>
      </w:r>
      <w:r>
        <w:rPr>
          <w:rFonts w:ascii="Arial" w:hAnsi="Arial" w:cs="Arial"/>
          <w:lang w:eastAsia="en-GB"/>
        </w:rPr>
        <w:t xml:space="preserve"> </w:t>
      </w:r>
      <w:r>
        <w:rPr>
          <w:rFonts w:ascii="Arial" w:hAnsi="Arial" w:cs="Arial"/>
          <w:b/>
          <w:bCs/>
          <w:lang w:eastAsia="en-GB"/>
        </w:rPr>
        <w:t xml:space="preserve">total) </w:t>
      </w:r>
    </w:p>
    <w:p w14:paraId="198A6A9F" w14:textId="00D83F88"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5.28 Lay Advisers are appointed for a period of 3 or 4 years, according to the preference of the SMB.  Once the Secretary of State has made an appointment, </w:t>
      </w:r>
      <w:r w:rsidR="009A7F10">
        <w:rPr>
          <w:rFonts w:ascii="Arial" w:hAnsi="Arial" w:cs="Arial"/>
          <w:sz w:val="20"/>
          <w:szCs w:val="20"/>
          <w:lang w:eastAsia="en-GB"/>
        </w:rPr>
        <w:t xml:space="preserve">they </w:t>
      </w:r>
      <w:r>
        <w:rPr>
          <w:rFonts w:ascii="Arial" w:hAnsi="Arial" w:cs="Arial"/>
          <w:sz w:val="20"/>
          <w:szCs w:val="20"/>
          <w:lang w:eastAsia="en-GB"/>
        </w:rPr>
        <w:t xml:space="preserve">will notify the Lay Adviser directly.  A copy of the letter of appointment will also be sent to the SMB Chair, informing </w:t>
      </w:r>
      <w:r w:rsidR="006E412D">
        <w:rPr>
          <w:rFonts w:ascii="Arial" w:hAnsi="Arial" w:cs="Arial"/>
          <w:sz w:val="20"/>
          <w:szCs w:val="20"/>
          <w:lang w:eastAsia="en-GB"/>
        </w:rPr>
        <w:t>them</w:t>
      </w:r>
      <w:r>
        <w:rPr>
          <w:rFonts w:ascii="Arial" w:hAnsi="Arial" w:cs="Arial"/>
          <w:sz w:val="20"/>
          <w:szCs w:val="20"/>
          <w:lang w:eastAsia="en-GB"/>
        </w:rPr>
        <w:t xml:space="preserve"> of the appointment.</w:t>
      </w:r>
    </w:p>
    <w:p w14:paraId="198A6AA0" w14:textId="77777777" w:rsidR="00F2123B" w:rsidRDefault="00200CFB">
      <w:pPr>
        <w:spacing w:before="100" w:after="240" w:line="280" w:lineRule="exact"/>
        <w:rPr>
          <w:rFonts w:ascii="Arial" w:hAnsi="Arial" w:cs="Arial"/>
          <w:b/>
          <w:lang w:eastAsia="en-GB"/>
        </w:rPr>
      </w:pPr>
      <w:r>
        <w:rPr>
          <w:rFonts w:ascii="Arial" w:hAnsi="Arial" w:cs="Arial"/>
          <w:b/>
          <w:lang w:eastAsia="en-GB"/>
        </w:rPr>
        <w:t>Expenses</w:t>
      </w:r>
    </w:p>
    <w:p w14:paraId="198A6AA1"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5.29 The Lay Adviser's role is unpaid, but under section 326 of the CJA 2003, the Minister has determined that Lay Advisers may claim legitimate expenses such as travel, refreshments and, where necessary, accommodation for attending official functions.  The level of payment is determined by the RA in the area but should be in line with their own polices on expenses.  The level of payment should be included in the application pack.  Compensation for loss of earnings or childcare expenses should also be available.  These need to be identified prior to appointment and the level of payment determined by the RA. </w:t>
      </w:r>
    </w:p>
    <w:p w14:paraId="198A6AA2"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Induction, support and appraisal</w:t>
      </w:r>
    </w:p>
    <w:p w14:paraId="198A6AA3" w14:textId="77777777" w:rsidR="00F2123B" w:rsidRDefault="00200CFB">
      <w:pPr>
        <w:spacing w:before="100" w:after="240" w:line="280" w:lineRule="exact"/>
      </w:pPr>
      <w:r>
        <w:rPr>
          <w:rFonts w:ascii="Arial" w:hAnsi="Arial" w:cs="Arial"/>
          <w:b/>
          <w:bCs/>
          <w:lang w:eastAsia="en-GB"/>
        </w:rPr>
        <w:t>Standard - Lay</w:t>
      </w:r>
      <w:r>
        <w:rPr>
          <w:rFonts w:ascii="Arial" w:hAnsi="Arial" w:cs="Arial"/>
          <w:lang w:eastAsia="en-GB"/>
        </w:rPr>
        <w:t xml:space="preserve"> </w:t>
      </w:r>
      <w:r>
        <w:rPr>
          <w:rFonts w:ascii="Arial" w:hAnsi="Arial" w:cs="Arial"/>
          <w:b/>
          <w:bCs/>
          <w:lang w:eastAsia="en-GB"/>
        </w:rPr>
        <w:t>Advisers are provided with an</w:t>
      </w:r>
      <w:r>
        <w:rPr>
          <w:rFonts w:ascii="Arial" w:hAnsi="Arial" w:cs="Arial"/>
          <w:lang w:eastAsia="en-GB"/>
        </w:rPr>
        <w:t xml:space="preserve"> </w:t>
      </w:r>
      <w:r>
        <w:rPr>
          <w:rFonts w:ascii="Arial" w:hAnsi="Arial" w:cs="Arial"/>
          <w:b/>
          <w:bCs/>
          <w:lang w:eastAsia="en-GB"/>
        </w:rPr>
        <w:t>induction,</w:t>
      </w:r>
      <w:r>
        <w:rPr>
          <w:rFonts w:ascii="Arial" w:hAnsi="Arial" w:cs="Arial"/>
          <w:lang w:eastAsia="en-GB"/>
        </w:rPr>
        <w:t xml:space="preserve"> </w:t>
      </w:r>
      <w:r>
        <w:rPr>
          <w:rFonts w:ascii="Arial" w:hAnsi="Arial" w:cs="Arial"/>
          <w:b/>
          <w:bCs/>
          <w:lang w:eastAsia="en-GB"/>
        </w:rPr>
        <w:t>training</w:t>
      </w:r>
      <w:r>
        <w:rPr>
          <w:rFonts w:ascii="Arial" w:hAnsi="Arial" w:cs="Arial"/>
          <w:lang w:eastAsia="en-GB"/>
        </w:rPr>
        <w:t xml:space="preserve"> </w:t>
      </w:r>
      <w:r>
        <w:rPr>
          <w:rFonts w:ascii="Arial" w:hAnsi="Arial" w:cs="Arial"/>
          <w:b/>
          <w:bCs/>
          <w:lang w:eastAsia="en-GB"/>
        </w:rPr>
        <w:t>support,</w:t>
      </w:r>
      <w:r>
        <w:rPr>
          <w:rFonts w:ascii="Arial" w:hAnsi="Arial" w:cs="Arial"/>
          <w:lang w:eastAsia="en-GB"/>
        </w:rPr>
        <w:t xml:space="preserve"> </w:t>
      </w:r>
      <w:r>
        <w:rPr>
          <w:rFonts w:ascii="Arial" w:hAnsi="Arial" w:cs="Arial"/>
          <w:b/>
          <w:bCs/>
          <w:lang w:eastAsia="en-GB"/>
        </w:rPr>
        <w:t>and</w:t>
      </w:r>
      <w:r>
        <w:rPr>
          <w:rFonts w:ascii="Arial" w:hAnsi="Arial" w:cs="Arial"/>
          <w:lang w:eastAsia="en-GB"/>
        </w:rPr>
        <w:t xml:space="preserve"> </w:t>
      </w:r>
      <w:r>
        <w:rPr>
          <w:rFonts w:ascii="Arial" w:hAnsi="Arial" w:cs="Arial"/>
          <w:b/>
          <w:bCs/>
          <w:lang w:eastAsia="en-GB"/>
        </w:rPr>
        <w:t>an</w:t>
      </w:r>
      <w:r>
        <w:rPr>
          <w:rFonts w:ascii="Arial" w:hAnsi="Arial" w:cs="Arial"/>
          <w:lang w:eastAsia="en-GB"/>
        </w:rPr>
        <w:t xml:space="preserve"> </w:t>
      </w:r>
      <w:r>
        <w:rPr>
          <w:rFonts w:ascii="Arial" w:hAnsi="Arial" w:cs="Arial"/>
          <w:b/>
          <w:bCs/>
          <w:lang w:eastAsia="en-GB"/>
        </w:rPr>
        <w:t>annual</w:t>
      </w:r>
      <w:r>
        <w:rPr>
          <w:rFonts w:ascii="Arial" w:hAnsi="Arial" w:cs="Arial"/>
          <w:lang w:eastAsia="en-GB"/>
        </w:rPr>
        <w:t xml:space="preserve"> </w:t>
      </w:r>
      <w:r>
        <w:rPr>
          <w:rFonts w:ascii="Arial" w:hAnsi="Arial" w:cs="Arial"/>
          <w:b/>
          <w:bCs/>
          <w:lang w:eastAsia="en-GB"/>
        </w:rPr>
        <w:t xml:space="preserve">review </w:t>
      </w:r>
    </w:p>
    <w:p w14:paraId="198A6AA4" w14:textId="77777777" w:rsidR="00F2123B" w:rsidRDefault="00200CFB">
      <w:pPr>
        <w:spacing w:before="100" w:after="240" w:line="280" w:lineRule="exact"/>
        <w:rPr>
          <w:rFonts w:ascii="Arial" w:hAnsi="Arial" w:cs="Arial"/>
          <w:b/>
          <w:lang w:eastAsia="en-GB"/>
        </w:rPr>
      </w:pPr>
      <w:r>
        <w:rPr>
          <w:rFonts w:ascii="Arial" w:hAnsi="Arial" w:cs="Arial"/>
          <w:b/>
          <w:lang w:eastAsia="en-GB"/>
        </w:rPr>
        <w:t>Induction</w:t>
      </w:r>
    </w:p>
    <w:p w14:paraId="198A6AA5"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5.30 All newly appointed Lay Advisers must be provided with an induction following their appointment.  The RA or SMB will nominate a Single Point of Contact (SPOC) who will facilitate the induction of the Lay Advisers and provide ongoing support and guidance.  This may be the MAPPA Co-ordinator but should not be another Lay Adviser.  Notes should be kept of these meetings to form part of the annual review process.</w:t>
      </w:r>
    </w:p>
    <w:p w14:paraId="198A6AA6"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5.31 The shape and duration of this induction period will vary between areas, but it is essential that it equips Lay Advisers to undertake their role within the SMB.  The Lay Adviser should be provided with an opportunity to learn about the basic structure of the criminal justice system and sentences, as well as the roles of the local DTC agencies.  Existing Lay Advisers should be included in the induction programme where possible.</w:t>
      </w:r>
    </w:p>
    <w:p w14:paraId="198A6AA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5.32 As part of their induction programme, within the first three months, Lay Advisers should be provided with:</w:t>
      </w:r>
    </w:p>
    <w:p w14:paraId="198A6AA8"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 xml:space="preserve">details of how to gain access to the MAPPA website; </w:t>
      </w:r>
    </w:p>
    <w:p w14:paraId="198A6AA9"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clear information about their responsibilities, including confidentiality and reporting changes of circumstance;</w:t>
      </w:r>
    </w:p>
    <w:p w14:paraId="198A6AAA"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MAPPA Guidance;</w:t>
      </w:r>
    </w:p>
    <w:p w14:paraId="198A6AAB"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SMB Business Plan;</w:t>
      </w:r>
    </w:p>
    <w:p w14:paraId="198A6AAC"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previous SMB minutes;</w:t>
      </w:r>
    </w:p>
    <w:p w14:paraId="198A6AAD"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the latest annual report for the area;</w:t>
      </w:r>
    </w:p>
    <w:p w14:paraId="198A6AAE"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any other relevant information including local serious case reviews of MAPPA offenders;</w:t>
      </w:r>
    </w:p>
    <w:p w14:paraId="198A6AAF"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an opportunity to attend a level 2 or 3 MAPPA meeting, with enough time to meet and discuss with the MAPPA Chair and other members of the panel; and</w:t>
      </w:r>
    </w:p>
    <w:p w14:paraId="198A6AB0" w14:textId="77777777" w:rsidR="00F2123B" w:rsidRDefault="00200CFB" w:rsidP="00B21807">
      <w:pPr>
        <w:numPr>
          <w:ilvl w:val="0"/>
          <w:numId w:val="2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contact details for the SMB, National MAPPA Team and local MAPPA contacts, such as chairs and administrators;</w:t>
      </w:r>
    </w:p>
    <w:p w14:paraId="198A6AB1" w14:textId="77777777" w:rsidR="00F2123B" w:rsidRDefault="00200CFB" w:rsidP="00B21807">
      <w:pPr>
        <w:numPr>
          <w:ilvl w:val="0"/>
          <w:numId w:val="21"/>
        </w:numPr>
        <w:spacing w:before="100" w:after="240" w:line="280" w:lineRule="exact"/>
        <w:ind w:left="714" w:hanging="357"/>
        <w:rPr>
          <w:rFonts w:ascii="Arial" w:hAnsi="Arial" w:cs="Arial"/>
          <w:sz w:val="20"/>
          <w:szCs w:val="20"/>
          <w:lang w:eastAsia="en-GB"/>
        </w:rPr>
      </w:pPr>
      <w:r>
        <w:rPr>
          <w:rFonts w:ascii="Arial" w:hAnsi="Arial" w:cs="Arial"/>
          <w:sz w:val="20"/>
          <w:szCs w:val="20"/>
          <w:lang w:eastAsia="en-GB"/>
        </w:rPr>
        <w:t>an opportunity to discuss the appraisal process and objectives (see 5.36).</w:t>
      </w:r>
    </w:p>
    <w:p w14:paraId="198A6AB2"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5.33 Visits should also be arranged for the Lay Advisers to provide them with a broad understanding of the work of the agencies within the RA.  Lay Advisers should visit:</w:t>
      </w:r>
    </w:p>
    <w:p w14:paraId="198A6AB3"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probation office where they may, if possible, observe direct work with a MAPPA offender;</w:t>
      </w:r>
    </w:p>
    <w:p w14:paraId="198A6AB4" w14:textId="77777777" w:rsidR="00F2123B" w:rsidRDefault="00200CFB" w:rsidP="00B21807">
      <w:pPr>
        <w:numPr>
          <w:ilvl w:val="0"/>
          <w:numId w:val="22"/>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a local police station including, if possible, a visit to the Custody Suite and the MOSOVO team; and</w:t>
      </w:r>
    </w:p>
    <w:p w14:paraId="198A6AB5" w14:textId="77777777" w:rsidR="00F2123B" w:rsidRDefault="00200CFB" w:rsidP="00B21807">
      <w:pPr>
        <w:numPr>
          <w:ilvl w:val="0"/>
          <w:numId w:val="22"/>
        </w:numPr>
        <w:spacing w:before="100" w:after="240" w:line="280" w:lineRule="exact"/>
        <w:rPr>
          <w:rFonts w:ascii="Arial" w:hAnsi="Arial" w:cs="Arial"/>
          <w:sz w:val="20"/>
          <w:szCs w:val="20"/>
          <w:lang w:eastAsia="en-GB"/>
        </w:rPr>
      </w:pPr>
      <w:r>
        <w:rPr>
          <w:rFonts w:ascii="Arial" w:hAnsi="Arial" w:cs="Arial"/>
          <w:sz w:val="20"/>
          <w:szCs w:val="20"/>
          <w:lang w:eastAsia="en-GB"/>
        </w:rPr>
        <w:t>a prison, where they should meet the Offender Management Unit and, if possible, observe a sentence planning meeting.</w:t>
      </w:r>
    </w:p>
    <w:p w14:paraId="198A6AB6" w14:textId="77777777" w:rsidR="00F2123B" w:rsidRDefault="00200CFB">
      <w:pPr>
        <w:spacing w:before="100"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5.34 Other visits may also be appropriate, such as a local approved premises, Youth Offending Team, magistrates' court, mental health hospital, local authority children’s or adult services.</w:t>
      </w:r>
    </w:p>
    <w:p w14:paraId="198A6AB7"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5.35 The Lay Adviser should be provided with further information on accredited programmes, MOSOVO, public protection and victim work, including a meeting with the local Victim Liaison Officers, within six months.</w:t>
      </w:r>
    </w:p>
    <w:p w14:paraId="198A6AB8"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5.36 Arrangements should also be made for each Lay Adviser to be given a secure email account (such as CJSM) so that sensitive information is treated in accordance with the appropriate procedures.  Information such as the minutes of meetings cannot be sent to Lay Advisers unless they have a secure email account.  Instructions on setting up a CJSM account are available on the MAPPA website. </w:t>
      </w:r>
    </w:p>
    <w:p w14:paraId="198A6AB9"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Support</w:t>
      </w:r>
    </w:p>
    <w:p w14:paraId="198A6AB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5.37 The SPOC should meet Lay Advisers at least once a quarter to provide additional support, advice and training during the Lay Advisers’ tenure.</w:t>
      </w:r>
    </w:p>
    <w:p w14:paraId="198A6ABB" w14:textId="77777777" w:rsidR="00F2123B" w:rsidRDefault="00200CFB">
      <w:pPr>
        <w:spacing w:before="100" w:after="240" w:line="280" w:lineRule="exact"/>
        <w:rPr>
          <w:rFonts w:ascii="Arial" w:hAnsi="Arial" w:cs="Arial"/>
          <w:b/>
          <w:sz w:val="20"/>
          <w:szCs w:val="20"/>
          <w:lang w:eastAsia="en-GB"/>
        </w:rPr>
      </w:pPr>
      <w:r>
        <w:rPr>
          <w:rFonts w:ascii="Arial" w:hAnsi="Arial" w:cs="Arial"/>
          <w:b/>
          <w:sz w:val="20"/>
          <w:szCs w:val="20"/>
          <w:lang w:eastAsia="en-GB"/>
        </w:rPr>
        <w:t>Appraisal</w:t>
      </w:r>
    </w:p>
    <w:p w14:paraId="198A6ABC" w14:textId="61FC197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8</w:t>
      </w:r>
      <w:r>
        <w:rPr>
          <w:rFonts w:ascii="Arial" w:hAnsi="Arial" w:cs="Arial"/>
          <w:sz w:val="20"/>
          <w:szCs w:val="20"/>
          <w:lang w:eastAsia="en-GB"/>
        </w:rPr>
        <w:t xml:space="preserve"> A performance appraisal should be conducted once a year between the Lay Adviser and a nominated member of the SMB (not the MAPPA Co-ordinator).  This is a two-way review and a forum for setting objectives, discussing how the Lay Adviser sees </w:t>
      </w:r>
      <w:r w:rsidR="00745193">
        <w:rPr>
          <w:rFonts w:ascii="Arial" w:hAnsi="Arial" w:cs="Arial"/>
          <w:sz w:val="20"/>
          <w:szCs w:val="20"/>
          <w:lang w:eastAsia="en-GB"/>
        </w:rPr>
        <w:t>themselves</w:t>
      </w:r>
      <w:r>
        <w:rPr>
          <w:rFonts w:ascii="Arial" w:hAnsi="Arial" w:cs="Arial"/>
          <w:sz w:val="20"/>
          <w:szCs w:val="20"/>
          <w:lang w:eastAsia="en-GB"/>
        </w:rPr>
        <w:t xml:space="preserve"> fitting into the SMB and the operation of MAPPA, and for any feedback that the SMB Chair might be able to give.  A satisfactory performance appraisal is required to reappoint a Lay Adviser for a second term (see 5.17).  There should be a process for the SPOC to feed into the performance appraisal.  The Lay Adviser may be accompanied to an appraisal meeting by </w:t>
      </w:r>
      <w:r w:rsidR="00745193">
        <w:rPr>
          <w:rFonts w:ascii="Arial" w:hAnsi="Arial" w:cs="Arial"/>
          <w:sz w:val="20"/>
          <w:szCs w:val="20"/>
          <w:lang w:eastAsia="en-GB"/>
        </w:rPr>
        <w:t>their</w:t>
      </w:r>
      <w:r>
        <w:rPr>
          <w:rFonts w:ascii="Arial" w:hAnsi="Arial" w:cs="Arial"/>
          <w:sz w:val="20"/>
          <w:szCs w:val="20"/>
          <w:lang w:eastAsia="en-GB"/>
        </w:rPr>
        <w:t xml:space="preserve"> SPOC if </w:t>
      </w:r>
      <w:r w:rsidR="00745193">
        <w:rPr>
          <w:rFonts w:ascii="Arial" w:hAnsi="Arial" w:cs="Arial"/>
          <w:sz w:val="20"/>
          <w:szCs w:val="20"/>
          <w:lang w:eastAsia="en-GB"/>
        </w:rPr>
        <w:t>they</w:t>
      </w:r>
      <w:r>
        <w:rPr>
          <w:rFonts w:ascii="Arial" w:hAnsi="Arial" w:cs="Arial"/>
          <w:sz w:val="20"/>
          <w:szCs w:val="20"/>
          <w:lang w:eastAsia="en-GB"/>
        </w:rPr>
        <w:t xml:space="preserve"> wish.</w:t>
      </w:r>
    </w:p>
    <w:p w14:paraId="198A6ABD" w14:textId="77777777" w:rsidR="00F2123B" w:rsidRDefault="00200CFB">
      <w:pPr>
        <w:spacing w:before="100" w:after="240" w:line="280" w:lineRule="exact"/>
        <w:rPr>
          <w:rFonts w:ascii="Arial" w:hAnsi="Arial" w:cs="Arial"/>
          <w:b/>
          <w:bCs/>
          <w:kern w:val="3"/>
          <w:sz w:val="28"/>
          <w:szCs w:val="28"/>
          <w:lang w:eastAsia="en-GB"/>
        </w:rPr>
      </w:pPr>
      <w:r>
        <w:rPr>
          <w:rFonts w:ascii="Arial" w:hAnsi="Arial" w:cs="Arial"/>
          <w:b/>
          <w:bCs/>
          <w:kern w:val="3"/>
          <w:sz w:val="28"/>
          <w:szCs w:val="28"/>
          <w:lang w:eastAsia="en-GB"/>
        </w:rPr>
        <w:t>Change of circumstances and termination of appointment</w:t>
      </w:r>
    </w:p>
    <w:p w14:paraId="198A6ABE" w14:textId="6F1DDEA4"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lang w:eastAsia="en-GB"/>
        </w:rPr>
        <w:t>Lay Adviser informs the</w:t>
      </w:r>
      <w:r>
        <w:rPr>
          <w:rFonts w:ascii="Arial" w:hAnsi="Arial" w:cs="Arial"/>
          <w:lang w:eastAsia="en-GB"/>
        </w:rPr>
        <w:t xml:space="preserve"> </w:t>
      </w:r>
      <w:r>
        <w:rPr>
          <w:rFonts w:ascii="Arial" w:hAnsi="Arial" w:cs="Arial"/>
          <w:b/>
          <w:bCs/>
          <w:lang w:eastAsia="en-GB"/>
        </w:rPr>
        <w:t>SMB</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any</w:t>
      </w:r>
      <w:r>
        <w:rPr>
          <w:rFonts w:ascii="Arial" w:hAnsi="Arial" w:cs="Arial"/>
          <w:lang w:eastAsia="en-GB"/>
        </w:rPr>
        <w:t xml:space="preserve"> </w:t>
      </w:r>
      <w:r>
        <w:rPr>
          <w:rFonts w:ascii="Arial" w:hAnsi="Arial" w:cs="Arial"/>
          <w:b/>
          <w:bCs/>
          <w:lang w:eastAsia="en-GB"/>
        </w:rPr>
        <w:t>change</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circumstances</w:t>
      </w:r>
      <w:r>
        <w:rPr>
          <w:rFonts w:ascii="Arial" w:hAnsi="Arial" w:cs="Arial"/>
          <w:lang w:eastAsia="en-GB"/>
        </w:rPr>
        <w:t xml:space="preserve"> </w:t>
      </w:r>
      <w:r>
        <w:rPr>
          <w:rFonts w:ascii="Arial" w:hAnsi="Arial" w:cs="Arial"/>
          <w:b/>
          <w:bCs/>
          <w:lang w:eastAsia="en-GB"/>
        </w:rPr>
        <w:t>that</w:t>
      </w:r>
      <w:r>
        <w:rPr>
          <w:rFonts w:ascii="Arial" w:hAnsi="Arial" w:cs="Arial"/>
          <w:lang w:eastAsia="en-GB"/>
        </w:rPr>
        <w:t xml:space="preserve"> </w:t>
      </w:r>
      <w:r>
        <w:rPr>
          <w:rFonts w:ascii="Arial" w:hAnsi="Arial" w:cs="Arial"/>
          <w:b/>
          <w:bCs/>
          <w:lang w:eastAsia="en-GB"/>
        </w:rPr>
        <w:t>may</w:t>
      </w:r>
      <w:r>
        <w:rPr>
          <w:rFonts w:ascii="Arial" w:hAnsi="Arial" w:cs="Arial"/>
          <w:lang w:eastAsia="en-GB"/>
        </w:rPr>
        <w:t xml:space="preserve"> </w:t>
      </w:r>
      <w:r>
        <w:rPr>
          <w:rFonts w:ascii="Arial" w:hAnsi="Arial" w:cs="Arial"/>
          <w:b/>
          <w:bCs/>
          <w:lang w:eastAsia="en-GB"/>
        </w:rPr>
        <w:t>affect</w:t>
      </w:r>
      <w:r>
        <w:rPr>
          <w:rFonts w:ascii="Arial" w:hAnsi="Arial" w:cs="Arial"/>
          <w:lang w:eastAsia="en-GB"/>
        </w:rPr>
        <w:t xml:space="preserve"> </w:t>
      </w:r>
      <w:r w:rsidR="003E2485">
        <w:rPr>
          <w:rFonts w:ascii="Arial" w:hAnsi="Arial" w:cs="Arial"/>
          <w:b/>
          <w:bCs/>
          <w:lang w:eastAsia="en-GB"/>
        </w:rPr>
        <w:t>their</w:t>
      </w:r>
      <w:r>
        <w:rPr>
          <w:rFonts w:ascii="Arial" w:hAnsi="Arial" w:cs="Arial"/>
          <w:lang w:eastAsia="en-GB"/>
        </w:rPr>
        <w:t xml:space="preserve"> </w:t>
      </w:r>
      <w:r>
        <w:rPr>
          <w:rFonts w:ascii="Arial" w:hAnsi="Arial" w:cs="Arial"/>
          <w:b/>
          <w:bCs/>
          <w:lang w:eastAsia="en-GB"/>
        </w:rPr>
        <w:t>suitability for the role</w:t>
      </w:r>
    </w:p>
    <w:p w14:paraId="198A6ABF" w14:textId="4E6A7129"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5.3</w:t>
      </w:r>
      <w:r w:rsidR="00C26BBD">
        <w:rPr>
          <w:rFonts w:ascii="Arial" w:hAnsi="Arial" w:cs="Arial"/>
          <w:sz w:val="20"/>
          <w:szCs w:val="20"/>
          <w:lang w:eastAsia="en-GB"/>
        </w:rPr>
        <w:t>9</w:t>
      </w:r>
      <w:r>
        <w:rPr>
          <w:rFonts w:ascii="Arial" w:hAnsi="Arial" w:cs="Arial"/>
          <w:sz w:val="20"/>
          <w:szCs w:val="20"/>
          <w:lang w:eastAsia="en-GB"/>
        </w:rPr>
        <w:t xml:space="preserve"> During the induction process, Lay Advisers should be advised that they must notify the Chair of the SMB of any change in circumstances that could affect their suitability to undertake their role.  This would include being charged or summonsed for any criminal offence, a change of residence outside of the area, or a change in personal relationships that would affect their role as Lay Advisers.  They must also notify the Chair of any circumstances that a member of the public, having knowledge of the relevant facts, could reasonably regard as being so significant as to compromise the Lay Adviser's ability to discharge </w:t>
      </w:r>
      <w:r w:rsidR="00745193">
        <w:rPr>
          <w:rFonts w:ascii="Arial" w:hAnsi="Arial" w:cs="Arial"/>
          <w:sz w:val="20"/>
          <w:szCs w:val="20"/>
          <w:lang w:eastAsia="en-GB"/>
        </w:rPr>
        <w:t xml:space="preserve">their </w:t>
      </w:r>
      <w:r>
        <w:rPr>
          <w:rFonts w:ascii="Arial" w:hAnsi="Arial" w:cs="Arial"/>
          <w:sz w:val="20"/>
          <w:szCs w:val="20"/>
          <w:lang w:eastAsia="en-GB"/>
        </w:rPr>
        <w:t>responsibilities.</w:t>
      </w:r>
    </w:p>
    <w:p w14:paraId="198A6AC0" w14:textId="30FF495F"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w:t>
      </w:r>
      <w:r w:rsidR="00C26BBD">
        <w:rPr>
          <w:rFonts w:ascii="Arial" w:hAnsi="Arial" w:cs="Arial"/>
          <w:sz w:val="20"/>
          <w:szCs w:val="20"/>
          <w:lang w:eastAsia="en-GB"/>
        </w:rPr>
        <w:t>40</w:t>
      </w:r>
      <w:r>
        <w:rPr>
          <w:rFonts w:ascii="Arial" w:hAnsi="Arial" w:cs="Arial"/>
          <w:sz w:val="20"/>
          <w:szCs w:val="20"/>
          <w:lang w:eastAsia="en-GB"/>
        </w:rPr>
        <w:t xml:space="preserve"> The Chair of the SMB, in conjunction with </w:t>
      </w:r>
      <w:r w:rsidR="00745193">
        <w:rPr>
          <w:rFonts w:ascii="Arial" w:hAnsi="Arial" w:cs="Arial"/>
          <w:sz w:val="20"/>
          <w:szCs w:val="20"/>
          <w:lang w:eastAsia="en-GB"/>
        </w:rPr>
        <w:t xml:space="preserve">their </w:t>
      </w:r>
      <w:r>
        <w:rPr>
          <w:rFonts w:ascii="Arial" w:hAnsi="Arial" w:cs="Arial"/>
          <w:sz w:val="20"/>
          <w:szCs w:val="20"/>
          <w:lang w:eastAsia="en-GB"/>
        </w:rPr>
        <w:t>RA colleagues, will determine whether suspension and/or other action (such as reduced duties or reporting the Lay Adviser to the police) is appropriate.</w:t>
      </w:r>
    </w:p>
    <w:p w14:paraId="198A6AC1" w14:textId="35D26073"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1</w:t>
      </w:r>
      <w:r>
        <w:rPr>
          <w:rFonts w:ascii="Arial" w:hAnsi="Arial" w:cs="Arial"/>
          <w:sz w:val="20"/>
          <w:szCs w:val="20"/>
          <w:lang w:eastAsia="en-GB"/>
        </w:rPr>
        <w:t xml:space="preserve"> The Minister retains the right to terminate the appointment of a Lay Adviser whose conduct or performance is not deemed to be of the required standard.  Misconduct will include such matters as lack of commitment, conviction for a criminal offence whilst in post, or abusing the position of Lay Adviser.  Poor performance will include failure to fulfil the role effectively or to complete agreed objectives.</w:t>
      </w:r>
    </w:p>
    <w:p w14:paraId="198A6AC2" w14:textId="2000F74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2</w:t>
      </w:r>
      <w:r>
        <w:rPr>
          <w:rFonts w:ascii="Arial" w:hAnsi="Arial" w:cs="Arial"/>
          <w:sz w:val="20"/>
          <w:szCs w:val="20"/>
          <w:lang w:eastAsia="en-GB"/>
        </w:rPr>
        <w:t xml:space="preserve"> The SMB Chair must write to the National MAPPA Team to recommend the termination of an appointment.  This letter must set out the reasons for the recommendation and be endorsed by the RA representatives on the SMB.</w:t>
      </w:r>
    </w:p>
    <w:p w14:paraId="198A6AC3" w14:textId="0D86C57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5.4</w:t>
      </w:r>
      <w:r w:rsidR="00C26BBD">
        <w:rPr>
          <w:rFonts w:ascii="Arial" w:hAnsi="Arial" w:cs="Arial"/>
          <w:sz w:val="20"/>
          <w:szCs w:val="20"/>
          <w:lang w:eastAsia="en-GB"/>
        </w:rPr>
        <w:t>3</w:t>
      </w:r>
      <w:r>
        <w:rPr>
          <w:rFonts w:ascii="Arial" w:hAnsi="Arial" w:cs="Arial"/>
          <w:sz w:val="20"/>
          <w:szCs w:val="20"/>
          <w:lang w:eastAsia="en-GB"/>
        </w:rPr>
        <w:t xml:space="preserve"> The National MAPPA Team will prepare a submission to the Minister outlining the situation and recommending the termination of the appointment. Once the recommendation is accepted, a letter from the Minister will be sent to the Lay Adviser notifying</w:t>
      </w:r>
      <w:r w:rsidR="00745193">
        <w:rPr>
          <w:rFonts w:ascii="Arial" w:hAnsi="Arial" w:cs="Arial"/>
          <w:sz w:val="20"/>
          <w:szCs w:val="20"/>
          <w:lang w:eastAsia="en-GB"/>
        </w:rPr>
        <w:t xml:space="preserve"> them</w:t>
      </w:r>
      <w:r>
        <w:rPr>
          <w:rFonts w:ascii="Arial" w:hAnsi="Arial" w:cs="Arial"/>
          <w:sz w:val="20"/>
          <w:szCs w:val="20"/>
          <w:lang w:eastAsia="en-GB"/>
        </w:rPr>
        <w:t xml:space="preserve"> of the termination of the appointment.  A copy of the letter will also be sent to the Chair of the SMB.</w:t>
      </w:r>
    </w:p>
    <w:p w14:paraId="198A6AC4" w14:textId="77777777" w:rsidR="00F2123B" w:rsidRDefault="00200CFB">
      <w:pPr>
        <w:pStyle w:val="Heading1"/>
        <w:pageBreakBefore/>
        <w:spacing w:line="280" w:lineRule="atLeast"/>
      </w:pPr>
      <w:r>
        <w:rPr>
          <w:sz w:val="36"/>
          <w:szCs w:val="36"/>
        </w:rPr>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Violent offender or other sexual offender.</w:t>
      </w:r>
    </w:p>
    <w:p w14:paraId="692A99F5" w14:textId="77777777" w:rsidR="00385DAF" w:rsidRPr="005513E2" w:rsidRDefault="00385DAF" w:rsidP="001C368D">
      <w:pPr>
        <w:pStyle w:val="Text"/>
        <w:ind w:left="720"/>
      </w:pPr>
      <w:r w:rsidRPr="005513E2">
        <w:rPr>
          <w:rStyle w:val="Strong"/>
        </w:rPr>
        <w:t xml:space="preserve">Category 3 - </w:t>
      </w:r>
      <w:r w:rsidRPr="005513E2">
        <w:t>Other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6" w:name="_Hlk73966217"/>
      <w:r w:rsidRPr="005513E2">
        <w:t>Category 1 or Category 4</w:t>
      </w:r>
      <w:bookmarkEnd w:id="6"/>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example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rsidP="00AD2BEF">
      <w:pPr>
        <w:pStyle w:val="Text"/>
        <w:numPr>
          <w:ilvl w:val="0"/>
          <w:numId w:val="78"/>
        </w:numPr>
        <w:spacing w:before="0" w:after="120"/>
        <w:ind w:left="714" w:hanging="357"/>
      </w:pPr>
      <w:r w:rsidRPr="005513E2">
        <w:t xml:space="preserve">convicted of, </w:t>
      </w:r>
    </w:p>
    <w:p w14:paraId="7C4A92A2" w14:textId="77777777" w:rsidR="00385DAF" w:rsidRPr="005513E2" w:rsidRDefault="00385DAF" w:rsidP="00AD2BEF">
      <w:pPr>
        <w:pStyle w:val="Text"/>
        <w:numPr>
          <w:ilvl w:val="0"/>
          <w:numId w:val="78"/>
        </w:numPr>
        <w:spacing w:before="0" w:after="120"/>
        <w:ind w:left="714" w:hanging="357"/>
      </w:pPr>
      <w:r w:rsidRPr="005513E2">
        <w:t xml:space="preserve">cautioned for, </w:t>
      </w:r>
    </w:p>
    <w:p w14:paraId="53E85686" w14:textId="77777777" w:rsidR="00385DAF" w:rsidRPr="005513E2" w:rsidRDefault="00385DAF" w:rsidP="00AD2BEF">
      <w:pPr>
        <w:pStyle w:val="Text"/>
        <w:numPr>
          <w:ilvl w:val="0"/>
          <w:numId w:val="78"/>
        </w:numPr>
        <w:spacing w:before="0" w:after="120"/>
        <w:ind w:left="714" w:hanging="357"/>
      </w:pPr>
      <w:r w:rsidRPr="005513E2">
        <w:t xml:space="preserve">found to be under a disability and to have done the act charged, or </w:t>
      </w:r>
    </w:p>
    <w:p w14:paraId="134C2E52" w14:textId="77777777" w:rsidR="00385DAF" w:rsidRPr="005513E2" w:rsidRDefault="00385DAF" w:rsidP="00AD2BEF">
      <w:pPr>
        <w:pStyle w:val="Text"/>
        <w:numPr>
          <w:ilvl w:val="0"/>
          <w:numId w:val="78"/>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12 month DTO to qualify.</w:t>
      </w:r>
    </w:p>
    <w:p w14:paraId="60569FAD" w14:textId="77777777" w:rsidR="00385DAF" w:rsidRPr="005513E2" w:rsidRDefault="00385DAF" w:rsidP="000D0BA9">
      <w:pPr>
        <w:pStyle w:val="Text"/>
      </w:pPr>
      <w:r w:rsidRPr="005513E2">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6"/>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rsidP="00AD2BEF">
      <w:pPr>
        <w:pStyle w:val="Text"/>
        <w:numPr>
          <w:ilvl w:val="0"/>
          <w:numId w:val="79"/>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rsidP="00AD2BEF">
      <w:pPr>
        <w:pStyle w:val="Text"/>
        <w:numPr>
          <w:ilvl w:val="0"/>
          <w:numId w:val="79"/>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rsidP="00AD2BEF">
      <w:pPr>
        <w:pStyle w:val="Text"/>
        <w:numPr>
          <w:ilvl w:val="0"/>
          <w:numId w:val="79"/>
        </w:numPr>
        <w:spacing w:before="120" w:after="120"/>
        <w:ind w:left="714" w:hanging="357"/>
      </w:pPr>
      <w:r w:rsidRPr="005513E2">
        <w:t>Suspended sentences with a term of 12 months or more.</w:t>
      </w:r>
    </w:p>
    <w:p w14:paraId="0878AF47" w14:textId="77777777" w:rsidR="00385DAF" w:rsidRPr="005513E2" w:rsidRDefault="00385DAF" w:rsidP="00AD2BEF">
      <w:pPr>
        <w:pStyle w:val="Text"/>
        <w:numPr>
          <w:ilvl w:val="0"/>
          <w:numId w:val="79"/>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in order to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6.10 Most sexual offenders who meet the offence and sentence criteria for Category 2 will also be subject to notification requirements as a sexual offender and therefore listed as Category 1. However, there are a number of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offence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rsidP="00AD2BEF">
      <w:pPr>
        <w:pStyle w:val="Text"/>
        <w:numPr>
          <w:ilvl w:val="0"/>
          <w:numId w:val="80"/>
        </w:numPr>
        <w:spacing w:before="120" w:after="120"/>
        <w:ind w:left="714" w:hanging="357"/>
      </w:pPr>
      <w:r w:rsidRPr="005513E2">
        <w:t>the person has either:</w:t>
      </w:r>
    </w:p>
    <w:p w14:paraId="3CCF9791" w14:textId="77777777" w:rsidR="00385DAF" w:rsidRPr="005513E2" w:rsidRDefault="00385DAF" w:rsidP="00AD2BEF">
      <w:pPr>
        <w:pStyle w:val="Text"/>
        <w:numPr>
          <w:ilvl w:val="0"/>
          <w:numId w:val="81"/>
        </w:numPr>
        <w:spacing w:before="120" w:after="120"/>
        <w:ind w:left="1071" w:hanging="357"/>
      </w:pPr>
      <w:r w:rsidRPr="005513E2">
        <w:t>a conviction for any offence (current or historic, within the UK or abroad); or</w:t>
      </w:r>
    </w:p>
    <w:p w14:paraId="02F66ED8" w14:textId="77777777" w:rsidR="00385DAF" w:rsidRPr="005513E2" w:rsidRDefault="00385DAF" w:rsidP="00AD2BEF">
      <w:pPr>
        <w:pStyle w:val="Text"/>
        <w:numPr>
          <w:ilvl w:val="0"/>
          <w:numId w:val="81"/>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rsidP="00AD2BEF">
      <w:pPr>
        <w:pStyle w:val="Text"/>
        <w:numPr>
          <w:ilvl w:val="0"/>
          <w:numId w:val="81"/>
        </w:numPr>
        <w:spacing w:before="120" w:after="120"/>
        <w:ind w:left="1071" w:hanging="357"/>
      </w:pPr>
      <w:r w:rsidRPr="005513E2">
        <w:t>been found not guilty of any offence by reason of insanity; or</w:t>
      </w:r>
    </w:p>
    <w:p w14:paraId="00A8D681" w14:textId="77777777" w:rsidR="00385DAF" w:rsidRPr="005513E2" w:rsidRDefault="00385DAF" w:rsidP="00AD2BEF">
      <w:pPr>
        <w:pStyle w:val="Text"/>
        <w:numPr>
          <w:ilvl w:val="0"/>
          <w:numId w:val="81"/>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rsidP="00AD2BEF">
      <w:pPr>
        <w:pStyle w:val="Text"/>
        <w:numPr>
          <w:ilvl w:val="0"/>
          <w:numId w:val="80"/>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6.14 In some cases, the offence in paragraph 6.12(a) above will be of a clearly sexual or violent nature, although it need not be listed in Sch. 15 of the CJA 2003. However, in most cases, it will be appropriate to examine the circumstances surrounding the offence in order to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7"/>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management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Category 1, 2 or 4 are considered for Category 3 management.  </w:t>
      </w:r>
    </w:p>
    <w:p w14:paraId="78801D57" w14:textId="77777777"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example a conviction for Criminal Damage where the offence took place within a relationship could be indicative of more serious risk. Due to the serious harm caused by domestic abuse, all domestic abuse perpetrators not automatically subject to MAPPA must be considered for referral to Category 3 management. Those convicted under s.76 of the Serious Crime Act 2015 (Controlling or Coercive Behaviour in an Intimate or Family Relationship) do not fall under Sch. 15 and so offenders sentenced under this section are not automatically MAPPA-eligible but must be considered for Category 3.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rsidP="00AD2BEF">
      <w:pPr>
        <w:pStyle w:val="Text"/>
        <w:numPr>
          <w:ilvl w:val="0"/>
          <w:numId w:val="82"/>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rsidP="00AD2BEF">
      <w:pPr>
        <w:pStyle w:val="Text"/>
        <w:numPr>
          <w:ilvl w:val="0"/>
          <w:numId w:val="82"/>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rsidP="00AD2BEF">
      <w:pPr>
        <w:pStyle w:val="Text"/>
        <w:numPr>
          <w:ilvl w:val="0"/>
          <w:numId w:val="82"/>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restrictions) or guardianship order under MHA 1983 for that offence (see paragraph 6.25) (see Chapter 26 - Mentally disordered offenders); or </w:t>
      </w:r>
    </w:p>
    <w:p w14:paraId="3B68BF8E" w14:textId="77777777" w:rsidR="00385DAF" w:rsidRPr="005513E2" w:rsidRDefault="00385DAF" w:rsidP="00AD2BEF">
      <w:pPr>
        <w:pStyle w:val="Text"/>
        <w:numPr>
          <w:ilvl w:val="0"/>
          <w:numId w:val="82"/>
        </w:numPr>
        <w:spacing w:before="120" w:after="120"/>
        <w:ind w:left="714" w:hanging="357"/>
      </w:pPr>
      <w:r w:rsidRPr="005513E2">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rsidP="00AD2BEF">
      <w:pPr>
        <w:pStyle w:val="Text"/>
        <w:numPr>
          <w:ilvl w:val="0"/>
          <w:numId w:val="83"/>
        </w:numPr>
        <w:spacing w:before="120" w:after="120"/>
        <w:ind w:left="714" w:hanging="357"/>
      </w:pPr>
      <w:r w:rsidRPr="005513E2">
        <w:t xml:space="preserve">s.69 of the Sentencing Code, </w:t>
      </w:r>
    </w:p>
    <w:p w14:paraId="6D6EDC9A" w14:textId="77777777" w:rsidR="00385DAF" w:rsidRPr="005513E2" w:rsidRDefault="00385DAF" w:rsidP="00AD2BEF">
      <w:pPr>
        <w:pStyle w:val="Text"/>
        <w:numPr>
          <w:ilvl w:val="0"/>
          <w:numId w:val="83"/>
        </w:numPr>
        <w:spacing w:before="120" w:after="120"/>
        <w:ind w:left="714" w:hanging="357"/>
      </w:pPr>
      <w:r w:rsidRPr="005513E2">
        <w:t xml:space="preserve">s.238(6) of the Armed Forces Act 2006, </w:t>
      </w:r>
    </w:p>
    <w:p w14:paraId="5111FA27" w14:textId="77777777" w:rsidR="00385DAF" w:rsidRPr="005513E2" w:rsidRDefault="00385DAF" w:rsidP="00AD2BEF">
      <w:pPr>
        <w:pStyle w:val="Text"/>
        <w:numPr>
          <w:ilvl w:val="0"/>
          <w:numId w:val="83"/>
        </w:numPr>
        <w:spacing w:before="120" w:after="120"/>
        <w:ind w:left="714" w:hanging="357"/>
      </w:pPr>
      <w:r w:rsidRPr="005513E2">
        <w:t xml:space="preserve">s.30 of CTA 2008, or </w:t>
      </w:r>
    </w:p>
    <w:p w14:paraId="39B68DE6" w14:textId="77777777" w:rsidR="00385DAF" w:rsidRPr="005513E2" w:rsidRDefault="00385DAF" w:rsidP="00AD2BEF">
      <w:pPr>
        <w:pStyle w:val="Text"/>
        <w:numPr>
          <w:ilvl w:val="0"/>
          <w:numId w:val="83"/>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rsidP="00AD2BEF">
      <w:pPr>
        <w:pStyle w:val="Text"/>
        <w:numPr>
          <w:ilvl w:val="0"/>
          <w:numId w:val="84"/>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rsidP="00AD2BEF">
      <w:pPr>
        <w:pStyle w:val="Text"/>
        <w:numPr>
          <w:ilvl w:val="0"/>
          <w:numId w:val="84"/>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rsidP="00AD2BEF">
      <w:pPr>
        <w:pStyle w:val="Text"/>
        <w:numPr>
          <w:ilvl w:val="0"/>
          <w:numId w:val="84"/>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rsidP="00AD2BEF">
      <w:pPr>
        <w:pStyle w:val="Text"/>
        <w:numPr>
          <w:ilvl w:val="0"/>
          <w:numId w:val="85"/>
        </w:numPr>
      </w:pPr>
      <w:r w:rsidRPr="005513E2">
        <w:t>the person has either:</w:t>
      </w:r>
    </w:p>
    <w:p w14:paraId="6FBAC96B" w14:textId="77777777" w:rsidR="00385DAF" w:rsidRPr="005513E2" w:rsidRDefault="00385DAF" w:rsidP="00AD2BEF">
      <w:pPr>
        <w:pStyle w:val="Text"/>
        <w:numPr>
          <w:ilvl w:val="0"/>
          <w:numId w:val="86"/>
        </w:numPr>
        <w:spacing w:before="120" w:after="120"/>
        <w:ind w:left="1077" w:hanging="357"/>
      </w:pPr>
      <w:r w:rsidRPr="005513E2">
        <w:t>a conviction for any offence (current or historic, within the UK or abroad); or</w:t>
      </w:r>
    </w:p>
    <w:p w14:paraId="6BCDF6FE" w14:textId="77777777" w:rsidR="00385DAF" w:rsidRPr="005513E2" w:rsidRDefault="00385DAF" w:rsidP="00AD2BEF">
      <w:pPr>
        <w:pStyle w:val="Text"/>
        <w:numPr>
          <w:ilvl w:val="0"/>
          <w:numId w:val="86"/>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rsidP="00AD2BEF">
      <w:pPr>
        <w:pStyle w:val="Text"/>
        <w:numPr>
          <w:ilvl w:val="0"/>
          <w:numId w:val="86"/>
        </w:numPr>
        <w:spacing w:before="120" w:after="120"/>
        <w:ind w:left="1077" w:hanging="357"/>
      </w:pPr>
      <w:r w:rsidRPr="005513E2">
        <w:t>been found not guilty of any offence by reason of insanity; or</w:t>
      </w:r>
    </w:p>
    <w:p w14:paraId="4D7A1A6A" w14:textId="77777777" w:rsidR="00385DAF" w:rsidRPr="005513E2" w:rsidRDefault="00385DAF" w:rsidP="00AD2BEF">
      <w:pPr>
        <w:pStyle w:val="Text"/>
        <w:numPr>
          <w:ilvl w:val="0"/>
          <w:numId w:val="86"/>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rsidP="00AD2BEF">
      <w:pPr>
        <w:pStyle w:val="Text"/>
        <w:numPr>
          <w:ilvl w:val="0"/>
          <w:numId w:val="85"/>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t>Disqualification Orders (DOs)</w:t>
      </w:r>
    </w:p>
    <w:p w14:paraId="514E28B5" w14:textId="77777777" w:rsidR="00385DAF" w:rsidRPr="005513E2" w:rsidRDefault="00385DAF" w:rsidP="00443E05">
      <w:pPr>
        <w:pStyle w:val="Text"/>
      </w:pPr>
      <w:r w:rsidRPr="005513E2">
        <w:t>6.29 Following the Deregulation Act 2015, offenders no longer qualify for MAPPA management as a result of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rsidP="00AD2BEF">
      <w:pPr>
        <w:pStyle w:val="Text"/>
        <w:numPr>
          <w:ilvl w:val="0"/>
          <w:numId w:val="87"/>
        </w:numPr>
        <w:spacing w:before="120" w:after="120"/>
        <w:ind w:left="714" w:hanging="357"/>
      </w:pPr>
      <w:r w:rsidRPr="005513E2">
        <w:t>Probation</w:t>
      </w:r>
    </w:p>
    <w:p w14:paraId="516D289C" w14:textId="77777777" w:rsidR="00385DAF" w:rsidRPr="005513E2" w:rsidRDefault="00385DAF" w:rsidP="00AD2BEF">
      <w:pPr>
        <w:pStyle w:val="Text"/>
        <w:numPr>
          <w:ilvl w:val="0"/>
          <w:numId w:val="87"/>
        </w:numPr>
        <w:spacing w:before="120" w:after="120"/>
        <w:ind w:left="714" w:hanging="357"/>
      </w:pPr>
      <w:r w:rsidRPr="005513E2">
        <w:t>Police</w:t>
      </w:r>
    </w:p>
    <w:p w14:paraId="63BBB698" w14:textId="77777777" w:rsidR="00385DAF" w:rsidRPr="005513E2" w:rsidRDefault="00385DAF" w:rsidP="00AD2BEF">
      <w:pPr>
        <w:pStyle w:val="Text"/>
        <w:numPr>
          <w:ilvl w:val="0"/>
          <w:numId w:val="87"/>
        </w:numPr>
        <w:spacing w:before="120" w:after="120"/>
        <w:ind w:left="714" w:hanging="357"/>
      </w:pPr>
      <w:r w:rsidRPr="005513E2">
        <w:t>Prison Service</w:t>
      </w:r>
    </w:p>
    <w:p w14:paraId="3358E1D3" w14:textId="77777777" w:rsidR="00385DAF" w:rsidRPr="005513E2" w:rsidRDefault="00385DAF" w:rsidP="00AD2BEF">
      <w:pPr>
        <w:pStyle w:val="Text"/>
        <w:numPr>
          <w:ilvl w:val="0"/>
          <w:numId w:val="87"/>
        </w:numPr>
        <w:spacing w:before="120" w:after="120"/>
        <w:ind w:left="714" w:hanging="357"/>
      </w:pPr>
      <w:r w:rsidRPr="005513E2">
        <w:t>Youth Offending Teams (YOT)</w:t>
      </w:r>
    </w:p>
    <w:p w14:paraId="73DC381C" w14:textId="77777777" w:rsidR="00385DAF" w:rsidRPr="005513E2" w:rsidRDefault="00385DAF" w:rsidP="00AD2BEF">
      <w:pPr>
        <w:pStyle w:val="Text"/>
        <w:numPr>
          <w:ilvl w:val="0"/>
          <w:numId w:val="87"/>
        </w:numPr>
        <w:spacing w:before="120" w:after="120"/>
        <w:ind w:left="714" w:hanging="357"/>
      </w:pPr>
      <w:r w:rsidRPr="005513E2">
        <w:t>Mental Health Services</w:t>
      </w:r>
    </w:p>
    <w:p w14:paraId="62618FEB" w14:textId="77777777" w:rsidR="00385DAF" w:rsidRPr="005513E2" w:rsidRDefault="00385DAF" w:rsidP="00AD2BEF">
      <w:pPr>
        <w:pStyle w:val="Text"/>
        <w:numPr>
          <w:ilvl w:val="0"/>
          <w:numId w:val="87"/>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In order to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rsidP="00AD2BEF">
      <w:pPr>
        <w:pStyle w:val="Text"/>
        <w:numPr>
          <w:ilvl w:val="0"/>
          <w:numId w:val="88"/>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rsidP="00AD2BEF">
      <w:pPr>
        <w:pStyle w:val="Text"/>
        <w:numPr>
          <w:ilvl w:val="0"/>
          <w:numId w:val="88"/>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ViSOR where the case has a ViSOR record. Due regard should be given to ViSOR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77777777" w:rsidR="00385DAF" w:rsidRPr="005513E2" w:rsidRDefault="00385DAF" w:rsidP="004A2740">
      <w:pPr>
        <w:pStyle w:val="Text"/>
      </w:pPr>
      <w:r w:rsidRPr="005513E2">
        <w:t>6.34 The Police and Probation Service must enter all relevant cases on ViSOR. For more information see Chapter 8 - ViSOR. MAPPA Co-ordinator’s in each area must have access to ViSOR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t>6.35 Many MAPPA Category 2 Level 1 cases managed by the Probation Service will not have a ViSOR record. Therefore, the Probation Service must identify its MAPPA Category 2 Level 1 cases on nDelius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rsidP="00AD2BEF">
      <w:pPr>
        <w:pStyle w:val="Text"/>
        <w:numPr>
          <w:ilvl w:val="0"/>
          <w:numId w:val="89"/>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rsidP="00AD2BEF">
      <w:pPr>
        <w:pStyle w:val="Text"/>
        <w:numPr>
          <w:ilvl w:val="0"/>
          <w:numId w:val="89"/>
        </w:numPr>
        <w:spacing w:before="120" w:after="120"/>
        <w:ind w:left="714" w:hanging="357"/>
      </w:pPr>
      <w:r w:rsidRPr="005513E2">
        <w:t>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w:t>
      </w:r>
    </w:p>
    <w:p w14:paraId="3922860E" w14:textId="1B34AB7E" w:rsidR="00385DAF" w:rsidRPr="005513E2" w:rsidRDefault="00385DAF" w:rsidP="00AD2BEF">
      <w:pPr>
        <w:pStyle w:val="Text"/>
        <w:numPr>
          <w:ilvl w:val="0"/>
          <w:numId w:val="89"/>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rsidP="00AD2BEF">
      <w:pPr>
        <w:pStyle w:val="Text"/>
        <w:numPr>
          <w:ilvl w:val="0"/>
          <w:numId w:val="89"/>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as a result of Post Sentence Supervision.   </w:t>
      </w:r>
    </w:p>
    <w:p w14:paraId="7AE6D204" w14:textId="77777777" w:rsidR="00385DAF" w:rsidRPr="005513E2" w:rsidRDefault="00385DAF" w:rsidP="00175393">
      <w:pPr>
        <w:pStyle w:val="Text"/>
      </w:pPr>
      <w:r w:rsidRPr="005513E2">
        <w:t>6.39 All Category 1, 2 and 4 offenders managed at Level 2 or 3 who are coming to the end of their notification requirements or period of licence must be reviewed and considered for registration as a 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process, and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rsidP="00AD2BEF">
      <w:pPr>
        <w:pStyle w:val="ListParagraph"/>
        <w:numPr>
          <w:ilvl w:val="0"/>
          <w:numId w:val="116"/>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77777777"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7.3 Regular formal MAPPA meetings must be held for offenders managed at Level 2 or 3.  The lead agency may arrange professionals’ meetings for offenders managed at any level.  The MAPPA meeting may establish a core group for any offender managed at Level 2 or 3.  See Chapter 13a – MAPPA Meetings for more details of MAPPA meetings, professionals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Exceptionally, the risk level is lower but the case requires the active involvement and co-ordination of interventions from other agencies to manage the presenting risks of serious harm;</w:t>
      </w:r>
    </w:p>
    <w:p w14:paraId="70C7B8DF"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rsidP="00AD2BEF">
      <w:pPr>
        <w:pStyle w:val="ListParagraph"/>
        <w:numPr>
          <w:ilvl w:val="0"/>
          <w:numId w:val="117"/>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rsidP="00AD2BEF">
      <w:pPr>
        <w:pStyle w:val="NormalWeb"/>
        <w:numPr>
          <w:ilvl w:val="0"/>
          <w:numId w:val="12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rsidP="00AD2BEF">
      <w:pPr>
        <w:pStyle w:val="NormalWeb"/>
        <w:numPr>
          <w:ilvl w:val="0"/>
          <w:numId w:val="120"/>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Meet the criteria for Level 2 and require senior representation and oversight in order to maintain public confidence in the criminal justice system. This may be due to high levels of current national media scrutiny or public interest in the management of the case as a result of the nature of the offence or the identity of the offender or victim,</w:t>
      </w:r>
    </w:p>
    <w:p w14:paraId="7BFF3959" w14:textId="77777777" w:rsidR="005E2A8F" w:rsidRPr="003F7669" w:rsidRDefault="005E2A8F" w:rsidP="00AD2BEF">
      <w:pPr>
        <w:pStyle w:val="ListParagraph"/>
        <w:numPr>
          <w:ilvl w:val="0"/>
          <w:numId w:val="120"/>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rsidP="00AD2BEF">
      <w:pPr>
        <w:pStyle w:val="ListParagraph"/>
        <w:numPr>
          <w:ilvl w:val="0"/>
          <w:numId w:val="120"/>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up to date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For offenders who are in custody this must take place at least six months before release (or earlier if they are subject to early allocation under OMiC,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rsidP="00AD2BEF">
      <w:pPr>
        <w:pStyle w:val="ListParagraph"/>
        <w:numPr>
          <w:ilvl w:val="0"/>
          <w:numId w:val="118"/>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rsidP="00AD2BEF">
      <w:pPr>
        <w:pStyle w:val="ListParagraph"/>
        <w:numPr>
          <w:ilvl w:val="0"/>
          <w:numId w:val="122"/>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high risk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high risk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7.21 When an offender is released from custody on a life or an indeterminate public protection sentence, it is because the Parole Board has assessed that their risk is manageable in the community.  As with any offender who has spent a significant period of time in custody, they will need support to resettle into the community and it may be that they can be managed at Level 1. However, there are cases where the Parole Board releases an offender who requires management at MAPPA Level 2 or 3, including those with exceptional needs or complex risk factors.  Particular consideration should be given to referring a case to Level 2 or 3 where</w:t>
      </w:r>
    </w:p>
    <w:p w14:paraId="2CD7F09C"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release was not supported in parole reports,</w:t>
      </w:r>
    </w:p>
    <w:p w14:paraId="09227AF5" w14:textId="77777777" w:rsidR="005E2A8F" w:rsidRPr="00BC56B4" w:rsidRDefault="005E2A8F" w:rsidP="00AD2BEF">
      <w:pPr>
        <w:pStyle w:val="NormalWeb"/>
        <w:numPr>
          <w:ilvl w:val="0"/>
          <w:numId w:val="12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rsidP="00AD2BEF">
      <w:pPr>
        <w:pStyle w:val="NormalWeb"/>
        <w:numPr>
          <w:ilvl w:val="0"/>
          <w:numId w:val="121"/>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is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agency, and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7.24 It is essential that information-sharing takes place at all levels of MAPPA management.  ViSOR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take into account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before the 28 day Parole Board review</w:t>
      </w:r>
    </w:p>
    <w:p w14:paraId="0719A92F"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rsidP="00AD2BEF">
      <w:pPr>
        <w:pStyle w:val="ListParagraph"/>
        <w:numPr>
          <w:ilvl w:val="0"/>
          <w:numId w:val="119"/>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50" w14:textId="77777777" w:rsidR="00F2123B" w:rsidRDefault="00200CFB">
      <w:pPr>
        <w:pStyle w:val="Heading1"/>
        <w:pageBreakBefore/>
        <w:spacing w:line="280" w:lineRule="atLeast"/>
      </w:pPr>
      <w:r>
        <w:rPr>
          <w:bCs/>
          <w:sz w:val="36"/>
          <w:szCs w:val="36"/>
        </w:rPr>
        <w:t>8.</w:t>
      </w:r>
      <w:r>
        <w:rPr>
          <w:rFonts w:eastAsia="Arial"/>
          <w:bCs/>
          <w:sz w:val="36"/>
          <w:szCs w:val="36"/>
        </w:rPr>
        <w:t xml:space="preserve"> </w:t>
      </w:r>
      <w:r>
        <w:rPr>
          <w:bCs/>
          <w:sz w:val="36"/>
          <w:szCs w:val="36"/>
        </w:rPr>
        <w:t>ViSOR</w:t>
      </w:r>
    </w:p>
    <w:p w14:paraId="198A6B51" w14:textId="77777777" w:rsidR="00F2123B" w:rsidRDefault="00F2123B">
      <w:pPr>
        <w:pStyle w:val="Heading2"/>
        <w:spacing w:line="280" w:lineRule="atLeast"/>
        <w:jc w:val="left"/>
        <w:rPr>
          <w:sz w:val="20"/>
          <w:szCs w:val="20"/>
        </w:rPr>
      </w:pPr>
    </w:p>
    <w:p w14:paraId="198A6B52"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rPr>
          <w:rFonts w:ascii="Arial" w:hAnsi="Arial" w:cs="Arial"/>
          <w:b/>
          <w:sz w:val="28"/>
          <w:szCs w:val="28"/>
        </w:rPr>
      </w:pPr>
      <w:r>
        <w:rPr>
          <w:rFonts w:ascii="Arial" w:hAnsi="Arial" w:cs="Arial"/>
          <w:b/>
          <w:sz w:val="28"/>
          <w:szCs w:val="28"/>
        </w:rPr>
        <w:t>Introduction</w:t>
      </w:r>
    </w:p>
    <w:p w14:paraId="198A6B53" w14:textId="77777777" w:rsidR="00F2123B" w:rsidRDefault="00F2123B">
      <w:pPr>
        <w:spacing w:line="280" w:lineRule="atLeast"/>
        <w:rPr>
          <w:rFonts w:ascii="Arial" w:hAnsi="Arial" w:cs="Arial"/>
          <w:sz w:val="20"/>
          <w:szCs w:val="20"/>
        </w:rPr>
      </w:pPr>
    </w:p>
    <w:p w14:paraId="198A6B54" w14:textId="77777777" w:rsidR="00F2123B" w:rsidRDefault="00200CFB">
      <w:pPr>
        <w:spacing w:line="280" w:lineRule="atLeast"/>
      </w:pPr>
      <w:r>
        <w:rPr>
          <w:rFonts w:ascii="Arial" w:hAnsi="Arial" w:cs="Arial"/>
          <w:sz w:val="20"/>
          <w:szCs w:val="20"/>
        </w:rPr>
        <w:t>8.1</w:t>
      </w:r>
      <w:r>
        <w:rPr>
          <w:rFonts w:ascii="Arial" w:hAnsi="Arial" w:cs="Arial"/>
          <w:sz w:val="20"/>
          <w:szCs w:val="20"/>
        </w:rPr>
        <w:tab/>
        <w:t>This</w:t>
      </w:r>
      <w:r>
        <w:rPr>
          <w:rFonts w:ascii="Arial" w:eastAsia="Arial" w:hAnsi="Arial" w:cs="Arial"/>
          <w:sz w:val="20"/>
          <w:szCs w:val="20"/>
        </w:rPr>
        <w:t xml:space="preserve"> </w:t>
      </w:r>
      <w:r>
        <w:rPr>
          <w:rFonts w:ascii="Arial" w:hAnsi="Arial" w:cs="Arial"/>
          <w:sz w:val="20"/>
          <w:szCs w:val="20"/>
        </w:rPr>
        <w:t>section</w:t>
      </w:r>
      <w:r>
        <w:rPr>
          <w:rFonts w:ascii="Arial" w:eastAsia="Arial" w:hAnsi="Arial" w:cs="Arial"/>
          <w:sz w:val="20"/>
          <w:szCs w:val="20"/>
        </w:rPr>
        <w:t xml:space="preserve"> </w:t>
      </w:r>
      <w:r>
        <w:rPr>
          <w:rFonts w:ascii="Arial" w:hAnsi="Arial" w:cs="Arial"/>
          <w:sz w:val="20"/>
          <w:szCs w:val="20"/>
        </w:rPr>
        <w:t>explains</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operates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supports</w:t>
      </w:r>
      <w:r>
        <w:rPr>
          <w:rFonts w:ascii="Arial" w:eastAsia="Arial" w:hAnsi="Arial" w:cs="Arial"/>
          <w:sz w:val="20"/>
          <w:szCs w:val="20"/>
        </w:rPr>
        <w:t xml:space="preserve"> </w:t>
      </w:r>
      <w:r>
        <w:rPr>
          <w:rFonts w:ascii="Arial" w:hAnsi="Arial" w:cs="Arial"/>
          <w:sz w:val="20"/>
          <w:szCs w:val="20"/>
        </w:rPr>
        <w:t>MAPPA.</w:t>
      </w:r>
    </w:p>
    <w:p w14:paraId="198A6B55" w14:textId="77777777" w:rsidR="00F2123B" w:rsidRDefault="00F2123B">
      <w:pPr>
        <w:spacing w:line="280" w:lineRule="atLeast"/>
        <w:rPr>
          <w:rFonts w:ascii="Arial" w:hAnsi="Arial" w:cs="Arial"/>
          <w:sz w:val="20"/>
          <w:szCs w:val="20"/>
        </w:rPr>
      </w:pPr>
    </w:p>
    <w:p w14:paraId="198A6B56" w14:textId="708E0119" w:rsidR="00F2123B" w:rsidRDefault="00200CFB">
      <w:pPr>
        <w:spacing w:line="280" w:lineRule="atLeast"/>
      </w:pPr>
      <w:r>
        <w:rPr>
          <w:rFonts w:ascii="Arial" w:hAnsi="Arial" w:cs="Arial"/>
          <w:sz w:val="20"/>
          <w:szCs w:val="20"/>
        </w:rPr>
        <w:t>8.2</w:t>
      </w:r>
      <w:r>
        <w:rPr>
          <w:rFonts w:ascii="Arial" w:hAnsi="Arial" w:cs="Arial"/>
          <w:sz w:val="20"/>
          <w:szCs w:val="20"/>
        </w:rPr>
        <w:tab/>
        <w:t>ViSOR</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store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up-to-date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about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accessed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updated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(both</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estate)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sidR="007320EA">
        <w:rPr>
          <w:rFonts w:ascii="Arial" w:eastAsia="Arial" w:hAnsi="Arial" w:cs="Arial"/>
          <w:sz w:val="20"/>
          <w:szCs w:val="20"/>
        </w:rPr>
        <w:t xml:space="preserve">the </w:t>
      </w:r>
      <w:r>
        <w:rPr>
          <w:rFonts w:ascii="Arial" w:hAnsi="Arial" w:cs="Arial"/>
          <w:sz w:val="20"/>
          <w:szCs w:val="20"/>
        </w:rPr>
        <w:t xml:space="preserve">Probation </w:t>
      </w:r>
      <w:r w:rsidR="007320EA">
        <w:rPr>
          <w:rFonts w:ascii="Arial" w:hAnsi="Arial" w:cs="Arial"/>
          <w:sz w:val="20"/>
          <w:szCs w:val="20"/>
        </w:rPr>
        <w:t>Service</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operates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jurisdictions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potentially</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vital</w:t>
      </w:r>
      <w:r>
        <w:rPr>
          <w:rFonts w:ascii="Arial" w:eastAsia="Arial" w:hAnsi="Arial" w:cs="Arial"/>
          <w:sz w:val="20"/>
          <w:szCs w:val="20"/>
        </w:rPr>
        <w:t xml:space="preserve"> </w:t>
      </w:r>
      <w:r>
        <w:rPr>
          <w:rFonts w:ascii="Arial" w:hAnsi="Arial" w:cs="Arial"/>
          <w:sz w:val="20"/>
          <w:szCs w:val="20"/>
        </w:rPr>
        <w:t>component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cross-border</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discussions.</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forces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Scotland,</w:t>
      </w:r>
      <w:r>
        <w:rPr>
          <w:rFonts w:ascii="Arial" w:eastAsia="Arial" w:hAnsi="Arial" w:cs="Arial"/>
          <w:sz w:val="20"/>
          <w:szCs w:val="20"/>
        </w:rPr>
        <w:t xml:space="preserve"> </w:t>
      </w:r>
      <w:r>
        <w:rPr>
          <w:rFonts w:ascii="Arial" w:hAnsi="Arial" w:cs="Arial"/>
          <w:sz w:val="20"/>
          <w:szCs w:val="20"/>
        </w:rPr>
        <w:t>Jersey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Northern</w:t>
      </w:r>
      <w:r>
        <w:rPr>
          <w:rFonts w:ascii="Arial" w:eastAsia="Arial" w:hAnsi="Arial" w:cs="Arial"/>
          <w:sz w:val="20"/>
          <w:szCs w:val="20"/>
        </w:rPr>
        <w:t xml:space="preserve"> </w:t>
      </w:r>
      <w:r>
        <w:rPr>
          <w:rFonts w:ascii="Arial" w:hAnsi="Arial" w:cs="Arial"/>
          <w:sz w:val="20"/>
          <w:szCs w:val="20"/>
        </w:rPr>
        <w:t>Ireland,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Royal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well</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Scottish</w:t>
      </w:r>
      <w:r>
        <w:rPr>
          <w:rFonts w:ascii="Arial" w:eastAsia="Arial" w:hAnsi="Arial" w:cs="Arial"/>
          <w:sz w:val="20"/>
          <w:szCs w:val="20"/>
        </w:rPr>
        <w:t xml:space="preserve"> </w:t>
      </w:r>
      <w:r>
        <w:rPr>
          <w:rFonts w:ascii="Arial" w:hAnsi="Arial" w:cs="Arial"/>
          <w:sz w:val="20"/>
          <w:szCs w:val="20"/>
        </w:rPr>
        <w:t>prisons,</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bodies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Scottish</w:t>
      </w:r>
      <w:r>
        <w:rPr>
          <w:rFonts w:ascii="Arial" w:eastAsia="Arial" w:hAnsi="Arial" w:cs="Arial"/>
          <w:sz w:val="20"/>
          <w:szCs w:val="20"/>
        </w:rPr>
        <w:t xml:space="preserve"> </w:t>
      </w: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Social</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departments.</w:t>
      </w:r>
    </w:p>
    <w:p w14:paraId="198A6B57" w14:textId="77777777" w:rsidR="00F2123B" w:rsidRDefault="00F2123B">
      <w:pPr>
        <w:spacing w:line="280" w:lineRule="atLeast"/>
        <w:rPr>
          <w:rFonts w:ascii="Arial" w:hAnsi="Arial" w:cs="Arial"/>
          <w:sz w:val="20"/>
          <w:szCs w:val="20"/>
        </w:rPr>
      </w:pPr>
    </w:p>
    <w:p w14:paraId="198A6B58" w14:textId="77777777" w:rsidR="00F2123B" w:rsidRDefault="00200CFB">
      <w:pPr>
        <w:spacing w:line="280" w:lineRule="atLeast"/>
      </w:pPr>
      <w:r>
        <w:rPr>
          <w:rFonts w:ascii="Arial" w:hAnsi="Arial" w:cs="Arial"/>
          <w:sz w:val="20"/>
          <w:szCs w:val="20"/>
        </w:rPr>
        <w:t>8.3</w:t>
      </w:r>
      <w:r>
        <w:rPr>
          <w:rFonts w:ascii="Arial" w:hAnsi="Arial" w:cs="Arial"/>
          <w:sz w:val="20"/>
          <w:szCs w:val="20"/>
        </w:rPr>
        <w:tab/>
        <w:t>Cases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nominals.</w:t>
      </w:r>
      <w:r>
        <w:rPr>
          <w:rFonts w:ascii="Arial" w:eastAsia="Arial" w:hAnsi="Arial" w:cs="Arial"/>
          <w:sz w:val="20"/>
          <w:szCs w:val="20"/>
        </w:rPr>
        <w:t>”</w:t>
      </w:r>
    </w:p>
    <w:p w14:paraId="198A6B59" w14:textId="77777777" w:rsidR="00F2123B" w:rsidRDefault="00F2123B">
      <w:pPr>
        <w:spacing w:line="280" w:lineRule="atLeast"/>
        <w:rPr>
          <w:rFonts w:ascii="Arial" w:hAnsi="Arial" w:cs="Arial"/>
          <w:sz w:val="20"/>
          <w:szCs w:val="20"/>
        </w:rPr>
      </w:pPr>
    </w:p>
    <w:p w14:paraId="198A6B5A" w14:textId="77777777" w:rsidR="00F2123B" w:rsidRDefault="00200CFB">
      <w:pPr>
        <w:spacing w:line="280" w:lineRule="atLeast"/>
      </w:pPr>
      <w:r>
        <w:rPr>
          <w:rFonts w:ascii="Arial" w:hAnsi="Arial" w:cs="Arial"/>
          <w:sz w:val="20"/>
          <w:szCs w:val="20"/>
        </w:rPr>
        <w:t>8.4</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benefits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follows.</w:t>
      </w:r>
    </w:p>
    <w:p w14:paraId="198A6B5B" w14:textId="77777777" w:rsidR="00F2123B" w:rsidRDefault="00200CFB" w:rsidP="00AD2BEF">
      <w:pPr>
        <w:numPr>
          <w:ilvl w:val="0"/>
          <w:numId w:val="23"/>
        </w:numPr>
        <w:spacing w:before="240" w:line="280" w:lineRule="atLeast"/>
      </w:pP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secure</w:t>
      </w:r>
      <w:r>
        <w:rPr>
          <w:rFonts w:ascii="Arial" w:eastAsia="Arial" w:hAnsi="Arial" w:cs="Arial"/>
          <w:sz w:val="20"/>
          <w:szCs w:val="20"/>
        </w:rPr>
        <w:t xml:space="preserve"> </w:t>
      </w:r>
      <w:r>
        <w:rPr>
          <w:rFonts w:ascii="Arial" w:hAnsi="Arial" w:cs="Arial"/>
          <w:sz w:val="20"/>
          <w:szCs w:val="20"/>
        </w:rPr>
        <w:t>database,</w:t>
      </w:r>
      <w:r>
        <w:rPr>
          <w:rFonts w:ascii="Arial" w:eastAsia="Arial" w:hAnsi="Arial" w:cs="Arial"/>
          <w:sz w:val="20"/>
          <w:szCs w:val="20"/>
        </w:rPr>
        <w:t xml:space="preserve"> </w:t>
      </w:r>
      <w:r>
        <w:rPr>
          <w:rFonts w:ascii="Arial" w:hAnsi="Arial" w:cs="Arial"/>
          <w:sz w:val="20"/>
          <w:szCs w:val="20"/>
        </w:rPr>
        <w:t>graded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CONFIDENTIAL,</w:t>
      </w:r>
      <w:r>
        <w:rPr>
          <w:rFonts w:ascii="Arial" w:eastAsia="Arial" w:hAnsi="Arial" w:cs="Arial"/>
          <w:sz w:val="20"/>
          <w:szCs w:val="20"/>
        </w:rPr>
        <w:t xml:space="preserve"> </w:t>
      </w:r>
      <w:r>
        <w:rPr>
          <w:rFonts w:ascii="Arial" w:hAnsi="Arial" w:cs="Arial"/>
          <w:sz w:val="20"/>
          <w:szCs w:val="20"/>
        </w:rPr>
        <w:t>enabling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prompt</w:t>
      </w:r>
      <w:r>
        <w:rPr>
          <w:rFonts w:ascii="Arial" w:eastAsia="Arial" w:hAnsi="Arial" w:cs="Arial"/>
          <w:sz w:val="20"/>
          <w:szCs w:val="20"/>
        </w:rPr>
        <w:t xml:space="preserve"> </w:t>
      </w:r>
      <w:r>
        <w:rPr>
          <w:rFonts w:ascii="Arial" w:hAnsi="Arial" w:cs="Arial"/>
          <w:sz w:val="20"/>
          <w:szCs w:val="20"/>
        </w:rPr>
        <w:t>sharing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deemed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pose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public.</w:t>
      </w:r>
    </w:p>
    <w:p w14:paraId="198A6B5C" w14:textId="77777777" w:rsidR="00F2123B" w:rsidRDefault="00200CFB" w:rsidP="00AD2BEF">
      <w:pPr>
        <w:numPr>
          <w:ilvl w:val="0"/>
          <w:numId w:val="23"/>
        </w:numPr>
        <w:spacing w:before="240" w:line="280" w:lineRule="atLeast"/>
      </w:pP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improves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capacity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share</w:t>
      </w:r>
      <w:r>
        <w:rPr>
          <w:rFonts w:ascii="Arial" w:eastAsia="Arial" w:hAnsi="Arial" w:cs="Arial"/>
          <w:sz w:val="20"/>
          <w:szCs w:val="20"/>
        </w:rPr>
        <w:t xml:space="preserve"> </w:t>
      </w:r>
      <w:r>
        <w:rPr>
          <w:rFonts w:ascii="Arial" w:hAnsi="Arial" w:cs="Arial"/>
          <w:sz w:val="20"/>
          <w:szCs w:val="20"/>
        </w:rPr>
        <w:t>intelligence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improves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safe</w:t>
      </w:r>
      <w:r>
        <w:rPr>
          <w:rFonts w:ascii="Arial" w:eastAsia="Arial" w:hAnsi="Arial" w:cs="Arial"/>
          <w:sz w:val="20"/>
          <w:szCs w:val="20"/>
        </w:rPr>
        <w:t xml:space="preserve"> </w:t>
      </w:r>
      <w:r>
        <w:rPr>
          <w:rFonts w:ascii="Arial" w:hAnsi="Arial" w:cs="Arial"/>
          <w:sz w:val="20"/>
          <w:szCs w:val="20"/>
        </w:rPr>
        <w:t>transfer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move</w:t>
      </w:r>
      <w:r>
        <w:rPr>
          <w:rFonts w:ascii="Arial" w:eastAsia="Arial" w:hAnsi="Arial" w:cs="Arial"/>
          <w:sz w:val="20"/>
          <w:szCs w:val="20"/>
        </w:rPr>
        <w:t xml:space="preserve"> </w:t>
      </w:r>
      <w:r>
        <w:rPr>
          <w:rFonts w:ascii="Arial" w:hAnsi="Arial" w:cs="Arial"/>
          <w:sz w:val="20"/>
          <w:szCs w:val="20"/>
        </w:rPr>
        <w:t>between</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enhances</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measures.</w:t>
      </w:r>
      <w:r>
        <w:rPr>
          <w:rFonts w:ascii="Arial" w:eastAsia="Arial" w:hAnsi="Arial" w:cs="Arial"/>
          <w:sz w:val="20"/>
          <w:szCs w:val="20"/>
        </w:rPr>
        <w:t xml:space="preserve"> </w:t>
      </w:r>
    </w:p>
    <w:p w14:paraId="198A6B5D" w14:textId="77777777" w:rsidR="00F2123B" w:rsidRDefault="00200CFB" w:rsidP="00AD2BEF">
      <w:pPr>
        <w:numPr>
          <w:ilvl w:val="0"/>
          <w:numId w:val="23"/>
        </w:numPr>
        <w:spacing w:before="240" w:line="280" w:lineRule="atLeast"/>
      </w:pP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addition,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provides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opportunity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some</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consistent</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SMB</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analysis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improved</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practices.</w:t>
      </w:r>
      <w:r>
        <w:rPr>
          <w:rFonts w:ascii="Arial" w:eastAsia="Arial" w:hAnsi="Arial" w:cs="Arial"/>
          <w:sz w:val="20"/>
          <w:szCs w:val="20"/>
        </w:rPr>
        <w:t xml:space="preserve"> </w:t>
      </w:r>
    </w:p>
    <w:p w14:paraId="198A6B5E" w14:textId="77777777" w:rsidR="00F2123B" w:rsidRDefault="00200CFB" w:rsidP="00AD2BEF">
      <w:pPr>
        <w:numPr>
          <w:ilvl w:val="0"/>
          <w:numId w:val="23"/>
        </w:numPr>
        <w:spacing w:before="240" w:line="280" w:lineRule="atLeast"/>
      </w:pP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annual</w:t>
      </w:r>
      <w:r>
        <w:rPr>
          <w:rFonts w:ascii="Arial" w:eastAsia="Arial" w:hAnsi="Arial" w:cs="Arial"/>
          <w:sz w:val="20"/>
          <w:szCs w:val="20"/>
        </w:rPr>
        <w:t xml:space="preserve"> </w:t>
      </w:r>
      <w:r>
        <w:rPr>
          <w:rFonts w:ascii="Arial" w:hAnsi="Arial" w:cs="Arial"/>
          <w:sz w:val="20"/>
          <w:szCs w:val="20"/>
        </w:rPr>
        <w:t>reports.</w:t>
      </w:r>
      <w:r>
        <w:rPr>
          <w:rFonts w:ascii="Arial" w:eastAsia="Arial" w:hAnsi="Arial" w:cs="Arial"/>
          <w:sz w:val="20"/>
          <w:szCs w:val="20"/>
        </w:rPr>
        <w:t xml:space="preserve"> </w:t>
      </w:r>
    </w:p>
    <w:p w14:paraId="198A6B5F" w14:textId="77777777" w:rsidR="00F2123B" w:rsidRDefault="00200CFB" w:rsidP="00AD2BEF">
      <w:pPr>
        <w:numPr>
          <w:ilvl w:val="0"/>
          <w:numId w:val="23"/>
        </w:numPr>
        <w:spacing w:before="240" w:line="280" w:lineRule="atLeast"/>
      </w:pP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acts</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central</w:t>
      </w:r>
      <w:r>
        <w:rPr>
          <w:rFonts w:ascii="Arial" w:eastAsia="Arial" w:hAnsi="Arial" w:cs="Arial"/>
          <w:sz w:val="20"/>
          <w:szCs w:val="20"/>
        </w:rPr>
        <w:t xml:space="preserve"> </w:t>
      </w:r>
      <w:r>
        <w:rPr>
          <w:rFonts w:ascii="Arial" w:hAnsi="Arial" w:cs="Arial"/>
          <w:sz w:val="20"/>
          <w:szCs w:val="20"/>
        </w:rPr>
        <w:t>store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minutes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 meetings.</w:t>
      </w:r>
    </w:p>
    <w:p w14:paraId="198A6B60" w14:textId="77777777" w:rsidR="00F2123B" w:rsidRDefault="00200CFB" w:rsidP="00AD2BEF">
      <w:pPr>
        <w:numPr>
          <w:ilvl w:val="0"/>
          <w:numId w:val="23"/>
        </w:numPr>
        <w:spacing w:before="240" w:line="280" w:lineRule="atLeast"/>
      </w:pP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functionality</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allows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recording</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requirements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both</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Terrorist</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Part</w:t>
      </w:r>
      <w:r>
        <w:rPr>
          <w:rFonts w:ascii="Arial" w:eastAsia="Arial" w:hAnsi="Arial" w:cs="Arial"/>
          <w:sz w:val="20"/>
          <w:szCs w:val="20"/>
        </w:rPr>
        <w:t xml:space="preserve"> </w:t>
      </w:r>
      <w:r>
        <w:rPr>
          <w:rFonts w:ascii="Arial" w:hAnsi="Arial" w:cs="Arial"/>
          <w:sz w:val="20"/>
          <w:szCs w:val="20"/>
        </w:rPr>
        <w:t>4</w:t>
      </w:r>
      <w:r>
        <w:rPr>
          <w:rFonts w:ascii="Arial" w:eastAsia="Arial" w:hAnsi="Arial" w:cs="Arial"/>
          <w:sz w:val="20"/>
          <w:szCs w:val="20"/>
        </w:rPr>
        <w:t xml:space="preserve"> </w:t>
      </w:r>
      <w:r>
        <w:rPr>
          <w:rFonts w:ascii="Arial" w:hAnsi="Arial" w:cs="Arial"/>
          <w:sz w:val="20"/>
          <w:szCs w:val="20"/>
        </w:rPr>
        <w:t>Notification</w:t>
      </w:r>
      <w:r>
        <w:rPr>
          <w:rFonts w:ascii="Arial" w:eastAsia="Arial" w:hAnsi="Arial" w:cs="Arial"/>
          <w:sz w:val="20"/>
          <w:szCs w:val="20"/>
        </w:rPr>
        <w:t xml:space="preserve"> </w:t>
      </w:r>
      <w:r>
        <w:rPr>
          <w:rFonts w:ascii="Arial" w:hAnsi="Arial" w:cs="Arial"/>
          <w:sz w:val="20"/>
          <w:szCs w:val="20"/>
        </w:rPr>
        <w:t>Requirements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Counter-Terrorism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p w14:paraId="198A6B61" w14:textId="77777777" w:rsidR="00F2123B" w:rsidRDefault="00F2123B">
      <w:pPr>
        <w:spacing w:line="280" w:lineRule="atLeast"/>
        <w:rPr>
          <w:rFonts w:ascii="Arial" w:hAnsi="Arial" w:cs="Arial"/>
          <w:sz w:val="20"/>
          <w:szCs w:val="20"/>
        </w:rPr>
      </w:pPr>
    </w:p>
    <w:p w14:paraId="198A6B62"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SMBs</w:t>
      </w:r>
      <w:r>
        <w:rPr>
          <w:rFonts w:eastAsia="Arial"/>
        </w:rPr>
        <w:t xml:space="preserve"> </w:t>
      </w:r>
      <w:r>
        <w:t>must</w:t>
      </w:r>
      <w:r>
        <w:rPr>
          <w:rFonts w:eastAsia="Arial"/>
        </w:rPr>
        <w:t xml:space="preserve"> </w:t>
      </w:r>
      <w:r>
        <w:t>ensure</w:t>
      </w:r>
      <w:r>
        <w:rPr>
          <w:rFonts w:eastAsia="Arial"/>
        </w:rPr>
        <w:t xml:space="preserve"> </w:t>
      </w:r>
      <w:r>
        <w:t>that</w:t>
      </w:r>
      <w:r>
        <w:rPr>
          <w:rFonts w:eastAsia="Arial"/>
        </w:rPr>
        <w:t xml:space="preserve"> </w:t>
      </w:r>
      <w:r>
        <w:t>there</w:t>
      </w:r>
      <w:r>
        <w:rPr>
          <w:rFonts w:eastAsia="Arial"/>
        </w:rPr>
        <w:t xml:space="preserve"> </w:t>
      </w:r>
      <w:r>
        <w:t>is</w:t>
      </w:r>
      <w:r>
        <w:rPr>
          <w:rFonts w:eastAsia="Arial"/>
        </w:rPr>
        <w:t xml:space="preserve"> </w:t>
      </w:r>
      <w:r>
        <w:t>an</w:t>
      </w:r>
      <w:r>
        <w:rPr>
          <w:rFonts w:eastAsia="Arial"/>
        </w:rPr>
        <w:t xml:space="preserve"> </w:t>
      </w:r>
      <w:r>
        <w:t>objective</w:t>
      </w:r>
      <w:r>
        <w:rPr>
          <w:rFonts w:eastAsia="Arial"/>
        </w:rPr>
        <w:t xml:space="preserve"> </w:t>
      </w:r>
      <w:r>
        <w:t>regarding</w:t>
      </w:r>
      <w:r>
        <w:rPr>
          <w:rFonts w:eastAsia="Arial"/>
        </w:rPr>
        <w:t xml:space="preserve"> </w:t>
      </w:r>
      <w:r>
        <w:t>the</w:t>
      </w:r>
      <w:r>
        <w:rPr>
          <w:rFonts w:eastAsia="Arial"/>
        </w:rPr>
        <w:t xml:space="preserve"> </w:t>
      </w:r>
      <w:r>
        <w:t>integrated</w:t>
      </w:r>
      <w:r>
        <w:rPr>
          <w:rFonts w:eastAsia="Arial"/>
        </w:rPr>
        <w:t xml:space="preserve"> </w:t>
      </w:r>
      <w:r>
        <w:t>and</w:t>
      </w:r>
      <w:r>
        <w:rPr>
          <w:rFonts w:eastAsia="Arial"/>
        </w:rPr>
        <w:t xml:space="preserve"> </w:t>
      </w:r>
      <w:r>
        <w:t>cohesive</w:t>
      </w:r>
      <w:r>
        <w:rPr>
          <w:rFonts w:eastAsia="Arial"/>
        </w:rPr>
        <w:t xml:space="preserve"> </w:t>
      </w:r>
      <w:r>
        <w:t>usage</w:t>
      </w:r>
      <w:r>
        <w:rPr>
          <w:rFonts w:eastAsia="Arial"/>
        </w:rPr>
        <w:t xml:space="preserve"> </w:t>
      </w:r>
      <w:r>
        <w:t>of</w:t>
      </w:r>
      <w:r>
        <w:rPr>
          <w:rFonts w:eastAsia="Arial"/>
        </w:rPr>
        <w:t xml:space="preserve"> </w:t>
      </w:r>
      <w:r>
        <w:t>ViSOR</w:t>
      </w:r>
      <w:r>
        <w:rPr>
          <w:rFonts w:eastAsia="Arial"/>
        </w:rPr>
        <w:t xml:space="preserve"> </w:t>
      </w:r>
      <w:r>
        <w:t>by</w:t>
      </w:r>
      <w:r>
        <w:rPr>
          <w:rFonts w:eastAsia="Arial"/>
        </w:rPr>
        <w:t xml:space="preserve"> </w:t>
      </w:r>
      <w:r>
        <w:t>the</w:t>
      </w:r>
      <w:r>
        <w:rPr>
          <w:rFonts w:eastAsia="Arial"/>
        </w:rPr>
        <w:t xml:space="preserve"> </w:t>
      </w:r>
      <w:r>
        <w:t>Responsible Authority</w:t>
      </w:r>
      <w:r>
        <w:rPr>
          <w:rFonts w:eastAsia="Arial"/>
        </w:rPr>
        <w:t xml:space="preserve"> </w:t>
      </w:r>
      <w:r>
        <w:t>agencies</w:t>
      </w:r>
      <w:r>
        <w:rPr>
          <w:rFonts w:eastAsia="Arial"/>
        </w:rPr>
        <w:t xml:space="preserve"> </w:t>
      </w:r>
      <w:r>
        <w:t>in</w:t>
      </w:r>
      <w:r>
        <w:rPr>
          <w:rFonts w:eastAsia="Arial"/>
        </w:rPr>
        <w:t xml:space="preserve"> </w:t>
      </w:r>
      <w:r>
        <w:t>their</w:t>
      </w:r>
      <w:r>
        <w:rPr>
          <w:rFonts w:eastAsia="Arial"/>
        </w:rPr>
        <w:t xml:space="preserve"> </w:t>
      </w:r>
      <w:r>
        <w:t>MAPPA</w:t>
      </w:r>
      <w:r>
        <w:rPr>
          <w:rFonts w:eastAsia="Arial"/>
        </w:rPr>
        <w:t xml:space="preserve"> </w:t>
      </w:r>
      <w:r>
        <w:t>Business</w:t>
      </w:r>
      <w:r>
        <w:rPr>
          <w:rFonts w:eastAsia="Arial"/>
        </w:rPr>
        <w:t xml:space="preserve"> </w:t>
      </w:r>
      <w:r>
        <w:t>Plan</w:t>
      </w:r>
      <w:r>
        <w:rPr>
          <w:rFonts w:eastAsia="Arial"/>
        </w:rPr>
        <w:t xml:space="preserve"> </w:t>
      </w:r>
    </w:p>
    <w:p w14:paraId="198A6B63" w14:textId="77777777" w:rsidR="00F2123B" w:rsidRDefault="00F2123B">
      <w:pPr>
        <w:spacing w:line="280" w:lineRule="atLeast"/>
        <w:rPr>
          <w:rFonts w:ascii="Arial" w:hAnsi="Arial" w:cs="Arial"/>
          <w:sz w:val="20"/>
          <w:szCs w:val="20"/>
        </w:rPr>
      </w:pPr>
    </w:p>
    <w:p w14:paraId="198A6B64" w14:textId="77777777" w:rsidR="00F2123B" w:rsidRDefault="00200CFB">
      <w:pPr>
        <w:spacing w:line="280" w:lineRule="atLeast"/>
      </w:pPr>
      <w:r>
        <w:rPr>
          <w:rFonts w:ascii="Arial" w:hAnsi="Arial" w:cs="Arial"/>
          <w:sz w:val="20"/>
          <w:szCs w:val="20"/>
        </w:rPr>
        <w:t>8.5</w:t>
      </w:r>
      <w:r>
        <w:rPr>
          <w:rFonts w:ascii="Arial" w:hAnsi="Arial" w:cs="Arial"/>
          <w:sz w:val="20"/>
          <w:szCs w:val="20"/>
        </w:rPr>
        <w:tab/>
        <w:t>ViSOR</w:t>
      </w:r>
      <w:r>
        <w:rPr>
          <w:rFonts w:ascii="Arial" w:eastAsia="Arial" w:hAnsi="Arial" w:cs="Arial"/>
          <w:sz w:val="20"/>
          <w:szCs w:val="20"/>
        </w:rPr>
        <w:t xml:space="preserve"> </w:t>
      </w:r>
      <w:r>
        <w:rPr>
          <w:rFonts w:ascii="Arial" w:hAnsi="Arial" w:cs="Arial"/>
          <w:sz w:val="20"/>
          <w:szCs w:val="20"/>
        </w:rPr>
        <w:t>usage</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routine</w:t>
      </w:r>
      <w:r>
        <w:rPr>
          <w:rFonts w:ascii="Arial" w:eastAsia="Arial" w:hAnsi="Arial" w:cs="Arial"/>
          <w:sz w:val="20"/>
          <w:szCs w:val="20"/>
        </w:rPr>
        <w:t xml:space="preserve"> </w:t>
      </w:r>
      <w:r>
        <w:rPr>
          <w:rFonts w:ascii="Arial" w:hAnsi="Arial" w:cs="Arial"/>
          <w:sz w:val="20"/>
          <w:szCs w:val="20"/>
        </w:rPr>
        <w:t>topic</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discussion,</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action</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meetings.</w:t>
      </w:r>
    </w:p>
    <w:p w14:paraId="198A6B6B" w14:textId="77777777" w:rsidR="00F2123B" w:rsidRDefault="00F2123B">
      <w:pPr>
        <w:spacing w:line="280" w:lineRule="atLeast"/>
        <w:rPr>
          <w:rFonts w:ascii="Arial" w:hAnsi="Arial" w:cs="Arial"/>
          <w:sz w:val="20"/>
          <w:szCs w:val="20"/>
        </w:rPr>
      </w:pPr>
    </w:p>
    <w:p w14:paraId="198A6B6C"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Handling</w:t>
      </w:r>
      <w:r>
        <w:rPr>
          <w:rFonts w:ascii="Arial" w:eastAsia="Arial" w:hAnsi="Arial" w:cs="Arial"/>
          <w:b/>
          <w:sz w:val="28"/>
          <w:szCs w:val="28"/>
        </w:rPr>
        <w:t xml:space="preserve"> </w:t>
      </w:r>
      <w:r>
        <w:rPr>
          <w:rFonts w:ascii="Arial" w:hAnsi="Arial" w:cs="Arial"/>
          <w:b/>
          <w:sz w:val="28"/>
          <w:szCs w:val="28"/>
        </w:rPr>
        <w:t>ViSOR</w:t>
      </w:r>
      <w:r>
        <w:rPr>
          <w:rFonts w:ascii="Arial" w:eastAsia="Arial" w:hAnsi="Arial" w:cs="Arial"/>
          <w:b/>
          <w:sz w:val="28"/>
          <w:szCs w:val="28"/>
        </w:rPr>
        <w:t xml:space="preserve"> </w:t>
      </w:r>
      <w:r>
        <w:rPr>
          <w:rFonts w:ascii="Arial" w:hAnsi="Arial" w:cs="Arial"/>
          <w:b/>
          <w:sz w:val="28"/>
          <w:szCs w:val="28"/>
        </w:rPr>
        <w:t>Data</w:t>
      </w:r>
    </w:p>
    <w:p w14:paraId="198A6B6D" w14:textId="77777777" w:rsidR="00F2123B" w:rsidRDefault="00F2123B">
      <w:pPr>
        <w:spacing w:line="280" w:lineRule="atLeast"/>
        <w:rPr>
          <w:rFonts w:ascii="Arial" w:hAnsi="Arial" w:cs="Arial"/>
          <w:sz w:val="20"/>
          <w:szCs w:val="20"/>
        </w:rPr>
      </w:pPr>
    </w:p>
    <w:p w14:paraId="198A6B6E"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All</w:t>
      </w:r>
      <w:r>
        <w:rPr>
          <w:rFonts w:eastAsia="Arial"/>
        </w:rPr>
        <w:t xml:space="preserve"> </w:t>
      </w:r>
      <w:r>
        <w:t>information</w:t>
      </w:r>
      <w:r>
        <w:rPr>
          <w:rFonts w:eastAsia="Arial"/>
        </w:rPr>
        <w:t xml:space="preserve"> </w:t>
      </w:r>
      <w:r>
        <w:t>held</w:t>
      </w:r>
      <w:r>
        <w:rPr>
          <w:rFonts w:eastAsia="Arial"/>
        </w:rPr>
        <w:t xml:space="preserve"> </w:t>
      </w:r>
      <w:r>
        <w:t>on</w:t>
      </w:r>
      <w:r>
        <w:rPr>
          <w:rFonts w:eastAsia="Arial"/>
        </w:rPr>
        <w:t xml:space="preserve"> </w:t>
      </w:r>
      <w:r>
        <w:t>ViSOR</w:t>
      </w:r>
      <w:r>
        <w:rPr>
          <w:rFonts w:eastAsia="Arial"/>
        </w:rPr>
        <w:t xml:space="preserve"> </w:t>
      </w:r>
      <w:r>
        <w:t>should</w:t>
      </w:r>
      <w:r>
        <w:rPr>
          <w:rFonts w:eastAsia="Arial"/>
        </w:rPr>
        <w:t xml:space="preserve"> </w:t>
      </w:r>
      <w:r>
        <w:t>be</w:t>
      </w:r>
      <w:r>
        <w:rPr>
          <w:rFonts w:eastAsia="Arial"/>
        </w:rPr>
        <w:t xml:space="preserve"> </w:t>
      </w:r>
      <w:r>
        <w:t>graded</w:t>
      </w:r>
      <w:r>
        <w:rPr>
          <w:rFonts w:eastAsia="Arial"/>
        </w:rPr>
        <w:t xml:space="preserve"> </w:t>
      </w:r>
      <w:r>
        <w:t>as</w:t>
      </w:r>
      <w:r>
        <w:rPr>
          <w:rFonts w:eastAsia="Arial"/>
        </w:rPr>
        <w:t xml:space="preserve"> </w:t>
      </w:r>
      <w:r>
        <w:t>CONFIDENTIAL</w:t>
      </w:r>
    </w:p>
    <w:p w14:paraId="198A6B6F" w14:textId="77777777" w:rsidR="00F2123B" w:rsidRDefault="00F2123B">
      <w:pPr>
        <w:spacing w:line="280" w:lineRule="atLeast"/>
        <w:rPr>
          <w:rFonts w:ascii="Arial" w:hAnsi="Arial" w:cs="Arial"/>
          <w:sz w:val="20"/>
          <w:szCs w:val="20"/>
        </w:rPr>
      </w:pPr>
    </w:p>
    <w:p w14:paraId="198A6B70" w14:textId="77777777" w:rsidR="00F2123B" w:rsidRDefault="00200CFB">
      <w:pPr>
        <w:spacing w:line="280" w:lineRule="atLeast"/>
      </w:pPr>
      <w:r>
        <w:rPr>
          <w:rFonts w:ascii="Arial" w:hAnsi="Arial" w:cs="Arial"/>
          <w:sz w:val="20"/>
          <w:szCs w:val="20"/>
        </w:rPr>
        <w:t>8.6</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collective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held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classified</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GPMS</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CONFIDENTIAL.</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classified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RESTRICTED.</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classification</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certain</w:t>
      </w:r>
      <w:r>
        <w:rPr>
          <w:rFonts w:ascii="Arial" w:eastAsia="Arial" w:hAnsi="Arial" w:cs="Arial"/>
          <w:sz w:val="20"/>
          <w:szCs w:val="20"/>
        </w:rPr>
        <w:t xml:space="preserve"> </w:t>
      </w:r>
      <w:r>
        <w:rPr>
          <w:rFonts w:ascii="Arial" w:hAnsi="Arial" w:cs="Arial"/>
          <w:sz w:val="20"/>
          <w:szCs w:val="20"/>
        </w:rPr>
        <w:t>security</w:t>
      </w:r>
      <w:r>
        <w:rPr>
          <w:rFonts w:ascii="Arial" w:eastAsia="Arial" w:hAnsi="Arial" w:cs="Arial"/>
          <w:sz w:val="20"/>
          <w:szCs w:val="20"/>
        </w:rPr>
        <w:t xml:space="preserve"> </w:t>
      </w:r>
      <w:r>
        <w:rPr>
          <w:rFonts w:ascii="Arial" w:hAnsi="Arial" w:cs="Arial"/>
          <w:sz w:val="20"/>
          <w:szCs w:val="20"/>
        </w:rPr>
        <w:t>measures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implemented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users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adhere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them.</w:t>
      </w:r>
      <w:r>
        <w:rPr>
          <w:rFonts w:ascii="Arial" w:eastAsia="Arial" w:hAnsi="Arial" w:cs="Arial"/>
          <w:sz w:val="20"/>
          <w:szCs w:val="20"/>
        </w:rPr>
        <w:t xml:space="preserve"> </w:t>
      </w:r>
    </w:p>
    <w:p w14:paraId="198A6B71" w14:textId="77777777" w:rsidR="00F2123B" w:rsidRDefault="00F2123B">
      <w:pPr>
        <w:spacing w:line="280" w:lineRule="atLeast"/>
        <w:rPr>
          <w:rFonts w:ascii="Arial" w:hAnsi="Arial" w:cs="Arial"/>
          <w:sz w:val="20"/>
          <w:szCs w:val="20"/>
        </w:rPr>
      </w:pPr>
    </w:p>
    <w:p w14:paraId="198A6B72" w14:textId="77777777" w:rsidR="00F2123B" w:rsidRDefault="00200CFB">
      <w:pPr>
        <w:spacing w:line="280" w:lineRule="atLeast"/>
      </w:pPr>
      <w:r>
        <w:rPr>
          <w:rFonts w:ascii="Arial" w:hAnsi="Arial" w:cs="Arial"/>
          <w:sz w:val="20"/>
          <w:szCs w:val="20"/>
        </w:rPr>
        <w:t>8.7</w:t>
      </w:r>
      <w:r>
        <w:rPr>
          <w:rFonts w:ascii="Arial" w:hAnsi="Arial" w:cs="Arial"/>
          <w:sz w:val="20"/>
          <w:szCs w:val="20"/>
        </w:rPr>
        <w:tab/>
        <w:t>As</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CONFIDENTIAL</w:t>
      </w:r>
      <w:r>
        <w:rPr>
          <w:rFonts w:ascii="Arial" w:eastAsia="Arial" w:hAnsi="Arial" w:cs="Arial"/>
          <w:sz w:val="20"/>
          <w:szCs w:val="20"/>
        </w:rPr>
        <w:t xml:space="preserve"> </w:t>
      </w:r>
      <w:r>
        <w:rPr>
          <w:rFonts w:ascii="Arial" w:hAnsi="Arial" w:cs="Arial"/>
          <w:sz w:val="20"/>
          <w:szCs w:val="20"/>
        </w:rPr>
        <w:t>application,</w:t>
      </w:r>
      <w:r>
        <w:rPr>
          <w:rFonts w:ascii="Arial" w:eastAsia="Arial" w:hAnsi="Arial" w:cs="Arial"/>
          <w:sz w:val="20"/>
          <w:szCs w:val="20"/>
        </w:rPr>
        <w:t xml:space="preserve"> </w:t>
      </w:r>
      <w:r>
        <w:rPr>
          <w:rFonts w:ascii="Arial" w:hAnsi="Arial" w:cs="Arial"/>
          <w:sz w:val="20"/>
          <w:szCs w:val="20"/>
        </w:rPr>
        <w:t>requests</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1998</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contained</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Access</w:t>
      </w:r>
      <w:r>
        <w:rPr>
          <w:rFonts w:ascii="Arial" w:eastAsia="Arial" w:hAnsi="Arial" w:cs="Arial"/>
          <w:sz w:val="20"/>
          <w:szCs w:val="20"/>
        </w:rPr>
        <w:t xml:space="preserve"> </w:t>
      </w:r>
      <w:r>
        <w:rPr>
          <w:rFonts w:ascii="Arial" w:hAnsi="Arial" w:cs="Arial"/>
          <w:sz w:val="20"/>
          <w:szCs w:val="20"/>
        </w:rPr>
        <w:t>Requests,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probably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denied,</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still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considered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case-by-case</w:t>
      </w:r>
      <w:r>
        <w:rPr>
          <w:rFonts w:ascii="Arial" w:eastAsia="Arial" w:hAnsi="Arial" w:cs="Arial"/>
          <w:sz w:val="20"/>
          <w:szCs w:val="20"/>
        </w:rPr>
        <w:t xml:space="preserve"> </w:t>
      </w:r>
      <w:r>
        <w:rPr>
          <w:rFonts w:ascii="Arial" w:hAnsi="Arial" w:cs="Arial"/>
          <w:sz w:val="20"/>
          <w:szCs w:val="20"/>
        </w:rPr>
        <w:t>basis.</w:t>
      </w:r>
      <w:r>
        <w:rPr>
          <w:rFonts w:ascii="Arial" w:eastAsia="Arial" w:hAnsi="Arial" w:cs="Arial"/>
          <w:sz w:val="20"/>
          <w:szCs w:val="20"/>
        </w:rPr>
        <w:t xml:space="preserve"> </w:t>
      </w:r>
    </w:p>
    <w:p w14:paraId="198A6B73" w14:textId="77777777" w:rsidR="00F2123B" w:rsidRDefault="00F2123B">
      <w:pPr>
        <w:spacing w:line="280" w:lineRule="atLeast"/>
        <w:rPr>
          <w:rFonts w:ascii="Arial" w:hAnsi="Arial" w:cs="Arial"/>
          <w:sz w:val="20"/>
          <w:szCs w:val="20"/>
        </w:rPr>
      </w:pPr>
    </w:p>
    <w:p w14:paraId="198A6B74" w14:textId="55C7F80A" w:rsidR="00F2123B" w:rsidRDefault="00200CFB">
      <w:pPr>
        <w:spacing w:line="280" w:lineRule="atLeast"/>
      </w:pPr>
      <w:r>
        <w:rPr>
          <w:rFonts w:ascii="Arial" w:hAnsi="Arial" w:cs="Arial"/>
          <w:sz w:val="20"/>
          <w:szCs w:val="20"/>
        </w:rPr>
        <w:t>8.8</w:t>
      </w:r>
      <w:r>
        <w:rPr>
          <w:rFonts w:ascii="Arial" w:hAnsi="Arial" w:cs="Arial"/>
          <w:sz w:val="20"/>
          <w:szCs w:val="20"/>
        </w:rPr>
        <w:tab/>
        <w:t>Similarly,</w:t>
      </w:r>
      <w:r>
        <w:rPr>
          <w:rFonts w:ascii="Arial" w:eastAsia="Arial" w:hAnsi="Arial" w:cs="Arial"/>
          <w:sz w:val="20"/>
          <w:szCs w:val="20"/>
        </w:rPr>
        <w:t xml:space="preserve"> </w:t>
      </w:r>
      <w:r>
        <w:rPr>
          <w:rFonts w:ascii="Arial" w:hAnsi="Arial" w:cs="Arial"/>
          <w:sz w:val="20"/>
          <w:szCs w:val="20"/>
        </w:rPr>
        <w:t>requests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Areas</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Freedom</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w:t>
      </w:r>
      <w:r>
        <w:rPr>
          <w:rFonts w:ascii="Arial" w:hAnsi="Arial" w:cs="Arial"/>
          <w:sz w:val="20"/>
          <w:szCs w:val="20"/>
        </w:rPr>
        <w:t>FOI</w:t>
      </w:r>
      <w:r>
        <w:rPr>
          <w:rFonts w:ascii="Arial" w:eastAsia="Arial" w:hAnsi="Arial" w:cs="Arial"/>
          <w:sz w:val="20"/>
          <w:szCs w:val="20"/>
        </w:rPr>
        <w:t>”</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legislation</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carefully</w:t>
      </w:r>
      <w:r>
        <w:rPr>
          <w:rFonts w:ascii="Arial" w:eastAsia="Arial" w:hAnsi="Arial" w:cs="Arial"/>
          <w:sz w:val="20"/>
          <w:szCs w:val="20"/>
        </w:rPr>
        <w:t xml:space="preserve"> </w:t>
      </w:r>
      <w:r>
        <w:rPr>
          <w:rFonts w:ascii="Arial" w:hAnsi="Arial" w:cs="Arial"/>
          <w:sz w:val="20"/>
          <w:szCs w:val="20"/>
        </w:rPr>
        <w:t>considered.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because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contains</w:t>
      </w:r>
      <w:r>
        <w:rPr>
          <w:rFonts w:ascii="Arial" w:eastAsia="Arial" w:hAnsi="Arial" w:cs="Arial"/>
          <w:sz w:val="20"/>
          <w:szCs w:val="20"/>
        </w:rPr>
        <w:t xml:space="preserve"> </w:t>
      </w:r>
      <w:r w:rsidR="0009135E">
        <w:rPr>
          <w:rFonts w:ascii="Arial" w:hAnsi="Arial" w:cs="Arial"/>
          <w:sz w:val="20"/>
          <w:szCs w:val="20"/>
        </w:rPr>
        <w:t>confidentially graded</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intelligence.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disclose</w:t>
      </w:r>
      <w:r>
        <w:rPr>
          <w:rFonts w:ascii="Arial" w:eastAsia="Arial" w:hAnsi="Arial" w:cs="Arial"/>
          <w:sz w:val="20"/>
          <w:szCs w:val="20"/>
        </w:rPr>
        <w:t xml:space="preserve"> </w:t>
      </w:r>
      <w:r>
        <w:rPr>
          <w:rFonts w:ascii="Arial" w:hAnsi="Arial" w:cs="Arial"/>
          <w:sz w:val="20"/>
          <w:szCs w:val="20"/>
        </w:rPr>
        <w:t>such</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adversely</w:t>
      </w:r>
      <w:r>
        <w:rPr>
          <w:rFonts w:ascii="Arial" w:eastAsia="Arial" w:hAnsi="Arial" w:cs="Arial"/>
          <w:sz w:val="20"/>
          <w:szCs w:val="20"/>
        </w:rPr>
        <w:t xml:space="preserve"> </w:t>
      </w:r>
      <w:r>
        <w:rPr>
          <w:rFonts w:ascii="Arial" w:hAnsi="Arial" w:cs="Arial"/>
          <w:sz w:val="20"/>
          <w:szCs w:val="20"/>
        </w:rPr>
        <w:t>affect</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activity.</w:t>
      </w:r>
    </w:p>
    <w:p w14:paraId="198A6B75" w14:textId="77777777" w:rsidR="00F2123B" w:rsidRDefault="00F2123B">
      <w:pPr>
        <w:spacing w:line="280" w:lineRule="atLeast"/>
        <w:rPr>
          <w:rFonts w:ascii="Arial" w:hAnsi="Arial" w:cs="Arial"/>
          <w:sz w:val="20"/>
          <w:szCs w:val="20"/>
        </w:rPr>
      </w:pPr>
    </w:p>
    <w:p w14:paraId="198A6B76" w14:textId="77777777" w:rsidR="00F2123B" w:rsidRDefault="00200CFB">
      <w:pPr>
        <w:spacing w:line="280" w:lineRule="atLeast"/>
      </w:pPr>
      <w:r>
        <w:rPr>
          <w:rFonts w:ascii="Arial" w:hAnsi="Arial" w:cs="Arial"/>
          <w:sz w:val="20"/>
          <w:szCs w:val="20"/>
        </w:rPr>
        <w:t>8.9</w:t>
      </w:r>
      <w:r>
        <w:rPr>
          <w:rFonts w:ascii="Arial" w:hAnsi="Arial" w:cs="Arial"/>
          <w:sz w:val="20"/>
          <w:szCs w:val="20"/>
        </w:rPr>
        <w:tab/>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owners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mindful</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 xml:space="preserve"> </w:t>
      </w:r>
      <w:r>
        <w:rPr>
          <w:rFonts w:ascii="Arial" w:hAnsi="Arial" w:cs="Arial"/>
          <w:sz w:val="20"/>
          <w:szCs w:val="20"/>
        </w:rPr>
        <w:t>agencies</w:t>
      </w:r>
      <w:r>
        <w:rPr>
          <w:rFonts w:ascii="Arial" w:eastAsia="Arial" w:hAnsi="Arial" w:cs="Arial"/>
          <w:sz w:val="20"/>
          <w:szCs w:val="20"/>
        </w:rPr>
        <w:t xml:space="preserve"> </w:t>
      </w:r>
      <w:r>
        <w:rPr>
          <w:rFonts w:ascii="Arial" w:hAnsi="Arial" w:cs="Arial"/>
          <w:sz w:val="20"/>
          <w:szCs w:val="20"/>
        </w:rPr>
        <w:t>retain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ownership</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data</w:t>
      </w:r>
      <w:r>
        <w:rPr>
          <w:rFonts w:ascii="Arial" w:eastAsia="Arial" w:hAnsi="Arial" w:cs="Arial"/>
          <w:sz w:val="20"/>
          <w:szCs w:val="20"/>
        </w:rPr>
        <w:t xml:space="preserve"> </w:t>
      </w:r>
      <w:r>
        <w:rPr>
          <w:rFonts w:ascii="Arial" w:hAnsi="Arial" w:cs="Arial"/>
          <w:sz w:val="20"/>
          <w:szCs w:val="20"/>
        </w:rPr>
        <w:t>supplied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organisation.</w:t>
      </w:r>
      <w:r>
        <w:rPr>
          <w:rFonts w:ascii="Arial" w:eastAsia="Arial" w:hAnsi="Arial" w:cs="Arial"/>
          <w:sz w:val="20"/>
          <w:szCs w:val="20"/>
        </w:rPr>
        <w:t xml:space="preserve"> </w:t>
      </w:r>
      <w:r>
        <w:rPr>
          <w:rFonts w:ascii="Arial" w:hAnsi="Arial" w:cs="Arial"/>
          <w:sz w:val="20"/>
          <w:szCs w:val="20"/>
        </w:rPr>
        <w:t>Therefore,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owners</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do</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share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owned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users</w:t>
      </w:r>
      <w:r>
        <w:rPr>
          <w:rFonts w:ascii="Arial" w:eastAsia="Arial" w:hAnsi="Arial" w:cs="Arial"/>
          <w:sz w:val="20"/>
          <w:szCs w:val="20"/>
        </w:rPr>
        <w:t xml:space="preserve"> </w:t>
      </w:r>
      <w:r>
        <w:rPr>
          <w:rFonts w:ascii="Arial" w:hAnsi="Arial" w:cs="Arial"/>
          <w:sz w:val="20"/>
          <w:szCs w:val="20"/>
        </w:rPr>
        <w:t>without</w:t>
      </w:r>
      <w:r>
        <w:rPr>
          <w:rFonts w:ascii="Arial" w:eastAsia="Arial" w:hAnsi="Arial" w:cs="Arial"/>
          <w:sz w:val="20"/>
          <w:szCs w:val="20"/>
        </w:rPr>
        <w:t xml:space="preserve"> </w:t>
      </w:r>
      <w:r>
        <w:rPr>
          <w:rFonts w:ascii="Arial" w:hAnsi="Arial" w:cs="Arial"/>
          <w:sz w:val="20"/>
          <w:szCs w:val="20"/>
        </w:rPr>
        <w:t>consulting</w:t>
      </w:r>
      <w:r>
        <w:rPr>
          <w:rFonts w:ascii="Arial" w:eastAsia="Arial" w:hAnsi="Arial" w:cs="Arial"/>
          <w:sz w:val="20"/>
          <w:szCs w:val="20"/>
        </w:rPr>
        <w:t xml:space="preserve"> </w:t>
      </w:r>
      <w:r>
        <w:rPr>
          <w:rFonts w:ascii="Arial" w:hAnsi="Arial" w:cs="Arial"/>
          <w:sz w:val="20"/>
          <w:szCs w:val="20"/>
        </w:rPr>
        <w:t>them.</w:t>
      </w:r>
    </w:p>
    <w:p w14:paraId="198A6B77" w14:textId="77777777" w:rsidR="00F2123B" w:rsidRDefault="00F2123B">
      <w:pPr>
        <w:spacing w:line="280" w:lineRule="atLeast"/>
        <w:rPr>
          <w:rFonts w:ascii="Arial" w:hAnsi="Arial" w:cs="Arial"/>
          <w:sz w:val="20"/>
          <w:szCs w:val="20"/>
        </w:rPr>
      </w:pPr>
    </w:p>
    <w:p w14:paraId="198A6B78" w14:textId="77777777" w:rsidR="00F2123B" w:rsidRDefault="00200CFB">
      <w:pPr>
        <w:spacing w:line="280" w:lineRule="atLeast"/>
      </w:pPr>
      <w:r>
        <w:rPr>
          <w:rFonts w:ascii="Arial" w:hAnsi="Arial" w:cs="Arial"/>
          <w:sz w:val="20"/>
          <w:szCs w:val="20"/>
        </w:rPr>
        <w:t>8.10</w:t>
      </w:r>
      <w:r>
        <w:rPr>
          <w:rFonts w:ascii="Arial" w:hAnsi="Arial" w:cs="Arial"/>
          <w:sz w:val="20"/>
          <w:szCs w:val="20"/>
        </w:rPr>
        <w:tab/>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effective</w:t>
      </w:r>
      <w:r>
        <w:rPr>
          <w:rFonts w:ascii="Arial" w:eastAsia="Arial" w:hAnsi="Arial" w:cs="Arial"/>
          <w:sz w:val="20"/>
          <w:szCs w:val="20"/>
        </w:rPr>
        <w:t xml:space="preserve"> </w:t>
      </w:r>
      <w:r>
        <w:rPr>
          <w:rFonts w:ascii="Arial" w:hAnsi="Arial" w:cs="Arial"/>
          <w:sz w:val="20"/>
          <w:szCs w:val="20"/>
        </w:rPr>
        <w:t>information-sharing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tool,</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consist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front-page</w:t>
      </w:r>
      <w:r>
        <w:rPr>
          <w:rFonts w:ascii="Arial" w:eastAsia="Arial" w:hAnsi="Arial" w:cs="Arial"/>
          <w:sz w:val="20"/>
          <w:szCs w:val="20"/>
        </w:rPr>
        <w:t xml:space="preserve"> </w:t>
      </w:r>
      <w:r>
        <w:rPr>
          <w:rFonts w:ascii="Arial" w:hAnsi="Arial" w:cs="Arial"/>
          <w:sz w:val="20"/>
          <w:szCs w:val="20"/>
        </w:rPr>
        <w:t>summary</w:t>
      </w:r>
      <w:r>
        <w:rPr>
          <w:rFonts w:ascii="Arial" w:eastAsia="Arial" w:hAnsi="Arial" w:cs="Arial"/>
          <w:sz w:val="20"/>
          <w:szCs w:val="20"/>
        </w:rPr>
        <w:t xml:space="preserve"> </w:t>
      </w:r>
      <w:r>
        <w:rPr>
          <w:rFonts w:ascii="Arial" w:hAnsi="Arial" w:cs="Arial"/>
          <w:sz w:val="20"/>
          <w:szCs w:val="20"/>
        </w:rPr>
        <w:t>screen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attachments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contain</w:t>
      </w:r>
      <w:r>
        <w:rPr>
          <w:rFonts w:ascii="Arial" w:eastAsia="Arial" w:hAnsi="Arial" w:cs="Arial"/>
          <w:sz w:val="20"/>
          <w:szCs w:val="20"/>
        </w:rPr>
        <w:t xml:space="preserve"> </w:t>
      </w:r>
      <w:r>
        <w:rPr>
          <w:rFonts w:ascii="Arial" w:hAnsi="Arial" w:cs="Arial"/>
          <w:sz w:val="20"/>
          <w:szCs w:val="20"/>
        </w:rPr>
        <w:t>detailed</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relating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Manager</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collation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quality</w:t>
      </w:r>
      <w:r>
        <w:rPr>
          <w:rFonts w:ascii="Arial" w:eastAsia="Arial" w:hAnsi="Arial" w:cs="Arial"/>
          <w:sz w:val="20"/>
          <w:szCs w:val="20"/>
        </w:rPr>
        <w:t xml:space="preserve"> </w:t>
      </w:r>
      <w:r>
        <w:rPr>
          <w:rFonts w:ascii="Arial" w:hAnsi="Arial" w:cs="Arial"/>
          <w:sz w:val="20"/>
          <w:szCs w:val="20"/>
        </w:rPr>
        <w:t>assurance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stored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number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partners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ability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input</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Whoever</w:t>
      </w:r>
      <w:r>
        <w:rPr>
          <w:rFonts w:ascii="Arial" w:eastAsia="Arial" w:hAnsi="Arial" w:cs="Arial"/>
          <w:sz w:val="20"/>
          <w:szCs w:val="20"/>
        </w:rPr>
        <w:t xml:space="preserve"> </w:t>
      </w:r>
      <w:r>
        <w:rPr>
          <w:rFonts w:ascii="Arial" w:hAnsi="Arial" w:cs="Arial"/>
          <w:sz w:val="20"/>
          <w:szCs w:val="20"/>
        </w:rPr>
        <w:t>inputs</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into</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accurate.</w:t>
      </w:r>
    </w:p>
    <w:p w14:paraId="198A6B79" w14:textId="77777777" w:rsidR="00F2123B" w:rsidRDefault="00F2123B">
      <w:pPr>
        <w:spacing w:line="280" w:lineRule="atLeast"/>
        <w:rPr>
          <w:rFonts w:ascii="Arial" w:hAnsi="Arial" w:cs="Arial"/>
          <w:sz w:val="20"/>
          <w:szCs w:val="20"/>
        </w:rPr>
      </w:pPr>
    </w:p>
    <w:p w14:paraId="198A6B7A"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All</w:t>
      </w:r>
      <w:r>
        <w:rPr>
          <w:rFonts w:eastAsia="Arial"/>
        </w:rPr>
        <w:t xml:space="preserve"> </w:t>
      </w:r>
      <w:r>
        <w:t>Category</w:t>
      </w:r>
      <w:r>
        <w:rPr>
          <w:rFonts w:eastAsia="Arial"/>
        </w:rPr>
        <w:t xml:space="preserve"> </w:t>
      </w:r>
      <w:r>
        <w:t>1</w:t>
      </w:r>
      <w:r>
        <w:rPr>
          <w:rFonts w:eastAsia="Arial"/>
        </w:rPr>
        <w:t xml:space="preserve"> </w:t>
      </w:r>
      <w:r>
        <w:t>offenders</w:t>
      </w:r>
      <w:r>
        <w:rPr>
          <w:rFonts w:eastAsia="Arial"/>
        </w:rPr>
        <w:t xml:space="preserve"> </w:t>
      </w:r>
      <w:r>
        <w:t>and</w:t>
      </w:r>
      <w:r>
        <w:rPr>
          <w:rFonts w:eastAsia="Arial"/>
        </w:rPr>
        <w:t xml:space="preserve"> </w:t>
      </w:r>
      <w:r>
        <w:t>all</w:t>
      </w:r>
      <w:r>
        <w:rPr>
          <w:rFonts w:eastAsia="Arial"/>
        </w:rPr>
        <w:t xml:space="preserve"> </w:t>
      </w:r>
      <w:r>
        <w:t>other</w:t>
      </w:r>
      <w:r>
        <w:rPr>
          <w:rFonts w:eastAsia="Arial"/>
        </w:rPr>
        <w:t xml:space="preserve"> </w:t>
      </w:r>
      <w:r>
        <w:t>categories</w:t>
      </w:r>
      <w:r>
        <w:rPr>
          <w:rFonts w:eastAsia="Arial"/>
        </w:rPr>
        <w:t xml:space="preserve"> </w:t>
      </w:r>
      <w:r>
        <w:t>managed</w:t>
      </w:r>
      <w:r>
        <w:rPr>
          <w:rFonts w:eastAsia="Arial"/>
        </w:rPr>
        <w:t xml:space="preserve"> </w:t>
      </w:r>
      <w:r>
        <w:t>at</w:t>
      </w:r>
      <w:r>
        <w:rPr>
          <w:rFonts w:eastAsia="Arial"/>
        </w:rPr>
        <w:t xml:space="preserve"> </w:t>
      </w:r>
      <w:r>
        <w:t>level</w:t>
      </w:r>
      <w:r>
        <w:rPr>
          <w:rFonts w:eastAsia="Arial"/>
        </w:rPr>
        <w:t xml:space="preserve"> </w:t>
      </w:r>
      <w:r>
        <w:t>2</w:t>
      </w:r>
      <w:r>
        <w:rPr>
          <w:rFonts w:eastAsia="Arial"/>
        </w:rPr>
        <w:t xml:space="preserve"> </w:t>
      </w:r>
      <w:r>
        <w:t>and</w:t>
      </w:r>
      <w:r>
        <w:rPr>
          <w:rFonts w:eastAsia="Arial"/>
        </w:rPr>
        <w:t xml:space="preserve"> </w:t>
      </w:r>
      <w:r>
        <w:t>level</w:t>
      </w:r>
      <w:r>
        <w:rPr>
          <w:rFonts w:eastAsia="Arial"/>
        </w:rPr>
        <w:t xml:space="preserve"> </w:t>
      </w:r>
      <w:r>
        <w:t>3</w:t>
      </w:r>
      <w:r>
        <w:rPr>
          <w:rFonts w:eastAsia="Arial"/>
        </w:rPr>
        <w:t xml:space="preserve"> </w:t>
      </w:r>
      <w:r>
        <w:t>must</w:t>
      </w:r>
      <w:r>
        <w:rPr>
          <w:rFonts w:eastAsia="Arial"/>
        </w:rPr>
        <w:t xml:space="preserve"> </w:t>
      </w:r>
      <w:r>
        <w:t>have</w:t>
      </w:r>
      <w:r>
        <w:rPr>
          <w:rFonts w:eastAsia="Arial"/>
        </w:rPr>
        <w:t xml:space="preserve"> </w:t>
      </w:r>
      <w:r>
        <w:t>a</w:t>
      </w:r>
      <w:r>
        <w:rPr>
          <w:rFonts w:eastAsia="Arial"/>
        </w:rPr>
        <w:t xml:space="preserve"> </w:t>
      </w:r>
      <w:r>
        <w:t>ViSOR</w:t>
      </w:r>
      <w:r>
        <w:rPr>
          <w:rFonts w:eastAsia="Arial"/>
        </w:rPr>
        <w:t xml:space="preserve"> </w:t>
      </w:r>
      <w:r>
        <w:t>record</w:t>
      </w:r>
      <w:r>
        <w:rPr>
          <w:rFonts w:eastAsia="Arial"/>
        </w:rPr>
        <w:t xml:space="preserve"> </w:t>
      </w:r>
      <w:r>
        <w:t>created</w:t>
      </w:r>
    </w:p>
    <w:p w14:paraId="198A6B7B" w14:textId="77777777" w:rsidR="00F2123B" w:rsidRDefault="00F2123B">
      <w:pPr>
        <w:spacing w:line="280" w:lineRule="atLeast"/>
        <w:rPr>
          <w:rFonts w:ascii="Arial" w:hAnsi="Arial" w:cs="Arial"/>
          <w:sz w:val="20"/>
          <w:szCs w:val="20"/>
        </w:rPr>
      </w:pPr>
    </w:p>
    <w:p w14:paraId="198A6B7C" w14:textId="77777777" w:rsidR="00F2123B" w:rsidRDefault="00200CFB">
      <w:pPr>
        <w:spacing w:line="280" w:lineRule="atLeast"/>
      </w:pPr>
      <w:r>
        <w:rPr>
          <w:rFonts w:ascii="Arial" w:hAnsi="Arial" w:cs="Arial"/>
          <w:sz w:val="20"/>
          <w:szCs w:val="20"/>
        </w:rPr>
        <w:t>8.11</w:t>
      </w:r>
      <w:r>
        <w:rPr>
          <w:rFonts w:ascii="Arial" w:hAnsi="Arial" w:cs="Arial"/>
          <w:sz w:val="20"/>
          <w:szCs w:val="20"/>
        </w:rPr>
        <w:tab/>
        <w:t>All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population</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currently</w:t>
      </w:r>
      <w:r>
        <w:rPr>
          <w:rFonts w:ascii="Arial" w:eastAsia="Arial" w:hAnsi="Arial" w:cs="Arial"/>
          <w:sz w:val="20"/>
          <w:szCs w:val="20"/>
        </w:rPr>
        <w:t xml:space="preserve"> </w:t>
      </w:r>
      <w:r>
        <w:rPr>
          <w:rFonts w:ascii="Arial" w:hAnsi="Arial" w:cs="Arial"/>
          <w:sz w:val="20"/>
          <w:szCs w:val="20"/>
        </w:rPr>
        <w:t>serving</w:t>
      </w:r>
      <w:r>
        <w:rPr>
          <w:rFonts w:ascii="Arial" w:eastAsia="Arial" w:hAnsi="Arial" w:cs="Arial"/>
          <w:sz w:val="20"/>
          <w:szCs w:val="20"/>
        </w:rPr>
        <w:t xml:space="preserve"> </w:t>
      </w:r>
      <w:r>
        <w:rPr>
          <w:rFonts w:ascii="Arial" w:hAnsi="Arial" w:cs="Arial"/>
          <w:sz w:val="20"/>
          <w:szCs w:val="20"/>
        </w:rPr>
        <w:t>custodial</w:t>
      </w:r>
      <w:r>
        <w:rPr>
          <w:rFonts w:ascii="Arial" w:eastAsia="Arial" w:hAnsi="Arial" w:cs="Arial"/>
          <w:sz w:val="20"/>
          <w:szCs w:val="20"/>
        </w:rPr>
        <w:t xml:space="preserve"> </w:t>
      </w:r>
      <w:r>
        <w:rPr>
          <w:rFonts w:ascii="Arial" w:hAnsi="Arial" w:cs="Arial"/>
          <w:sz w:val="20"/>
          <w:szCs w:val="20"/>
        </w:rPr>
        <w:t>sentences.</w:t>
      </w:r>
      <w:r>
        <w:rPr>
          <w:rFonts w:ascii="Arial" w:eastAsia="Arial" w:hAnsi="Arial" w:cs="Arial"/>
          <w:sz w:val="20"/>
          <w:szCs w:val="20"/>
        </w:rPr>
        <w:t xml:space="preserve"> </w:t>
      </w:r>
    </w:p>
    <w:p w14:paraId="198A6B7D" w14:textId="77777777" w:rsidR="00F2123B" w:rsidRDefault="00F2123B">
      <w:pPr>
        <w:spacing w:line="280" w:lineRule="atLeast"/>
        <w:rPr>
          <w:rFonts w:ascii="Arial" w:hAnsi="Arial" w:cs="Arial"/>
          <w:sz w:val="20"/>
          <w:szCs w:val="20"/>
        </w:rPr>
      </w:pPr>
    </w:p>
    <w:p w14:paraId="198A6B7E" w14:textId="77777777" w:rsidR="00F2123B" w:rsidRDefault="00200CFB">
      <w:pPr>
        <w:spacing w:line="280" w:lineRule="atLeast"/>
      </w:pPr>
      <w:r>
        <w:rPr>
          <w:rFonts w:ascii="Arial" w:hAnsi="Arial" w:cs="Arial"/>
          <w:sz w:val="20"/>
          <w:szCs w:val="20"/>
        </w:rPr>
        <w:t>8.12</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creating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records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follows:</w:t>
      </w:r>
    </w:p>
    <w:p w14:paraId="198A6B7F" w14:textId="77777777" w:rsidR="00F2123B" w:rsidRDefault="00200CFB" w:rsidP="00AD2BEF">
      <w:pPr>
        <w:numPr>
          <w:ilvl w:val="0"/>
          <w:numId w:val="23"/>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Service.</w:t>
      </w:r>
    </w:p>
    <w:p w14:paraId="198A6B80" w14:textId="77777777" w:rsidR="00F2123B" w:rsidRDefault="00200CFB" w:rsidP="00AD2BEF">
      <w:pPr>
        <w:numPr>
          <w:ilvl w:val="0"/>
          <w:numId w:val="23"/>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 the </w:t>
      </w:r>
      <w:r>
        <w:rPr>
          <w:rFonts w:ascii="Arial" w:hAnsi="Arial" w:cs="Arial"/>
          <w:sz w:val="20"/>
          <w:szCs w:val="20"/>
        </w:rPr>
        <w:t>Probation Trust.</w:t>
      </w:r>
      <w:r>
        <w:rPr>
          <w:rFonts w:ascii="Arial" w:eastAsia="Arial" w:hAnsi="Arial" w:cs="Arial"/>
          <w:sz w:val="20"/>
          <w:szCs w:val="20"/>
        </w:rPr>
        <w:t xml:space="preserve"> </w:t>
      </w:r>
      <w:r>
        <w:rPr>
          <w:rFonts w:ascii="Arial" w:hAnsi="Arial" w:cs="Arial"/>
          <w:sz w:val="20"/>
          <w:szCs w:val="20"/>
        </w:rPr>
        <w:t>Currently</w:t>
      </w:r>
      <w:r>
        <w:rPr>
          <w:rFonts w:ascii="Arial" w:eastAsia="Arial" w:hAnsi="Arial" w:cs="Arial"/>
          <w:sz w:val="20"/>
          <w:szCs w:val="20"/>
        </w:rPr>
        <w:t xml:space="preserve"> the </w:t>
      </w:r>
      <w:r>
        <w:rPr>
          <w:rFonts w:ascii="Arial" w:hAnsi="Arial" w:cs="Arial"/>
          <w:sz w:val="20"/>
          <w:szCs w:val="20"/>
        </w:rPr>
        <w:t>Probation Trust will</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and</w:t>
      </w:r>
    </w:p>
    <w:p w14:paraId="198A6B81" w14:textId="77777777" w:rsidR="00F2123B" w:rsidRDefault="00200CFB" w:rsidP="00AD2BEF">
      <w:pPr>
        <w:numPr>
          <w:ilvl w:val="0"/>
          <w:numId w:val="23"/>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was</w:t>
      </w:r>
      <w:r>
        <w:rPr>
          <w:rFonts w:ascii="Arial" w:eastAsia="Arial" w:hAnsi="Arial" w:cs="Arial"/>
          <w:sz w:val="20"/>
          <w:szCs w:val="20"/>
        </w:rPr>
        <w:t xml:space="preserve"> </w:t>
      </w:r>
      <w:r>
        <w:rPr>
          <w:rFonts w:ascii="Arial" w:hAnsi="Arial" w:cs="Arial"/>
          <w:sz w:val="20"/>
          <w:szCs w:val="20"/>
        </w:rPr>
        <w:t>actively</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the </w:t>
      </w:r>
      <w:r>
        <w:rPr>
          <w:rFonts w:ascii="Arial" w:hAnsi="Arial" w:cs="Arial"/>
          <w:sz w:val="20"/>
          <w:szCs w:val="20"/>
        </w:rPr>
        <w:t>Probation Trust 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its</w:t>
      </w:r>
      <w:r>
        <w:rPr>
          <w:rFonts w:ascii="Arial" w:eastAsia="Arial" w:hAnsi="Arial" w:cs="Arial"/>
          <w:sz w:val="20"/>
          <w:szCs w:val="20"/>
        </w:rPr>
        <w:t xml:space="preserve"> </w:t>
      </w:r>
      <w:r>
        <w:rPr>
          <w:rFonts w:ascii="Arial" w:hAnsi="Arial" w:cs="Arial"/>
          <w:sz w:val="20"/>
          <w:szCs w:val="20"/>
        </w:rPr>
        <w:t>expiry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currently</w:t>
      </w:r>
      <w:r>
        <w:rPr>
          <w:rFonts w:ascii="Arial" w:eastAsia="Arial" w:hAnsi="Arial" w:cs="Arial"/>
          <w:sz w:val="20"/>
          <w:szCs w:val="20"/>
        </w:rPr>
        <w:t xml:space="preserve"> </w:t>
      </w:r>
      <w:r>
        <w:rPr>
          <w:rFonts w:ascii="Arial" w:hAnsi="Arial" w:cs="Arial"/>
          <w:sz w:val="20"/>
          <w:szCs w:val="20"/>
        </w:rPr>
        <w:t>being</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the </w:t>
      </w:r>
      <w:r>
        <w:rPr>
          <w:rFonts w:ascii="Arial" w:hAnsi="Arial" w:cs="Arial"/>
          <w:sz w:val="20"/>
          <w:szCs w:val="20"/>
        </w:rPr>
        <w:t>Probation Trust 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p>
    <w:p w14:paraId="198A6B82" w14:textId="77777777" w:rsidR="00F2123B" w:rsidRDefault="00200CFB" w:rsidP="00AD2BEF">
      <w:pPr>
        <w:numPr>
          <w:ilvl w:val="0"/>
          <w:numId w:val="23"/>
        </w:numPr>
        <w:spacing w:before="240" w:line="280" w:lineRule="atLeast"/>
      </w:pP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creation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records.</w:t>
      </w:r>
    </w:p>
    <w:p w14:paraId="198A6B83" w14:textId="77777777" w:rsidR="00F2123B" w:rsidRDefault="00F2123B">
      <w:pPr>
        <w:spacing w:line="280" w:lineRule="atLeast"/>
        <w:rPr>
          <w:rFonts w:ascii="Arial" w:hAnsi="Arial" w:cs="Arial"/>
          <w:sz w:val="20"/>
          <w:szCs w:val="20"/>
        </w:rPr>
      </w:pPr>
    </w:p>
    <w:p w14:paraId="198A6B84"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Named</w:t>
      </w:r>
      <w:r>
        <w:rPr>
          <w:rFonts w:eastAsia="Arial"/>
        </w:rPr>
        <w:t xml:space="preserve"> </w:t>
      </w:r>
      <w:r>
        <w:t>police,</w:t>
      </w:r>
      <w:r>
        <w:rPr>
          <w:rFonts w:eastAsia="Arial"/>
        </w:rPr>
        <w:t xml:space="preserve"> </w:t>
      </w:r>
      <w:r>
        <w:t>probation</w:t>
      </w:r>
      <w:r>
        <w:rPr>
          <w:rFonts w:eastAsia="Arial"/>
        </w:rPr>
        <w:t xml:space="preserve"> </w:t>
      </w:r>
      <w:r>
        <w:t>and</w:t>
      </w:r>
      <w:r>
        <w:rPr>
          <w:rFonts w:eastAsia="Arial"/>
        </w:rPr>
        <w:t xml:space="preserve"> </w:t>
      </w:r>
      <w:r>
        <w:t>prisons</w:t>
      </w:r>
      <w:r>
        <w:rPr>
          <w:rFonts w:eastAsia="Arial"/>
        </w:rPr>
        <w:t xml:space="preserve"> </w:t>
      </w:r>
      <w:r>
        <w:t>staff</w:t>
      </w:r>
      <w:r>
        <w:rPr>
          <w:rFonts w:eastAsia="Arial"/>
        </w:rPr>
        <w:t xml:space="preserve"> </w:t>
      </w:r>
      <w:r>
        <w:t>should</w:t>
      </w:r>
      <w:r>
        <w:rPr>
          <w:rFonts w:eastAsia="Arial"/>
        </w:rPr>
        <w:t xml:space="preserve"> </w:t>
      </w:r>
      <w:r>
        <w:t>be</w:t>
      </w:r>
      <w:r>
        <w:rPr>
          <w:rFonts w:eastAsia="Arial"/>
        </w:rPr>
        <w:t xml:space="preserve"> </w:t>
      </w:r>
      <w:r>
        <w:t>partnered</w:t>
      </w:r>
      <w:r>
        <w:rPr>
          <w:rFonts w:eastAsia="Arial"/>
        </w:rPr>
        <w:t xml:space="preserve"> </w:t>
      </w:r>
      <w:r>
        <w:t>to</w:t>
      </w:r>
      <w:r>
        <w:rPr>
          <w:rFonts w:eastAsia="Arial"/>
        </w:rPr>
        <w:t xml:space="preserve"> </w:t>
      </w:r>
      <w:r>
        <w:t>all</w:t>
      </w:r>
      <w:r>
        <w:rPr>
          <w:rFonts w:eastAsia="Arial"/>
        </w:rPr>
        <w:t xml:space="preserve"> </w:t>
      </w:r>
      <w:r>
        <w:t>live</w:t>
      </w:r>
      <w:r>
        <w:rPr>
          <w:rFonts w:eastAsia="Arial"/>
        </w:rPr>
        <w:t xml:space="preserve"> </w:t>
      </w:r>
      <w:r>
        <w:t>ViSOR</w:t>
      </w:r>
      <w:r>
        <w:rPr>
          <w:rFonts w:eastAsia="Arial"/>
        </w:rPr>
        <w:t xml:space="preserve"> </w:t>
      </w:r>
      <w:r>
        <w:t>records</w:t>
      </w:r>
      <w:r>
        <w:rPr>
          <w:rFonts w:eastAsia="Arial"/>
        </w:rPr>
        <w:t xml:space="preserve"> </w:t>
      </w:r>
      <w:r>
        <w:t>managed</w:t>
      </w:r>
      <w:r>
        <w:rPr>
          <w:rFonts w:eastAsia="Arial"/>
        </w:rPr>
        <w:t xml:space="preserve"> </w:t>
      </w:r>
      <w:r>
        <w:t>at</w:t>
      </w:r>
      <w:r>
        <w:rPr>
          <w:rFonts w:eastAsia="Arial"/>
        </w:rPr>
        <w:t xml:space="preserve"> </w:t>
      </w:r>
      <w:r>
        <w:t>level</w:t>
      </w:r>
      <w:r>
        <w:rPr>
          <w:rFonts w:eastAsia="Arial"/>
        </w:rPr>
        <w:t xml:space="preserve"> </w:t>
      </w:r>
      <w:r>
        <w:t>2</w:t>
      </w:r>
      <w:r>
        <w:rPr>
          <w:rFonts w:eastAsia="Arial"/>
        </w:rPr>
        <w:t xml:space="preserve"> </w:t>
      </w:r>
      <w:r>
        <w:t>and</w:t>
      </w:r>
      <w:r>
        <w:rPr>
          <w:rFonts w:eastAsia="Arial"/>
        </w:rPr>
        <w:t xml:space="preserve"> </w:t>
      </w:r>
      <w:r>
        <w:t>level</w:t>
      </w:r>
      <w:r>
        <w:rPr>
          <w:rFonts w:eastAsia="Arial"/>
        </w:rPr>
        <w:t xml:space="preserve"> </w:t>
      </w:r>
      <w:r>
        <w:t>3</w:t>
      </w:r>
    </w:p>
    <w:p w14:paraId="198A6B85" w14:textId="77777777" w:rsidR="00F2123B" w:rsidRDefault="00F2123B">
      <w:pPr>
        <w:spacing w:line="280" w:lineRule="atLeast"/>
        <w:rPr>
          <w:rFonts w:ascii="Arial" w:hAnsi="Arial" w:cs="Arial"/>
          <w:sz w:val="20"/>
          <w:szCs w:val="20"/>
        </w:rPr>
      </w:pPr>
    </w:p>
    <w:p w14:paraId="198A6B86" w14:textId="77777777" w:rsidR="00F2123B" w:rsidRDefault="00200CFB">
      <w:pPr>
        <w:spacing w:line="280" w:lineRule="atLeast"/>
      </w:pPr>
      <w:r>
        <w:rPr>
          <w:rFonts w:ascii="Arial" w:hAnsi="Arial" w:cs="Arial"/>
          <w:sz w:val="20"/>
          <w:szCs w:val="20"/>
        </w:rPr>
        <w:t>8.13</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there</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mechanisms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regularly</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application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standard</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promotes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systematic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exchange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support</w:t>
      </w:r>
      <w:r>
        <w:rPr>
          <w:rFonts w:ascii="Arial" w:eastAsia="Arial" w:hAnsi="Arial" w:cs="Arial"/>
          <w:sz w:val="20"/>
          <w:szCs w:val="20"/>
        </w:rPr>
        <w:t xml:space="preserve"> </w:t>
      </w:r>
      <w:r>
        <w:rPr>
          <w:rFonts w:ascii="Arial" w:hAnsi="Arial" w:cs="Arial"/>
          <w:sz w:val="20"/>
          <w:szCs w:val="20"/>
        </w:rPr>
        <w:t>MAPPA.</w:t>
      </w:r>
    </w:p>
    <w:p w14:paraId="198A6B87" w14:textId="77777777" w:rsidR="00F2123B" w:rsidRDefault="00F2123B">
      <w:pPr>
        <w:spacing w:line="280" w:lineRule="atLeast"/>
        <w:rPr>
          <w:rFonts w:ascii="Arial" w:hAnsi="Arial" w:cs="Arial"/>
          <w:sz w:val="20"/>
          <w:szCs w:val="20"/>
        </w:rPr>
      </w:pPr>
    </w:p>
    <w:p w14:paraId="198A6B88"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All</w:t>
      </w:r>
      <w:r>
        <w:rPr>
          <w:rFonts w:eastAsia="Arial"/>
        </w:rPr>
        <w:t xml:space="preserve"> </w:t>
      </w:r>
      <w:r>
        <w:t>live</w:t>
      </w:r>
      <w:r>
        <w:rPr>
          <w:rFonts w:eastAsia="Arial"/>
        </w:rPr>
        <w:t xml:space="preserve"> </w:t>
      </w:r>
      <w:r>
        <w:t>ViSOR</w:t>
      </w:r>
      <w:r>
        <w:rPr>
          <w:rFonts w:eastAsia="Arial"/>
        </w:rPr>
        <w:t xml:space="preserve"> </w:t>
      </w:r>
      <w:r>
        <w:t>records</w:t>
      </w:r>
      <w:r>
        <w:rPr>
          <w:rFonts w:eastAsia="Arial"/>
        </w:rPr>
        <w:t xml:space="preserve"> </w:t>
      </w:r>
      <w:r>
        <w:t>will</w:t>
      </w:r>
      <w:r>
        <w:rPr>
          <w:rFonts w:eastAsia="Arial"/>
        </w:rPr>
        <w:t xml:space="preserve"> </w:t>
      </w:r>
      <w:r>
        <w:t>be</w:t>
      </w:r>
      <w:r>
        <w:rPr>
          <w:rFonts w:eastAsia="Arial"/>
        </w:rPr>
        <w:t xml:space="preserve"> </w:t>
      </w:r>
      <w:r>
        <w:t>actively</w:t>
      </w:r>
      <w:r>
        <w:rPr>
          <w:rFonts w:eastAsia="Arial"/>
        </w:rPr>
        <w:t xml:space="preserve"> </w:t>
      </w:r>
      <w:r>
        <w:t>and</w:t>
      </w:r>
      <w:r>
        <w:rPr>
          <w:rFonts w:eastAsia="Arial"/>
        </w:rPr>
        <w:t xml:space="preserve"> </w:t>
      </w:r>
      <w:r>
        <w:t>accurately</w:t>
      </w:r>
      <w:r>
        <w:rPr>
          <w:rFonts w:eastAsia="Arial"/>
        </w:rPr>
        <w:t xml:space="preserve"> </w:t>
      </w:r>
      <w:r>
        <w:t>maintained</w:t>
      </w:r>
      <w:r>
        <w:rPr>
          <w:rFonts w:eastAsia="Arial"/>
        </w:rPr>
        <w:t xml:space="preserve"> </w:t>
      </w:r>
      <w:r>
        <w:t>and</w:t>
      </w:r>
      <w:r>
        <w:rPr>
          <w:rFonts w:eastAsia="Arial"/>
        </w:rPr>
        <w:t xml:space="preserve"> </w:t>
      </w:r>
      <w:r>
        <w:t>updated</w:t>
      </w:r>
      <w:r>
        <w:rPr>
          <w:rFonts w:eastAsia="Arial"/>
        </w:rPr>
        <w:t xml:space="preserve"> </w:t>
      </w:r>
      <w:r>
        <w:t>by</w:t>
      </w:r>
      <w:r>
        <w:rPr>
          <w:rFonts w:eastAsia="Arial"/>
        </w:rPr>
        <w:t xml:space="preserve"> </w:t>
      </w:r>
      <w:r>
        <w:t>Record</w:t>
      </w:r>
      <w:r>
        <w:rPr>
          <w:rFonts w:eastAsia="Arial"/>
        </w:rPr>
        <w:t xml:space="preserve"> </w:t>
      </w:r>
      <w:r>
        <w:t>Managers</w:t>
      </w:r>
      <w:r>
        <w:rPr>
          <w:rFonts w:eastAsia="Arial"/>
        </w:rPr>
        <w:t xml:space="preserve"> </w:t>
      </w:r>
      <w:r>
        <w:t>and</w:t>
      </w:r>
      <w:r>
        <w:rPr>
          <w:rFonts w:eastAsia="Arial"/>
        </w:rPr>
        <w:t xml:space="preserve"> </w:t>
      </w:r>
      <w:r>
        <w:t>relevant</w:t>
      </w:r>
      <w:r>
        <w:rPr>
          <w:rFonts w:eastAsia="Arial"/>
        </w:rPr>
        <w:t xml:space="preserve"> </w:t>
      </w:r>
      <w:r>
        <w:t>partners</w:t>
      </w:r>
    </w:p>
    <w:p w14:paraId="198A6B89" w14:textId="77777777" w:rsidR="00F2123B" w:rsidRDefault="00F2123B">
      <w:pPr>
        <w:spacing w:line="280" w:lineRule="atLeast"/>
        <w:rPr>
          <w:rFonts w:ascii="Arial" w:hAnsi="Arial" w:cs="Arial"/>
          <w:sz w:val="20"/>
          <w:szCs w:val="20"/>
        </w:rPr>
      </w:pPr>
    </w:p>
    <w:p w14:paraId="198A6B8A" w14:textId="4CBB251E" w:rsidR="00F2123B" w:rsidRDefault="00200CFB">
      <w:pPr>
        <w:spacing w:line="280" w:lineRule="atLeast"/>
      </w:pPr>
      <w:r>
        <w:rPr>
          <w:rFonts w:ascii="Arial" w:hAnsi="Arial" w:cs="Arial"/>
          <w:sz w:val="20"/>
          <w:szCs w:val="20"/>
        </w:rPr>
        <w:t>8.14</w:t>
      </w:r>
      <w:r>
        <w:rPr>
          <w:rFonts w:ascii="Arial" w:hAnsi="Arial" w:cs="Arial"/>
          <w:sz w:val="20"/>
          <w:szCs w:val="20"/>
        </w:rPr>
        <w:tab/>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following</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except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regarding</w:t>
      </w:r>
      <w:r>
        <w:rPr>
          <w:rFonts w:ascii="Arial" w:eastAsia="Arial" w:hAnsi="Arial" w:cs="Arial"/>
          <w:sz w:val="20"/>
          <w:szCs w:val="20"/>
        </w:rPr>
        <w:t xml:space="preserve"> </w:t>
      </w:r>
      <w:r>
        <w:rPr>
          <w:rFonts w:ascii="Arial" w:hAnsi="Arial" w:cs="Arial"/>
          <w:sz w:val="20"/>
          <w:szCs w:val="20"/>
        </w:rPr>
        <w:t>these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via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probation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systems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eventually</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sidR="00601BC0">
        <w:rPr>
          <w:rFonts w:ascii="Arial" w:eastAsia="Arial" w:hAnsi="Arial" w:cs="Arial"/>
          <w:sz w:val="20"/>
          <w:szCs w:val="20"/>
        </w:rPr>
        <w:t xml:space="preserve">Service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system.</w:t>
      </w:r>
      <w:r>
        <w:rPr>
          <w:rFonts w:ascii="Arial" w:eastAsia="Arial" w:hAnsi="Arial" w:cs="Arial"/>
          <w:sz w:val="20"/>
          <w:szCs w:val="20"/>
        </w:rPr>
        <w:t xml:space="preserve"> </w:t>
      </w:r>
    </w:p>
    <w:p w14:paraId="198A6B8B" w14:textId="77777777" w:rsidR="00F2123B" w:rsidRDefault="00F2123B">
      <w:pPr>
        <w:spacing w:line="280" w:lineRule="atLeast"/>
        <w:rPr>
          <w:rFonts w:ascii="Arial" w:hAnsi="Arial" w:cs="Arial"/>
          <w:sz w:val="20"/>
          <w:szCs w:val="20"/>
        </w:rPr>
      </w:pPr>
    </w:p>
    <w:p w14:paraId="198A6B8C"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Category</w:t>
      </w:r>
      <w:r>
        <w:rPr>
          <w:rFonts w:ascii="Arial" w:eastAsia="Arial" w:hAnsi="Arial" w:cs="Arial"/>
          <w:b/>
          <w:sz w:val="28"/>
          <w:szCs w:val="28"/>
        </w:rPr>
        <w:t xml:space="preserve"> </w:t>
      </w:r>
      <w:r>
        <w:rPr>
          <w:rFonts w:ascii="Arial" w:hAnsi="Arial" w:cs="Arial"/>
          <w:b/>
          <w:sz w:val="28"/>
          <w:szCs w:val="28"/>
        </w:rPr>
        <w:t>1</w:t>
      </w:r>
    </w:p>
    <w:p w14:paraId="198A6B8D" w14:textId="77777777" w:rsidR="00F2123B" w:rsidRDefault="00F2123B">
      <w:pPr>
        <w:spacing w:line="280" w:lineRule="atLeast"/>
        <w:rPr>
          <w:rFonts w:ascii="Arial" w:hAnsi="Arial" w:cs="Arial"/>
          <w:sz w:val="20"/>
          <w:szCs w:val="20"/>
        </w:rPr>
      </w:pPr>
    </w:p>
    <w:p w14:paraId="198A6B8E" w14:textId="77777777" w:rsidR="00F2123B" w:rsidRDefault="00200CFB">
      <w:pPr>
        <w:spacing w:line="280" w:lineRule="atLeast"/>
      </w:pPr>
      <w:r>
        <w:rPr>
          <w:rFonts w:ascii="Arial" w:hAnsi="Arial" w:cs="Arial"/>
          <w:sz w:val="20"/>
          <w:szCs w:val="20"/>
        </w:rPr>
        <w:t>8.15</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jointly</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YOTs,</w:t>
      </w:r>
      <w:r>
        <w:rPr>
          <w:rFonts w:ascii="Arial" w:eastAsia="Arial" w:hAnsi="Arial" w:cs="Arial"/>
          <w:sz w:val="20"/>
          <w:szCs w:val="20"/>
        </w:rPr>
        <w:t xml:space="preserve"> </w:t>
      </w:r>
      <w:r>
        <w:rPr>
          <w:rFonts w:ascii="Arial" w:hAnsi="Arial" w:cs="Arial"/>
          <w:sz w:val="20"/>
          <w:szCs w:val="20"/>
        </w:rPr>
        <w:t>Probation Trusts,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Best</w:t>
      </w:r>
      <w:r>
        <w:rPr>
          <w:rFonts w:ascii="Arial" w:eastAsia="Arial" w:hAnsi="Arial" w:cs="Arial"/>
          <w:sz w:val="20"/>
          <w:szCs w:val="20"/>
        </w:rPr>
        <w:t xml:space="preserve"> </w:t>
      </w:r>
      <w:r>
        <w:rPr>
          <w:rFonts w:ascii="Arial" w:hAnsi="Arial" w:cs="Arial"/>
          <w:sz w:val="20"/>
          <w:szCs w:val="20"/>
        </w:rPr>
        <w:t>practice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create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entry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days</w:t>
      </w:r>
      <w:r>
        <w:rPr>
          <w:rFonts w:ascii="Arial" w:eastAsia="Arial" w:hAnsi="Arial" w:cs="Arial"/>
          <w:sz w:val="20"/>
          <w:szCs w:val="20"/>
        </w:rPr>
        <w:t xml:space="preserve"> </w:t>
      </w:r>
      <w:r>
        <w:rPr>
          <w:rFonts w:ascii="Arial" w:hAnsi="Arial" w:cs="Arial"/>
          <w:sz w:val="20"/>
          <w:szCs w:val="20"/>
        </w:rPr>
        <w:t>after</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maintained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Standards.</w:t>
      </w:r>
      <w:r>
        <w:rPr>
          <w:rFonts w:ascii="Arial" w:eastAsia="Arial" w:hAnsi="Arial" w:cs="Arial"/>
          <w:sz w:val="20"/>
          <w:szCs w:val="20"/>
        </w:rPr>
        <w:t xml:space="preserve"> </w:t>
      </w:r>
      <w:r>
        <w:rPr>
          <w:rFonts w:ascii="Arial" w:hAnsi="Arial" w:cs="Arial"/>
          <w:sz w:val="20"/>
          <w:szCs w:val="20"/>
        </w:rPr>
        <w:t>While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create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located)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the </w:t>
      </w:r>
      <w:r>
        <w:rPr>
          <w:rFonts w:ascii="Arial" w:hAnsi="Arial" w:cs="Arial"/>
          <w:sz w:val="20"/>
          <w:szCs w:val="20"/>
        </w:rPr>
        <w:t>Probation Trust 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After</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Responsible Authority</w:t>
      </w:r>
      <w:r>
        <w:rPr>
          <w:rFonts w:ascii="Arial" w:eastAsia="Arial" w:hAnsi="Arial" w:cs="Arial"/>
          <w:sz w:val="20"/>
          <w:szCs w:val="20"/>
        </w:rPr>
        <w:t xml:space="preserve"> </w:t>
      </w:r>
      <w:r>
        <w:rPr>
          <w:rFonts w:ascii="Arial" w:hAnsi="Arial" w:cs="Arial"/>
          <w:sz w:val="20"/>
          <w:szCs w:val="20"/>
        </w:rPr>
        <w:t>agreement,</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could</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create</w:t>
      </w:r>
      <w:r>
        <w:rPr>
          <w:rFonts w:ascii="Arial" w:eastAsia="Arial" w:hAnsi="Arial" w:cs="Arial"/>
          <w:sz w:val="20"/>
          <w:szCs w:val="20"/>
        </w:rPr>
        <w:t xml:space="preserve"> the </w:t>
      </w:r>
      <w:r>
        <w:rPr>
          <w:rFonts w:ascii="Arial" w:hAnsi="Arial" w:cs="Arial"/>
          <w:sz w:val="20"/>
          <w:szCs w:val="20"/>
        </w:rPr>
        <w:t>Probation Trust as</w:t>
      </w:r>
      <w:r>
        <w:rPr>
          <w:rFonts w:ascii="Arial" w:eastAsia="Arial" w:hAnsi="Arial" w:cs="Arial"/>
          <w:sz w:val="20"/>
          <w:szCs w:val="20"/>
        </w:rPr>
        <w:t xml:space="preserve"> </w:t>
      </w:r>
      <w:r>
        <w:rPr>
          <w:rFonts w:ascii="Arial" w:hAnsi="Arial" w:cs="Arial"/>
          <w:sz w:val="20"/>
          <w:szCs w:val="20"/>
        </w:rPr>
        <w:t>partners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cases.</w:t>
      </w:r>
    </w:p>
    <w:p w14:paraId="198A6B8F" w14:textId="77777777" w:rsidR="00F2123B" w:rsidRDefault="00F2123B">
      <w:pPr>
        <w:pStyle w:val="Heading3"/>
      </w:pPr>
    </w:p>
    <w:p w14:paraId="198A6B90"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Category</w:t>
      </w:r>
      <w:r>
        <w:rPr>
          <w:rFonts w:ascii="Arial" w:eastAsia="Arial" w:hAnsi="Arial" w:cs="Arial"/>
          <w:b/>
          <w:sz w:val="28"/>
          <w:szCs w:val="28"/>
        </w:rPr>
        <w:t xml:space="preserve"> </w:t>
      </w:r>
      <w:r>
        <w:rPr>
          <w:rFonts w:ascii="Arial" w:hAnsi="Arial" w:cs="Arial"/>
          <w:b/>
          <w:sz w:val="28"/>
          <w:szCs w:val="28"/>
        </w:rPr>
        <w:t>2</w:t>
      </w:r>
    </w:p>
    <w:p w14:paraId="198A6B91" w14:textId="77777777" w:rsidR="00F2123B" w:rsidRDefault="00F2123B">
      <w:pPr>
        <w:autoSpaceDE w:val="0"/>
        <w:spacing w:line="280" w:lineRule="atLeast"/>
        <w:rPr>
          <w:rFonts w:ascii="Arial" w:hAnsi="Arial" w:cs="Arial"/>
          <w:sz w:val="20"/>
          <w:szCs w:val="20"/>
        </w:rPr>
      </w:pPr>
    </w:p>
    <w:p w14:paraId="198A6B92" w14:textId="77777777" w:rsidR="00F2123B" w:rsidRDefault="00200CFB">
      <w:pPr>
        <w:autoSpaceDE w:val="0"/>
        <w:spacing w:line="280" w:lineRule="atLeast"/>
      </w:pPr>
      <w:r>
        <w:rPr>
          <w:rFonts w:ascii="Arial" w:hAnsi="Arial" w:cs="Arial"/>
          <w:sz w:val="20"/>
          <w:szCs w:val="20"/>
        </w:rPr>
        <w:t>8.16</w:t>
      </w:r>
      <w:r>
        <w:rPr>
          <w:rFonts w:ascii="Arial" w:hAnsi="Arial" w:cs="Arial"/>
          <w:sz w:val="20"/>
          <w:szCs w:val="20"/>
        </w:rPr>
        <w:tab/>
        <w:t>It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responsibility</w:t>
      </w:r>
      <w:r>
        <w:rPr>
          <w:rFonts w:ascii="Arial" w:eastAsia="Arial" w:hAnsi="Arial" w:cs="Arial"/>
          <w:sz w:val="20"/>
          <w:szCs w:val="20"/>
        </w:rPr>
        <w:t xml:space="preserve"> </w:t>
      </w:r>
      <w:r>
        <w:rPr>
          <w:rFonts w:ascii="Arial" w:hAnsi="Arial" w:cs="Arial"/>
          <w:sz w:val="20"/>
          <w:szCs w:val="20"/>
        </w:rPr>
        <w:t>of the</w:t>
      </w:r>
      <w:r>
        <w:rPr>
          <w:rFonts w:ascii="Arial" w:eastAsia="Arial" w:hAnsi="Arial" w:cs="Arial"/>
          <w:sz w:val="20"/>
          <w:szCs w:val="20"/>
        </w:rPr>
        <w:t xml:space="preserve"> </w:t>
      </w:r>
      <w:r>
        <w:rPr>
          <w:rFonts w:ascii="Arial" w:hAnsi="Arial" w:cs="Arial"/>
          <w:sz w:val="20"/>
          <w:szCs w:val="20"/>
        </w:rPr>
        <w:t>Probation Trust to</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b/>
          <w:bCs/>
          <w:sz w:val="20"/>
          <w:szCs w:val="20"/>
        </w:rPr>
        <w:t>no</w:t>
      </w:r>
      <w:r>
        <w:rPr>
          <w:rFonts w:ascii="Arial" w:eastAsia="Arial" w:hAnsi="Arial" w:cs="Arial"/>
          <w:b/>
          <w:bCs/>
          <w:sz w:val="20"/>
          <w:szCs w:val="20"/>
        </w:rPr>
        <w:t xml:space="preserve"> </w:t>
      </w:r>
      <w:r>
        <w:rPr>
          <w:rFonts w:ascii="Arial" w:hAnsi="Arial" w:cs="Arial"/>
          <w:b/>
          <w:bCs/>
          <w:sz w:val="20"/>
          <w:szCs w:val="20"/>
        </w:rPr>
        <w:t>later</w:t>
      </w:r>
      <w:r>
        <w:rPr>
          <w:rFonts w:ascii="Arial" w:eastAsia="Arial" w:hAnsi="Arial" w:cs="Arial"/>
          <w:b/>
          <w:bCs/>
          <w:sz w:val="20"/>
          <w:szCs w:val="20"/>
        </w:rPr>
        <w:t xml:space="preserve"> </w:t>
      </w:r>
      <w:r>
        <w:rPr>
          <w:rFonts w:ascii="Arial" w:hAnsi="Arial" w:cs="Arial"/>
          <w:b/>
          <w:bCs/>
          <w:sz w:val="20"/>
          <w:szCs w:val="20"/>
        </w:rPr>
        <w:t>than</w:t>
      </w:r>
      <w:r>
        <w:rPr>
          <w:rFonts w:ascii="Arial" w:eastAsia="Arial" w:hAnsi="Arial" w:cs="Arial"/>
          <w:b/>
          <w:bCs/>
          <w:sz w:val="20"/>
          <w:szCs w:val="20"/>
        </w:rPr>
        <w:t xml:space="preserve"> </w:t>
      </w:r>
      <w:r>
        <w:rPr>
          <w:rFonts w:ascii="Arial" w:hAnsi="Arial" w:cs="Arial"/>
          <w:b/>
          <w:bCs/>
          <w:sz w:val="20"/>
          <w:szCs w:val="20"/>
        </w:rPr>
        <w:t>6</w:t>
      </w:r>
      <w:r>
        <w:rPr>
          <w:rFonts w:ascii="Arial" w:eastAsia="Arial" w:hAnsi="Arial" w:cs="Arial"/>
          <w:b/>
          <w:bCs/>
          <w:sz w:val="20"/>
          <w:szCs w:val="20"/>
        </w:rPr>
        <w:t xml:space="preserve"> </w:t>
      </w:r>
      <w:r>
        <w:rPr>
          <w:rFonts w:ascii="Arial" w:hAnsi="Arial" w:cs="Arial"/>
          <w:b/>
          <w:bCs/>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thereafter.</w:t>
      </w:r>
      <w:r>
        <w:rPr>
          <w:rFonts w:ascii="Arial" w:eastAsia="Arial" w:hAnsi="Arial" w:cs="Arial"/>
          <w:sz w:val="20"/>
          <w:szCs w:val="20"/>
        </w:rPr>
        <w:t xml:space="preserve"> The </w:t>
      </w:r>
      <w:r>
        <w:rPr>
          <w:rFonts w:ascii="Arial" w:hAnsi="Arial" w:cs="Arial"/>
          <w:sz w:val="20"/>
          <w:szCs w:val="20"/>
        </w:rPr>
        <w:t>Probation Trust 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p>
    <w:p w14:paraId="198A6B93" w14:textId="77777777" w:rsidR="00F2123B" w:rsidRDefault="00200CFB" w:rsidP="00AD2BEF">
      <w:pPr>
        <w:numPr>
          <w:ilvl w:val="0"/>
          <w:numId w:val="23"/>
        </w:numPr>
        <w:spacing w:before="240" w:line="280" w:lineRule="atLeast"/>
      </w:pP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maintained</w:t>
      </w:r>
      <w:r>
        <w:rPr>
          <w:rFonts w:ascii="Arial" w:eastAsia="Arial" w:hAnsi="Arial" w:cs="Arial"/>
          <w:sz w:val="20"/>
          <w:szCs w:val="20"/>
        </w:rPr>
        <w:t xml:space="preserve"> </w:t>
      </w:r>
      <w:r>
        <w:rPr>
          <w:rFonts w:ascii="Arial" w:hAnsi="Arial" w:cs="Arial"/>
          <w:sz w:val="20"/>
          <w:szCs w:val="20"/>
        </w:rPr>
        <w:t>according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Standards.</w:t>
      </w:r>
    </w:p>
    <w:p w14:paraId="198A6B94" w14:textId="77777777" w:rsidR="00F2123B" w:rsidRDefault="00200CFB" w:rsidP="00AD2BEF">
      <w:pPr>
        <w:numPr>
          <w:ilvl w:val="0"/>
          <w:numId w:val="23"/>
        </w:numPr>
        <w:spacing w:before="240" w:line="280" w:lineRule="atLeast"/>
      </w:pP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establishment</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located)</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created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whilst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custody.</w:t>
      </w:r>
    </w:p>
    <w:p w14:paraId="198A6B95" w14:textId="77777777" w:rsidR="00F2123B" w:rsidRDefault="00200CFB" w:rsidP="00AD2BEF">
      <w:pPr>
        <w:numPr>
          <w:ilvl w:val="0"/>
          <w:numId w:val="23"/>
        </w:numPr>
        <w:spacing w:before="240" w:line="280" w:lineRule="atLeast"/>
      </w:pPr>
      <w:r>
        <w:rPr>
          <w:rFonts w:ascii="Arial" w:hAnsi="Arial" w:cs="Arial"/>
          <w:sz w:val="20"/>
          <w:szCs w:val="20"/>
        </w:rPr>
        <w:t>Ensuring</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created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partner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detained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out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p>
    <w:p w14:paraId="198A6B96" w14:textId="77777777" w:rsidR="00F2123B" w:rsidRDefault="00200CFB" w:rsidP="00AD2BEF">
      <w:pPr>
        <w:numPr>
          <w:ilvl w:val="0"/>
          <w:numId w:val="23"/>
        </w:numPr>
        <w:spacing w:before="240" w:line="280" w:lineRule="atLeast"/>
      </w:pPr>
      <w:r>
        <w:rPr>
          <w:rFonts w:ascii="Arial" w:hAnsi="Arial" w:cs="Arial"/>
          <w:sz w:val="20"/>
          <w:szCs w:val="20"/>
        </w:rPr>
        <w:t>Activating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flag</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local</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systems</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three</w:t>
      </w:r>
      <w:r>
        <w:rPr>
          <w:rFonts w:ascii="Arial" w:eastAsia="Arial" w:hAnsi="Arial" w:cs="Arial"/>
          <w:sz w:val="20"/>
          <w:szCs w:val="20"/>
        </w:rPr>
        <w:t xml:space="preserve"> </w:t>
      </w:r>
      <w:r>
        <w:rPr>
          <w:rFonts w:ascii="Arial" w:hAnsi="Arial" w:cs="Arial"/>
          <w:sz w:val="20"/>
          <w:szCs w:val="20"/>
        </w:rPr>
        <w:t>working</w:t>
      </w:r>
      <w:r>
        <w:rPr>
          <w:rFonts w:ascii="Arial" w:eastAsia="Arial" w:hAnsi="Arial" w:cs="Arial"/>
          <w:sz w:val="20"/>
          <w:szCs w:val="20"/>
        </w:rPr>
        <w:t xml:space="preserve"> </w:t>
      </w:r>
      <w:r>
        <w:rPr>
          <w:rFonts w:ascii="Arial" w:hAnsi="Arial" w:cs="Arial"/>
          <w:sz w:val="20"/>
          <w:szCs w:val="20"/>
        </w:rPr>
        <w:t>days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flag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include</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decided</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release.</w:t>
      </w:r>
    </w:p>
    <w:p w14:paraId="198A6B97" w14:textId="77777777" w:rsidR="00F2123B" w:rsidRDefault="00F2123B">
      <w:pPr>
        <w:spacing w:line="280" w:lineRule="atLeast"/>
        <w:rPr>
          <w:rFonts w:ascii="Arial" w:hAnsi="Arial" w:cs="Arial"/>
          <w:sz w:val="20"/>
          <w:szCs w:val="20"/>
        </w:rPr>
      </w:pPr>
    </w:p>
    <w:p w14:paraId="198A6B98"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Category</w:t>
      </w:r>
      <w:r>
        <w:rPr>
          <w:rFonts w:ascii="Arial" w:eastAsia="Arial" w:hAnsi="Arial" w:cs="Arial"/>
          <w:b/>
          <w:sz w:val="28"/>
          <w:szCs w:val="28"/>
        </w:rPr>
        <w:t xml:space="preserve"> </w:t>
      </w:r>
      <w:r>
        <w:rPr>
          <w:rFonts w:ascii="Arial" w:hAnsi="Arial" w:cs="Arial"/>
          <w:b/>
          <w:sz w:val="28"/>
          <w:szCs w:val="28"/>
        </w:rPr>
        <w:t>3</w:t>
      </w:r>
    </w:p>
    <w:p w14:paraId="198A6B99" w14:textId="77777777" w:rsidR="00F2123B" w:rsidRDefault="00F2123B">
      <w:pPr>
        <w:spacing w:line="280" w:lineRule="atLeast"/>
        <w:rPr>
          <w:rFonts w:ascii="Arial" w:hAnsi="Arial" w:cs="Arial"/>
          <w:sz w:val="20"/>
          <w:szCs w:val="20"/>
        </w:rPr>
      </w:pPr>
    </w:p>
    <w:p w14:paraId="198A6B9A" w14:textId="77777777" w:rsidR="00F2123B" w:rsidRDefault="00200CFB">
      <w:pPr>
        <w:spacing w:line="280" w:lineRule="atLeast"/>
      </w:pPr>
      <w:r>
        <w:rPr>
          <w:rFonts w:ascii="Arial" w:hAnsi="Arial" w:cs="Arial"/>
          <w:sz w:val="20"/>
          <w:szCs w:val="20"/>
        </w:rPr>
        <w:t>8.17</w:t>
      </w:r>
      <w:r>
        <w:rPr>
          <w:rFonts w:ascii="Arial" w:hAnsi="Arial" w:cs="Arial"/>
          <w:sz w:val="20"/>
          <w:szCs w:val="20"/>
        </w:rPr>
        <w:tab/>
        <w:t>Probation Trusts will</w:t>
      </w:r>
      <w:r>
        <w:rPr>
          <w:rFonts w:ascii="Arial" w:eastAsia="Arial" w:hAnsi="Arial" w:cs="Arial"/>
          <w:sz w:val="20"/>
          <w:szCs w:val="20"/>
        </w:rPr>
        <w:t xml:space="preserve"> </w:t>
      </w:r>
      <w:r>
        <w:rPr>
          <w:rFonts w:ascii="Arial" w:hAnsi="Arial" w:cs="Arial"/>
          <w:sz w:val="20"/>
          <w:szCs w:val="20"/>
        </w:rPr>
        <w:t>enter</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under</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statutory</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plus</w:t>
      </w:r>
      <w:r>
        <w:rPr>
          <w:rFonts w:ascii="Arial" w:eastAsia="Arial" w:hAnsi="Arial" w:cs="Arial"/>
          <w:sz w:val="20"/>
          <w:szCs w:val="20"/>
        </w:rPr>
        <w:t xml:space="preserve"> </w:t>
      </w:r>
      <w:r>
        <w:rPr>
          <w:rFonts w:ascii="Arial" w:hAnsi="Arial" w:cs="Arial"/>
          <w:sz w:val="20"/>
          <w:szCs w:val="20"/>
        </w:rPr>
        <w:t>those</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transferred</w:t>
      </w:r>
      <w:r>
        <w:rPr>
          <w:rFonts w:ascii="Arial" w:eastAsia="Arial" w:hAnsi="Arial" w:cs="Arial"/>
          <w:sz w:val="20"/>
          <w:szCs w:val="20"/>
        </w:rPr>
        <w:t xml:space="preserve"> </w:t>
      </w:r>
      <w:r>
        <w:rPr>
          <w:rFonts w:ascii="Arial" w:hAnsi="Arial" w:cs="Arial"/>
          <w:b/>
          <w:bCs/>
          <w:sz w:val="20"/>
          <w:szCs w:val="20"/>
        </w:rPr>
        <w:t>directly</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example,</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ended</w:t>
      </w:r>
      <w:r>
        <w:rPr>
          <w:rFonts w:ascii="Arial" w:eastAsia="Arial" w:hAnsi="Arial" w:cs="Arial"/>
          <w:sz w:val="20"/>
          <w:szCs w:val="20"/>
        </w:rPr>
        <w:t xml:space="preserve"> </w:t>
      </w:r>
      <w:r>
        <w:rPr>
          <w:rFonts w:ascii="Arial" w:hAnsi="Arial" w:cs="Arial"/>
          <w:sz w:val="20"/>
          <w:szCs w:val="20"/>
        </w:rPr>
        <w:t>but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still</w:t>
      </w:r>
      <w:r>
        <w:rPr>
          <w:rFonts w:ascii="Arial" w:eastAsia="Arial" w:hAnsi="Arial" w:cs="Arial"/>
          <w:sz w:val="20"/>
          <w:szCs w:val="20"/>
        </w:rPr>
        <w:t xml:space="preserve"> </w:t>
      </w:r>
      <w:r>
        <w:rPr>
          <w:rFonts w:ascii="Arial" w:hAnsi="Arial" w:cs="Arial"/>
          <w:sz w:val="20"/>
          <w:szCs w:val="20"/>
        </w:rPr>
        <w:t>requires</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p>
    <w:p w14:paraId="198A6B9B" w14:textId="77777777" w:rsidR="00F2123B" w:rsidRDefault="00200CFB">
      <w:pPr>
        <w:spacing w:line="280" w:lineRule="atLeast"/>
      </w:pPr>
      <w:r>
        <w:rPr>
          <w:rFonts w:ascii="Arial" w:hAnsi="Arial" w:cs="Arial"/>
          <w:sz w:val="20"/>
          <w:szCs w:val="20"/>
        </w:rPr>
        <w:t>8.18</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relation</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offenders.</w:t>
      </w:r>
    </w:p>
    <w:p w14:paraId="198A6B9C" w14:textId="77777777" w:rsidR="00F2123B" w:rsidRDefault="00F2123B">
      <w:pPr>
        <w:spacing w:line="280" w:lineRule="atLeast"/>
        <w:rPr>
          <w:rFonts w:ascii="Arial" w:hAnsi="Arial" w:cs="Arial"/>
          <w:sz w:val="20"/>
          <w:szCs w:val="20"/>
        </w:rPr>
      </w:pPr>
    </w:p>
    <w:p w14:paraId="198A6B9D"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YOT</w:t>
      </w:r>
      <w:r>
        <w:rPr>
          <w:rFonts w:ascii="Arial" w:eastAsia="Arial" w:hAnsi="Arial" w:cs="Arial"/>
          <w:b/>
          <w:sz w:val="28"/>
          <w:szCs w:val="28"/>
        </w:rPr>
        <w:t xml:space="preserve"> </w:t>
      </w:r>
      <w:r>
        <w:rPr>
          <w:rFonts w:ascii="Arial" w:hAnsi="Arial" w:cs="Arial"/>
          <w:b/>
          <w:sz w:val="28"/>
          <w:szCs w:val="28"/>
        </w:rPr>
        <w:t>and</w:t>
      </w:r>
      <w:r>
        <w:rPr>
          <w:rFonts w:ascii="Arial" w:eastAsia="Arial" w:hAnsi="Arial" w:cs="Arial"/>
          <w:b/>
          <w:sz w:val="28"/>
          <w:szCs w:val="28"/>
        </w:rPr>
        <w:t xml:space="preserve"> </w:t>
      </w:r>
      <w:r>
        <w:rPr>
          <w:rFonts w:ascii="Arial" w:hAnsi="Arial" w:cs="Arial"/>
          <w:b/>
          <w:sz w:val="28"/>
          <w:szCs w:val="28"/>
        </w:rPr>
        <w:t>Mental</w:t>
      </w:r>
      <w:r>
        <w:rPr>
          <w:rFonts w:ascii="Arial" w:eastAsia="Arial" w:hAnsi="Arial" w:cs="Arial"/>
          <w:b/>
          <w:sz w:val="28"/>
          <w:szCs w:val="28"/>
        </w:rPr>
        <w:t xml:space="preserve"> </w:t>
      </w:r>
      <w:r>
        <w:rPr>
          <w:rFonts w:ascii="Arial" w:hAnsi="Arial" w:cs="Arial"/>
          <w:b/>
          <w:sz w:val="28"/>
          <w:szCs w:val="28"/>
        </w:rPr>
        <w:t>Health</w:t>
      </w:r>
      <w:r>
        <w:rPr>
          <w:rFonts w:ascii="Arial" w:eastAsia="Arial" w:hAnsi="Arial" w:cs="Arial"/>
          <w:b/>
          <w:sz w:val="28"/>
          <w:szCs w:val="28"/>
        </w:rPr>
        <w:t xml:space="preserve"> </w:t>
      </w:r>
      <w:r>
        <w:rPr>
          <w:rFonts w:ascii="Arial" w:hAnsi="Arial" w:cs="Arial"/>
          <w:b/>
          <w:sz w:val="28"/>
          <w:szCs w:val="28"/>
        </w:rPr>
        <w:t>responsibilities</w:t>
      </w:r>
      <w:r>
        <w:rPr>
          <w:rFonts w:ascii="Arial" w:eastAsia="Arial" w:hAnsi="Arial" w:cs="Arial"/>
          <w:b/>
          <w:sz w:val="28"/>
          <w:szCs w:val="28"/>
        </w:rPr>
        <w:t xml:space="preserve"> </w:t>
      </w:r>
      <w:r>
        <w:rPr>
          <w:rFonts w:ascii="Arial" w:hAnsi="Arial" w:cs="Arial"/>
          <w:b/>
          <w:sz w:val="28"/>
          <w:szCs w:val="28"/>
        </w:rPr>
        <w:t>and</w:t>
      </w:r>
      <w:r>
        <w:rPr>
          <w:rFonts w:ascii="Arial" w:eastAsia="Arial" w:hAnsi="Arial" w:cs="Arial"/>
          <w:b/>
          <w:sz w:val="28"/>
          <w:szCs w:val="28"/>
        </w:rPr>
        <w:t xml:space="preserve"> </w:t>
      </w:r>
      <w:r>
        <w:rPr>
          <w:rFonts w:ascii="Arial" w:hAnsi="Arial" w:cs="Arial"/>
          <w:b/>
          <w:sz w:val="28"/>
          <w:szCs w:val="28"/>
        </w:rPr>
        <w:t>ViSOR</w:t>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198A6B9E" w14:textId="77777777" w:rsidR="00F2123B" w:rsidRDefault="00F2123B">
      <w:pPr>
        <w:spacing w:line="280" w:lineRule="atLeast"/>
        <w:rPr>
          <w:rFonts w:ascii="Arial" w:hAnsi="Arial" w:cs="Arial"/>
          <w:sz w:val="20"/>
          <w:szCs w:val="20"/>
        </w:rPr>
      </w:pPr>
    </w:p>
    <w:p w14:paraId="198A6B9F"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 </w:t>
      </w:r>
      <w:r>
        <w:t>YOTS</w:t>
      </w:r>
      <w:r>
        <w:rPr>
          <w:rFonts w:eastAsia="Arial"/>
        </w:rPr>
        <w:t xml:space="preserve"> </w:t>
      </w:r>
      <w:r>
        <w:t>and</w:t>
      </w:r>
      <w:r>
        <w:rPr>
          <w:rFonts w:eastAsia="Arial"/>
        </w:rPr>
        <w:t xml:space="preserve"> </w:t>
      </w:r>
      <w:r>
        <w:t>Mental</w:t>
      </w:r>
      <w:r>
        <w:rPr>
          <w:rFonts w:eastAsia="Arial"/>
        </w:rPr>
        <w:t xml:space="preserve"> </w:t>
      </w:r>
      <w:r>
        <w:t>Health</w:t>
      </w:r>
      <w:r>
        <w:rPr>
          <w:rFonts w:eastAsia="Arial"/>
        </w:rPr>
        <w:t xml:space="preserve"> </w:t>
      </w:r>
      <w:r>
        <w:t>Services</w:t>
      </w:r>
      <w:r>
        <w:rPr>
          <w:rFonts w:eastAsia="Arial"/>
        </w:rPr>
        <w:t xml:space="preserve"> </w:t>
      </w:r>
      <w:r>
        <w:t>and</w:t>
      </w:r>
      <w:r>
        <w:rPr>
          <w:rFonts w:eastAsia="Arial"/>
        </w:rPr>
        <w:t xml:space="preserve"> </w:t>
      </w:r>
      <w:r>
        <w:t>Teams</w:t>
      </w:r>
      <w:r>
        <w:rPr>
          <w:rFonts w:eastAsia="Arial"/>
        </w:rPr>
        <w:t xml:space="preserve"> </w:t>
      </w:r>
      <w:r>
        <w:t>must</w:t>
      </w:r>
      <w:r>
        <w:rPr>
          <w:rFonts w:eastAsia="Arial"/>
        </w:rPr>
        <w:t xml:space="preserve"> </w:t>
      </w:r>
      <w:r>
        <w:t>provide</w:t>
      </w:r>
      <w:r>
        <w:rPr>
          <w:rFonts w:eastAsia="Arial"/>
        </w:rPr>
        <w:t xml:space="preserve"> </w:t>
      </w:r>
      <w:r>
        <w:t>relevant</w:t>
      </w:r>
      <w:r>
        <w:rPr>
          <w:rFonts w:eastAsia="Arial"/>
        </w:rPr>
        <w:t xml:space="preserve"> </w:t>
      </w:r>
      <w:r>
        <w:t>data</w:t>
      </w:r>
      <w:r>
        <w:rPr>
          <w:rFonts w:eastAsia="Arial"/>
        </w:rPr>
        <w:t xml:space="preserve"> </w:t>
      </w:r>
      <w:r>
        <w:t>for</w:t>
      </w:r>
      <w:r>
        <w:rPr>
          <w:rFonts w:eastAsia="Arial"/>
        </w:rPr>
        <w:t xml:space="preserve"> </w:t>
      </w:r>
      <w:r>
        <w:t>updating</w:t>
      </w:r>
      <w:r>
        <w:rPr>
          <w:rFonts w:eastAsia="Arial"/>
        </w:rPr>
        <w:t xml:space="preserve"> </w:t>
      </w:r>
      <w:r>
        <w:t>ViSOR</w:t>
      </w:r>
      <w:r>
        <w:rPr>
          <w:rFonts w:eastAsia="Arial"/>
        </w:rPr>
        <w:t xml:space="preserve"> </w:t>
      </w:r>
      <w:r>
        <w:t>cases</w:t>
      </w:r>
    </w:p>
    <w:p w14:paraId="198A6BA0" w14:textId="77777777" w:rsidR="00F2123B" w:rsidRDefault="00F2123B">
      <w:pPr>
        <w:spacing w:line="280" w:lineRule="atLeast"/>
        <w:rPr>
          <w:rFonts w:ascii="Arial" w:hAnsi="Arial" w:cs="Arial"/>
          <w:sz w:val="20"/>
          <w:szCs w:val="20"/>
        </w:rPr>
      </w:pPr>
    </w:p>
    <w:p w14:paraId="198A6BA1" w14:textId="2200E56A" w:rsidR="00F2123B" w:rsidRDefault="00200CFB">
      <w:pPr>
        <w:spacing w:line="280" w:lineRule="atLeast"/>
      </w:pPr>
      <w:r>
        <w:rPr>
          <w:rFonts w:ascii="Arial" w:hAnsi="Arial" w:cs="Arial"/>
          <w:sz w:val="20"/>
          <w:szCs w:val="20"/>
        </w:rPr>
        <w:t>8.19</w:t>
      </w:r>
      <w:r>
        <w:rPr>
          <w:rFonts w:ascii="Arial" w:hAnsi="Arial" w:cs="Arial"/>
          <w:sz w:val="20"/>
          <w:szCs w:val="20"/>
        </w:rPr>
        <w:tab/>
      </w:r>
      <w:r>
        <w:rPr>
          <w:rFonts w:ascii="Arial" w:hAnsi="Arial" w:cs="Arial"/>
          <w:b/>
          <w:sz w:val="20"/>
          <w:szCs w:val="20"/>
        </w:rPr>
        <w:t>Category</w:t>
      </w:r>
      <w:r>
        <w:rPr>
          <w:rFonts w:ascii="Arial" w:eastAsia="Arial" w:hAnsi="Arial" w:cs="Arial"/>
          <w:b/>
          <w:sz w:val="20"/>
          <w:szCs w:val="20"/>
        </w:rPr>
        <w:t xml:space="preserve"> </w:t>
      </w:r>
      <w:r>
        <w:rPr>
          <w:rFonts w:ascii="Arial" w:hAnsi="Arial" w:cs="Arial"/>
          <w:b/>
          <w:sz w:val="20"/>
          <w:szCs w:val="20"/>
        </w:rPr>
        <w:t>1</w:t>
      </w:r>
      <w:r>
        <w:rPr>
          <w:rFonts w:ascii="Arial" w:eastAsia="Arial" w:hAnsi="Arial" w:cs="Arial"/>
          <w:b/>
          <w:sz w:val="20"/>
          <w:szCs w:val="20"/>
        </w:rPr>
        <w:t xml:space="preserve"> </w:t>
      </w:r>
      <w:r>
        <w:rPr>
          <w:rFonts w:ascii="Arial" w:hAnsi="Arial" w:cs="Arial"/>
          <w:b/>
          <w:sz w:val="20"/>
          <w:szCs w:val="20"/>
        </w:rPr>
        <w:t>(Registered</w:t>
      </w:r>
      <w:r>
        <w:rPr>
          <w:rFonts w:ascii="Arial" w:eastAsia="Arial" w:hAnsi="Arial" w:cs="Arial"/>
          <w:b/>
          <w:sz w:val="20"/>
          <w:szCs w:val="20"/>
        </w:rPr>
        <w:t xml:space="preserve"> </w:t>
      </w:r>
      <w:r>
        <w:rPr>
          <w:rFonts w:ascii="Arial" w:hAnsi="Arial" w:cs="Arial"/>
          <w:b/>
          <w:sz w:val="20"/>
          <w:szCs w:val="20"/>
        </w:rPr>
        <w:t>Sexual</w:t>
      </w:r>
      <w:r>
        <w:rPr>
          <w:rFonts w:ascii="Arial" w:eastAsia="Arial" w:hAnsi="Arial" w:cs="Arial"/>
          <w:b/>
          <w:sz w:val="20"/>
          <w:szCs w:val="20"/>
        </w:rPr>
        <w:t xml:space="preserve"> </w:t>
      </w:r>
      <w:r>
        <w:rPr>
          <w:rFonts w:ascii="Arial" w:hAnsi="Arial" w:cs="Arial"/>
          <w:b/>
          <w:sz w:val="20"/>
          <w:szCs w:val="20"/>
        </w:rPr>
        <w:t>Offenders)</w:t>
      </w:r>
      <w:r>
        <w:rPr>
          <w:rFonts w:ascii="Arial" w:eastAsia="Arial" w:hAnsi="Arial" w:cs="Arial"/>
          <w:sz w:val="20"/>
          <w:szCs w:val="20"/>
        </w:rPr>
        <w:t xml:space="preserve"> –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have</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nominated</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Manager</w:t>
      </w:r>
      <w:r>
        <w:rPr>
          <w:rFonts w:ascii="Arial" w:eastAsia="Arial" w:hAnsi="Arial" w:cs="Arial"/>
          <w:sz w:val="20"/>
          <w:szCs w:val="20"/>
        </w:rPr>
        <w:t xml:space="preserve">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owner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worker</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worker</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contact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Unit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inform</w:t>
      </w:r>
      <w:r>
        <w:rPr>
          <w:rFonts w:ascii="Arial" w:eastAsia="Arial" w:hAnsi="Arial" w:cs="Arial"/>
          <w:sz w:val="20"/>
          <w:szCs w:val="20"/>
        </w:rPr>
        <w:t xml:space="preserve"> </w:t>
      </w:r>
      <w:r>
        <w:rPr>
          <w:rFonts w:ascii="Arial" w:hAnsi="Arial" w:cs="Arial"/>
          <w:sz w:val="20"/>
          <w:szCs w:val="20"/>
        </w:rPr>
        <w:t>them</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sidR="004D0C4D">
        <w:rPr>
          <w:rFonts w:ascii="Arial" w:eastAsia="Arial" w:hAnsi="Arial" w:cs="Arial"/>
          <w:sz w:val="20"/>
          <w:szCs w:val="20"/>
        </w:rPr>
        <w:t>they are</w:t>
      </w:r>
      <w:r>
        <w:rPr>
          <w:rFonts w:ascii="Arial" w:eastAsia="Arial" w:hAnsi="Arial" w:cs="Arial"/>
          <w:sz w:val="20"/>
          <w:szCs w:val="20"/>
        </w:rPr>
        <w:t xml:space="preserve"> </w:t>
      </w:r>
      <w:r>
        <w:rPr>
          <w:rFonts w:ascii="Arial" w:hAnsi="Arial" w:cs="Arial"/>
          <w:sz w:val="20"/>
          <w:szCs w:val="20"/>
        </w:rPr>
        <w:t>involved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provide</w:t>
      </w:r>
      <w:r>
        <w:rPr>
          <w:rFonts w:ascii="Arial" w:eastAsia="Arial" w:hAnsi="Arial" w:cs="Arial"/>
          <w:sz w:val="20"/>
          <w:szCs w:val="20"/>
        </w:rPr>
        <w:t xml:space="preserve"> </w:t>
      </w:r>
      <w:r w:rsidR="004D0C4D">
        <w:rPr>
          <w:rFonts w:ascii="Arial" w:eastAsia="Arial" w:hAnsi="Arial" w:cs="Arial"/>
          <w:sz w:val="20"/>
          <w:szCs w:val="20"/>
        </w:rPr>
        <w:t xml:space="preserve">their </w:t>
      </w:r>
      <w:r>
        <w:rPr>
          <w:rFonts w:ascii="Arial" w:hAnsi="Arial" w:cs="Arial"/>
          <w:sz w:val="20"/>
          <w:szCs w:val="20"/>
        </w:rPr>
        <w:t>contact</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obtain</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managing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bookmarkStart w:id="7" w:name="OLE_LINK2"/>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bookmarkEnd w:id="7"/>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expected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work</w:t>
      </w:r>
      <w:r>
        <w:rPr>
          <w:rFonts w:ascii="Arial" w:eastAsia="Arial" w:hAnsi="Arial" w:cs="Arial"/>
          <w:sz w:val="20"/>
          <w:szCs w:val="20"/>
        </w:rPr>
        <w:t xml:space="preserve"> </w:t>
      </w:r>
      <w:r>
        <w:rPr>
          <w:rFonts w:ascii="Arial" w:hAnsi="Arial" w:cs="Arial"/>
          <w:sz w:val="20"/>
          <w:szCs w:val="20"/>
        </w:rPr>
        <w:t>closely</w:t>
      </w:r>
      <w:r>
        <w:rPr>
          <w:rFonts w:ascii="Arial" w:eastAsia="Arial" w:hAnsi="Arial" w:cs="Arial"/>
          <w:sz w:val="20"/>
          <w:szCs w:val="20"/>
        </w:rPr>
        <w:t xml:space="preserve"> </w:t>
      </w:r>
      <w:r>
        <w:rPr>
          <w:rFonts w:ascii="Arial" w:hAnsi="Arial" w:cs="Arial"/>
          <w:sz w:val="20"/>
          <w:szCs w:val="20"/>
        </w:rPr>
        <w:t>together</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manage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each</w:t>
      </w:r>
      <w:r>
        <w:rPr>
          <w:rFonts w:ascii="Arial" w:eastAsia="Arial" w:hAnsi="Arial" w:cs="Arial"/>
          <w:sz w:val="20"/>
          <w:szCs w:val="20"/>
        </w:rPr>
        <w:t xml:space="preserve"> </w:t>
      </w:r>
      <w:r>
        <w:rPr>
          <w:rFonts w:ascii="Arial" w:hAnsi="Arial" w:cs="Arial"/>
          <w:sz w:val="20"/>
          <w:szCs w:val="20"/>
        </w:rPr>
        <w:t>informing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significant</w:t>
      </w:r>
      <w:r>
        <w:rPr>
          <w:rFonts w:ascii="Arial" w:eastAsia="Arial" w:hAnsi="Arial" w:cs="Arial"/>
          <w:sz w:val="20"/>
          <w:szCs w:val="20"/>
        </w:rPr>
        <w:t xml:space="preserve"> </w:t>
      </w:r>
      <w:r>
        <w:rPr>
          <w:rFonts w:ascii="Arial" w:hAnsi="Arial" w:cs="Arial"/>
          <w:sz w:val="20"/>
          <w:szCs w:val="20"/>
        </w:rPr>
        <w:t>changes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developments.</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allow</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keep</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updated.</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p>
    <w:p w14:paraId="198A6BA2" w14:textId="77777777" w:rsidR="00F2123B" w:rsidRDefault="00F2123B">
      <w:pPr>
        <w:spacing w:line="280" w:lineRule="atLeast"/>
        <w:rPr>
          <w:rFonts w:ascii="Arial" w:hAnsi="Arial" w:cs="Arial"/>
          <w:b/>
          <w:sz w:val="20"/>
          <w:szCs w:val="20"/>
        </w:rPr>
      </w:pPr>
    </w:p>
    <w:p w14:paraId="198A6BA3" w14:textId="77777777" w:rsidR="00F2123B" w:rsidRDefault="00200CFB">
      <w:pPr>
        <w:spacing w:line="280" w:lineRule="atLeast"/>
      </w:pPr>
      <w:r>
        <w:rPr>
          <w:rFonts w:ascii="Arial" w:hAnsi="Arial" w:cs="Arial"/>
          <w:sz w:val="20"/>
          <w:szCs w:val="20"/>
        </w:rPr>
        <w:t>8.20</w:t>
      </w:r>
      <w:r>
        <w:rPr>
          <w:rFonts w:ascii="Arial" w:hAnsi="Arial" w:cs="Arial"/>
          <w:sz w:val="20"/>
          <w:szCs w:val="20"/>
        </w:rPr>
        <w:tab/>
      </w:r>
      <w:r>
        <w:rPr>
          <w:rFonts w:ascii="Arial" w:hAnsi="Arial" w:cs="Arial"/>
          <w:b/>
          <w:sz w:val="20"/>
          <w:szCs w:val="20"/>
        </w:rPr>
        <w:t>Category</w:t>
      </w:r>
      <w:r>
        <w:rPr>
          <w:rFonts w:ascii="Arial" w:eastAsia="Arial" w:hAnsi="Arial" w:cs="Arial"/>
          <w:b/>
          <w:sz w:val="20"/>
          <w:szCs w:val="20"/>
        </w:rPr>
        <w:t xml:space="preserve"> </w:t>
      </w:r>
      <w:r>
        <w:rPr>
          <w:rFonts w:ascii="Arial" w:hAnsi="Arial" w:cs="Arial"/>
          <w:b/>
          <w:sz w:val="20"/>
          <w:szCs w:val="20"/>
        </w:rPr>
        <w:t>2</w:t>
      </w:r>
      <w:r>
        <w:rPr>
          <w:rFonts w:ascii="Arial" w:eastAsia="Arial" w:hAnsi="Arial" w:cs="Arial"/>
          <w:b/>
          <w:sz w:val="20"/>
          <w:szCs w:val="20"/>
        </w:rPr>
        <w:t xml:space="preserve"> </w:t>
      </w:r>
      <w:r>
        <w:rPr>
          <w:rFonts w:ascii="Arial" w:hAnsi="Arial" w:cs="Arial"/>
          <w:b/>
          <w:sz w:val="20"/>
          <w:szCs w:val="20"/>
        </w:rPr>
        <w:t>(Violent</w:t>
      </w:r>
      <w:r>
        <w:rPr>
          <w:rFonts w:ascii="Arial" w:eastAsia="Arial" w:hAnsi="Arial" w:cs="Arial"/>
          <w:b/>
          <w:sz w:val="20"/>
          <w:szCs w:val="20"/>
        </w:rPr>
        <w:t xml:space="preserve"> </w:t>
      </w:r>
      <w:r>
        <w:rPr>
          <w:rFonts w:ascii="Arial" w:hAnsi="Arial" w:cs="Arial"/>
          <w:b/>
          <w:sz w:val="20"/>
          <w:szCs w:val="20"/>
        </w:rPr>
        <w:t>Offenders)</w:t>
      </w:r>
      <w:r>
        <w:rPr>
          <w:rFonts w:ascii="Arial" w:eastAsia="Arial" w:hAnsi="Arial" w:cs="Arial"/>
          <w:sz w:val="20"/>
          <w:szCs w:val="20"/>
        </w:rPr>
        <w:t xml:space="preserve"> –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ensure</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Co-ordinator</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kept</w:t>
      </w:r>
      <w:r>
        <w:rPr>
          <w:rFonts w:ascii="Arial" w:eastAsia="Arial" w:hAnsi="Arial" w:cs="Arial"/>
          <w:sz w:val="20"/>
          <w:szCs w:val="20"/>
        </w:rPr>
        <w:t xml:space="preserve"> </w:t>
      </w:r>
      <w:r>
        <w:rPr>
          <w:rFonts w:ascii="Arial" w:hAnsi="Arial" w:cs="Arial"/>
          <w:sz w:val="20"/>
          <w:szCs w:val="20"/>
        </w:rPr>
        <w:t>informed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significant</w:t>
      </w:r>
      <w:r>
        <w:rPr>
          <w:rFonts w:ascii="Arial" w:eastAsia="Arial" w:hAnsi="Arial" w:cs="Arial"/>
          <w:sz w:val="20"/>
          <w:szCs w:val="20"/>
        </w:rPr>
        <w:t xml:space="preserve"> </w:t>
      </w:r>
      <w:r>
        <w:rPr>
          <w:rFonts w:ascii="Arial" w:hAnsi="Arial" w:cs="Arial"/>
          <w:sz w:val="20"/>
          <w:szCs w:val="20"/>
        </w:rPr>
        <w:t>changes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events,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example,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expiry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Where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supplied</w:t>
      </w:r>
      <w:r>
        <w:rPr>
          <w:rFonts w:ascii="Arial" w:eastAsia="Arial" w:hAnsi="Arial" w:cs="Arial"/>
          <w:sz w:val="20"/>
          <w:szCs w:val="20"/>
        </w:rPr>
        <w:t xml:space="preserve"> </w:t>
      </w:r>
      <w:r>
        <w:rPr>
          <w:rFonts w:ascii="Arial" w:hAnsi="Arial" w:cs="Arial"/>
          <w:sz w:val="20"/>
          <w:szCs w:val="20"/>
        </w:rPr>
        <w:t>quickly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Probation Trust ViSOR</w:t>
      </w:r>
      <w:r>
        <w:rPr>
          <w:rFonts w:ascii="Arial" w:eastAsia="Arial" w:hAnsi="Arial" w:cs="Arial"/>
          <w:sz w:val="20"/>
          <w:szCs w:val="20"/>
        </w:rPr>
        <w:t xml:space="preserve"> </w:t>
      </w:r>
      <w:r>
        <w:rPr>
          <w:rFonts w:ascii="Arial" w:hAnsi="Arial" w:cs="Arial"/>
          <w:sz w:val="20"/>
          <w:szCs w:val="20"/>
        </w:rPr>
        <w:t>Administrator</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action.</w:t>
      </w:r>
    </w:p>
    <w:p w14:paraId="198A6BA4" w14:textId="77777777" w:rsidR="00F2123B" w:rsidRDefault="00F2123B">
      <w:pPr>
        <w:spacing w:line="280" w:lineRule="atLeast"/>
        <w:rPr>
          <w:rFonts w:ascii="Arial" w:hAnsi="Arial" w:cs="Arial"/>
          <w:sz w:val="20"/>
          <w:szCs w:val="20"/>
        </w:rPr>
      </w:pPr>
    </w:p>
    <w:p w14:paraId="198A6BA5" w14:textId="77777777" w:rsidR="00F2123B" w:rsidRDefault="00200CFB">
      <w:pPr>
        <w:spacing w:line="280" w:lineRule="atLeast"/>
      </w:pPr>
      <w:r>
        <w:rPr>
          <w:rFonts w:ascii="Arial" w:hAnsi="Arial" w:cs="Arial"/>
          <w:sz w:val="20"/>
          <w:szCs w:val="20"/>
        </w:rPr>
        <w:t>8.21</w:t>
      </w:r>
      <w:r>
        <w:rPr>
          <w:rFonts w:ascii="Arial" w:hAnsi="Arial" w:cs="Arial"/>
          <w:sz w:val="20"/>
          <w:szCs w:val="20"/>
        </w:rPr>
        <w:tab/>
      </w:r>
      <w:r>
        <w:rPr>
          <w:rFonts w:ascii="Arial" w:hAnsi="Arial" w:cs="Arial"/>
          <w:b/>
          <w:sz w:val="20"/>
          <w:szCs w:val="20"/>
        </w:rPr>
        <w:t>Category</w:t>
      </w:r>
      <w:r>
        <w:rPr>
          <w:rFonts w:ascii="Arial" w:eastAsia="Arial" w:hAnsi="Arial" w:cs="Arial"/>
          <w:b/>
          <w:sz w:val="20"/>
          <w:szCs w:val="20"/>
        </w:rPr>
        <w:t xml:space="preserve"> </w:t>
      </w:r>
      <w:r>
        <w:rPr>
          <w:rFonts w:ascii="Arial" w:hAnsi="Arial" w:cs="Arial"/>
          <w:b/>
          <w:sz w:val="20"/>
          <w:szCs w:val="20"/>
        </w:rPr>
        <w:t>3</w:t>
      </w:r>
      <w:r>
        <w:rPr>
          <w:rFonts w:ascii="Arial" w:eastAsia="Arial" w:hAnsi="Arial" w:cs="Arial"/>
          <w:b/>
          <w:sz w:val="20"/>
          <w:szCs w:val="20"/>
        </w:rPr>
        <w:t xml:space="preserve"> </w:t>
      </w:r>
      <w:r>
        <w:rPr>
          <w:rFonts w:ascii="Arial" w:hAnsi="Arial" w:cs="Arial"/>
          <w:b/>
          <w:sz w:val="20"/>
          <w:szCs w:val="20"/>
        </w:rPr>
        <w:t>(Other</w:t>
      </w:r>
      <w:r>
        <w:rPr>
          <w:rFonts w:ascii="Arial" w:eastAsia="Arial" w:hAnsi="Arial" w:cs="Arial"/>
          <w:b/>
          <w:sz w:val="20"/>
          <w:szCs w:val="20"/>
        </w:rPr>
        <w:t xml:space="preserve"> </w:t>
      </w:r>
      <w:r>
        <w:rPr>
          <w:rFonts w:ascii="Arial" w:hAnsi="Arial" w:cs="Arial"/>
          <w:b/>
          <w:sz w:val="20"/>
          <w:szCs w:val="20"/>
        </w:rPr>
        <w:t>Dangerous</w:t>
      </w:r>
      <w:r>
        <w:rPr>
          <w:rFonts w:ascii="Arial" w:eastAsia="Arial" w:hAnsi="Arial" w:cs="Arial"/>
          <w:b/>
          <w:sz w:val="20"/>
          <w:szCs w:val="20"/>
        </w:rPr>
        <w:t xml:space="preserve"> </w:t>
      </w:r>
      <w:r>
        <w:rPr>
          <w:rFonts w:ascii="Arial" w:hAnsi="Arial" w:cs="Arial"/>
          <w:b/>
          <w:sz w:val="20"/>
          <w:szCs w:val="20"/>
        </w:rPr>
        <w:t>Offenders)</w:t>
      </w:r>
      <w:r>
        <w:rPr>
          <w:rFonts w:ascii="Arial" w:eastAsia="Arial" w:hAnsi="Arial" w:cs="Arial"/>
          <w:b/>
          <w:sz w:val="20"/>
          <w:szCs w:val="20"/>
        </w:rPr>
        <w:t xml:space="preserve"> </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new</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entered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e.g.</w:t>
      </w:r>
      <w:r>
        <w:rPr>
          <w:rFonts w:ascii="Arial" w:eastAsia="Arial" w:hAnsi="Arial" w:cs="Arial"/>
          <w:sz w:val="20"/>
          <w:szCs w:val="20"/>
        </w:rPr>
        <w:t xml:space="preserve"> </w:t>
      </w:r>
      <w:r>
        <w:rPr>
          <w:rFonts w:ascii="Arial" w:hAnsi="Arial" w:cs="Arial"/>
          <w:sz w:val="20"/>
          <w:szCs w:val="20"/>
        </w:rPr>
        <w:t>updating</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personal</w:t>
      </w:r>
      <w:r>
        <w:rPr>
          <w:rFonts w:ascii="Arial" w:eastAsia="Arial" w:hAnsi="Arial" w:cs="Arial"/>
          <w:sz w:val="20"/>
          <w:szCs w:val="20"/>
        </w:rPr>
        <w:t xml:space="preserve"> </w:t>
      </w:r>
      <w:r>
        <w:rPr>
          <w:rFonts w:ascii="Arial" w:hAnsi="Arial" w:cs="Arial"/>
          <w:sz w:val="20"/>
          <w:szCs w:val="20"/>
        </w:rPr>
        <w:t>circumstances,</w:t>
      </w:r>
      <w:r>
        <w:rPr>
          <w:rFonts w:ascii="Arial" w:eastAsia="Arial" w:hAnsi="Arial" w:cs="Arial"/>
          <w:sz w:val="20"/>
          <w:szCs w:val="20"/>
        </w:rPr>
        <w:t xml:space="preserve"> </w:t>
      </w:r>
      <w:r>
        <w:rPr>
          <w:rFonts w:ascii="Arial" w:hAnsi="Arial" w:cs="Arial"/>
          <w:sz w:val="20"/>
          <w:szCs w:val="20"/>
        </w:rPr>
        <w:t>arrests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intelligence</w:t>
      </w:r>
      <w:r>
        <w:rPr>
          <w:rFonts w:ascii="Arial" w:eastAsia="Arial" w:hAnsi="Arial" w:cs="Arial"/>
          <w:sz w:val="20"/>
          <w:szCs w:val="20"/>
        </w:rPr>
        <w:t xml:space="preserve"> </w:t>
      </w:r>
      <w:r>
        <w:rPr>
          <w:rFonts w:ascii="Arial" w:hAnsi="Arial" w:cs="Arial"/>
          <w:sz w:val="20"/>
          <w:szCs w:val="20"/>
        </w:rPr>
        <w:t>pertinent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effective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YOT</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Trust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supply</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promptly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staff.</w:t>
      </w:r>
      <w:r>
        <w:rPr>
          <w:rFonts w:ascii="Arial" w:eastAsia="Arial" w:hAnsi="Arial" w:cs="Arial"/>
          <w:sz w:val="20"/>
          <w:szCs w:val="20"/>
        </w:rPr>
        <w:t xml:space="preserve"> </w:t>
      </w:r>
    </w:p>
    <w:p w14:paraId="198A6BA6" w14:textId="77777777" w:rsidR="00F2123B" w:rsidRDefault="00F2123B">
      <w:pPr>
        <w:spacing w:line="280" w:lineRule="atLeast"/>
        <w:rPr>
          <w:rFonts w:ascii="Arial" w:hAnsi="Arial" w:cs="Arial"/>
          <w:sz w:val="20"/>
          <w:szCs w:val="20"/>
        </w:rPr>
      </w:pPr>
    </w:p>
    <w:p w14:paraId="198A6BA7" w14:textId="77777777" w:rsidR="00F2123B" w:rsidRDefault="00200CFB">
      <w:pPr>
        <w:pBdr>
          <w:top w:val="single" w:sz="4" w:space="5" w:color="000000"/>
          <w:left w:val="single" w:sz="4" w:space="5" w:color="000000"/>
          <w:bottom w:val="single" w:sz="4" w:space="5" w:color="000000"/>
          <w:right w:val="single" w:sz="4" w:space="5" w:color="000000"/>
        </w:pBdr>
        <w:shd w:val="clear" w:color="auto" w:fill="B3B3B3"/>
        <w:spacing w:line="280" w:lineRule="atLeast"/>
      </w:pPr>
      <w:r>
        <w:rPr>
          <w:rFonts w:ascii="Arial" w:hAnsi="Arial" w:cs="Arial"/>
          <w:b/>
          <w:sz w:val="28"/>
          <w:szCs w:val="28"/>
        </w:rPr>
        <w:t>Archiving</w:t>
      </w:r>
      <w:r>
        <w:rPr>
          <w:rFonts w:ascii="Arial" w:eastAsia="Arial" w:hAnsi="Arial" w:cs="Arial"/>
          <w:b/>
          <w:sz w:val="28"/>
          <w:szCs w:val="28"/>
        </w:rPr>
        <w:t xml:space="preserve"> </w:t>
      </w:r>
      <w:r>
        <w:rPr>
          <w:rFonts w:ascii="Arial" w:hAnsi="Arial" w:cs="Arial"/>
          <w:b/>
          <w:sz w:val="28"/>
          <w:szCs w:val="28"/>
        </w:rPr>
        <w:t>arrangements</w:t>
      </w:r>
    </w:p>
    <w:p w14:paraId="198A6BA8" w14:textId="77777777" w:rsidR="00F2123B" w:rsidRDefault="00F2123B">
      <w:pPr>
        <w:pStyle w:val="Heading2"/>
        <w:spacing w:line="280" w:lineRule="atLeast"/>
        <w:jc w:val="left"/>
        <w:rPr>
          <w:sz w:val="20"/>
          <w:szCs w:val="20"/>
        </w:rPr>
      </w:pPr>
    </w:p>
    <w:p w14:paraId="198A6BA9" w14:textId="77777777" w:rsidR="00F2123B" w:rsidRDefault="00200CFB">
      <w:pPr>
        <w:pStyle w:val="Heading2"/>
        <w:pBdr>
          <w:top w:val="single" w:sz="4" w:space="5" w:color="000000"/>
          <w:left w:val="single" w:sz="4" w:space="5" w:color="000000"/>
          <w:bottom w:val="single" w:sz="4" w:space="5" w:color="000000"/>
          <w:right w:val="single" w:sz="4" w:space="5" w:color="000000"/>
        </w:pBdr>
        <w:spacing w:line="280" w:lineRule="atLeast"/>
        <w:jc w:val="left"/>
      </w:pPr>
      <w:r>
        <w:t>Standard</w:t>
      </w:r>
      <w:r>
        <w:rPr>
          <w:rFonts w:eastAsia="Arial"/>
        </w:rPr>
        <w:t xml:space="preserve"> </w:t>
      </w:r>
      <w:r>
        <w:t>:</w:t>
      </w:r>
      <w:r>
        <w:rPr>
          <w:rFonts w:eastAsia="Arial"/>
        </w:rPr>
        <w:t xml:space="preserve"> </w:t>
      </w:r>
      <w:r>
        <w:t>All</w:t>
      </w:r>
      <w:r>
        <w:rPr>
          <w:rFonts w:eastAsia="Arial"/>
        </w:rPr>
        <w:t xml:space="preserve"> </w:t>
      </w:r>
      <w:r>
        <w:t>ViSOR</w:t>
      </w:r>
      <w:r>
        <w:rPr>
          <w:rFonts w:eastAsia="Arial"/>
        </w:rPr>
        <w:t xml:space="preserve"> </w:t>
      </w:r>
      <w:r>
        <w:t>records</w:t>
      </w:r>
      <w:r>
        <w:rPr>
          <w:rFonts w:eastAsia="Arial"/>
        </w:rPr>
        <w:t xml:space="preserve"> </w:t>
      </w:r>
      <w:r>
        <w:t>should</w:t>
      </w:r>
      <w:r>
        <w:rPr>
          <w:rFonts w:eastAsia="Arial"/>
        </w:rPr>
        <w:t xml:space="preserve"> </w:t>
      </w:r>
      <w:r>
        <w:t>be</w:t>
      </w:r>
      <w:r>
        <w:rPr>
          <w:rFonts w:eastAsia="Arial"/>
        </w:rPr>
        <w:t xml:space="preserve"> </w:t>
      </w:r>
      <w:r>
        <w:t>archived</w:t>
      </w:r>
      <w:r>
        <w:rPr>
          <w:rFonts w:eastAsia="Arial"/>
        </w:rPr>
        <w:t xml:space="preserve"> </w:t>
      </w:r>
      <w:r>
        <w:t>appropriately</w:t>
      </w:r>
      <w:r>
        <w:rPr>
          <w:rFonts w:eastAsia="Arial"/>
        </w:rPr>
        <w:t xml:space="preserve"> </w:t>
      </w:r>
      <w:r>
        <w:t>at</w:t>
      </w:r>
      <w:r>
        <w:rPr>
          <w:rFonts w:eastAsia="Arial"/>
        </w:rPr>
        <w:t xml:space="preserve"> </w:t>
      </w:r>
      <w:r>
        <w:t>the</w:t>
      </w:r>
      <w:r>
        <w:rPr>
          <w:rFonts w:eastAsia="Arial"/>
        </w:rPr>
        <w:t xml:space="preserve"> </w:t>
      </w:r>
      <w:r>
        <w:t>end</w:t>
      </w:r>
      <w:r>
        <w:rPr>
          <w:rFonts w:eastAsia="Arial"/>
        </w:rPr>
        <w:t xml:space="preserve"> </w:t>
      </w:r>
      <w:r>
        <w:t>of</w:t>
      </w:r>
      <w:r>
        <w:rPr>
          <w:rFonts w:eastAsia="Arial"/>
        </w:rPr>
        <w:t xml:space="preserve"> </w:t>
      </w:r>
      <w:r>
        <w:t>the</w:t>
      </w:r>
      <w:r>
        <w:rPr>
          <w:rFonts w:eastAsia="Arial"/>
        </w:rPr>
        <w:t xml:space="preserve"> </w:t>
      </w:r>
      <w:r>
        <w:t>relevant</w:t>
      </w:r>
      <w:r>
        <w:rPr>
          <w:rFonts w:eastAsia="Arial"/>
        </w:rPr>
        <w:t xml:space="preserve"> </w:t>
      </w:r>
      <w:r>
        <w:t>inclusion</w:t>
      </w:r>
      <w:r>
        <w:rPr>
          <w:rFonts w:eastAsia="Arial"/>
        </w:rPr>
        <w:t xml:space="preserve"> </w:t>
      </w:r>
      <w:r>
        <w:t>period</w:t>
      </w:r>
    </w:p>
    <w:p w14:paraId="198A6BAA" w14:textId="77777777" w:rsidR="00F2123B" w:rsidRDefault="00F2123B">
      <w:pPr>
        <w:spacing w:line="280" w:lineRule="atLeast"/>
        <w:rPr>
          <w:rFonts w:ascii="Arial" w:hAnsi="Arial" w:cs="Arial"/>
          <w:sz w:val="20"/>
          <w:szCs w:val="20"/>
        </w:rPr>
      </w:pPr>
    </w:p>
    <w:p w14:paraId="198A6BAB" w14:textId="77777777" w:rsidR="00F2123B" w:rsidRDefault="00200CFB">
      <w:pPr>
        <w:spacing w:line="280" w:lineRule="atLeast"/>
      </w:pPr>
      <w:r>
        <w:rPr>
          <w:rFonts w:ascii="Arial" w:hAnsi="Arial" w:cs="Arial"/>
          <w:sz w:val="20"/>
          <w:szCs w:val="20"/>
        </w:rPr>
        <w:t>8.22</w:t>
      </w:r>
      <w:r>
        <w:rPr>
          <w:rFonts w:ascii="Arial" w:hAnsi="Arial" w:cs="Arial"/>
          <w:sz w:val="20"/>
          <w:szCs w:val="20"/>
        </w:rPr>
        <w:tab/>
        <w:t>When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ceases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active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means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remain</w:t>
      </w:r>
      <w:r>
        <w:rPr>
          <w:rFonts w:ascii="Arial" w:eastAsia="Arial" w:hAnsi="Arial" w:cs="Arial"/>
          <w:sz w:val="20"/>
          <w:szCs w:val="20"/>
        </w:rPr>
        <w:t xml:space="preserve"> </w:t>
      </w:r>
      <w:r>
        <w:rPr>
          <w:rFonts w:ascii="Arial" w:hAnsi="Arial" w:cs="Arial"/>
          <w:sz w:val="20"/>
          <w:szCs w:val="20"/>
        </w:rPr>
        <w:t>within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necessary,</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re-activated.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nominal</w:t>
      </w:r>
      <w:r>
        <w:rPr>
          <w:rFonts w:ascii="Arial" w:eastAsia="Arial" w:hAnsi="Arial" w:cs="Arial"/>
          <w:sz w:val="20"/>
          <w:szCs w:val="20"/>
        </w:rPr>
        <w:t xml:space="preserve"> </w:t>
      </w: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retained</w:t>
      </w:r>
      <w:r>
        <w:rPr>
          <w:rFonts w:ascii="Arial" w:eastAsia="Arial" w:hAnsi="Arial" w:cs="Arial"/>
          <w:sz w:val="20"/>
          <w:szCs w:val="20"/>
        </w:rPr>
        <w:t xml:space="preserve"> </w:t>
      </w:r>
      <w:r>
        <w:rPr>
          <w:rFonts w:ascii="Arial" w:hAnsi="Arial" w:cs="Arial"/>
          <w:sz w:val="20"/>
          <w:szCs w:val="20"/>
        </w:rPr>
        <w:t>until</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100th</w:t>
      </w:r>
      <w:r>
        <w:rPr>
          <w:rFonts w:ascii="Arial" w:eastAsia="Arial" w:hAnsi="Arial" w:cs="Arial"/>
          <w:sz w:val="20"/>
          <w:szCs w:val="20"/>
        </w:rPr>
        <w:t xml:space="preserve"> </w:t>
      </w:r>
      <w:r>
        <w:rPr>
          <w:rFonts w:ascii="Arial" w:hAnsi="Arial" w:cs="Arial"/>
          <w:sz w:val="20"/>
          <w:szCs w:val="20"/>
        </w:rPr>
        <w:t>anniversary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individual</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birth.</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it</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then</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reviewed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removed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p>
    <w:p w14:paraId="198A6BAC" w14:textId="77777777" w:rsidR="00F2123B" w:rsidRDefault="00F2123B">
      <w:pPr>
        <w:spacing w:line="280" w:lineRule="atLeast"/>
        <w:rPr>
          <w:rFonts w:ascii="Arial" w:hAnsi="Arial" w:cs="Arial"/>
          <w:sz w:val="20"/>
          <w:szCs w:val="20"/>
        </w:rPr>
      </w:pPr>
    </w:p>
    <w:p w14:paraId="198A6BAD" w14:textId="77777777" w:rsidR="00F2123B" w:rsidRDefault="00200CFB">
      <w:pPr>
        <w:spacing w:line="280" w:lineRule="atLeast"/>
      </w:pPr>
      <w:r>
        <w:rPr>
          <w:rFonts w:ascii="Arial" w:hAnsi="Arial" w:cs="Arial"/>
          <w:sz w:val="20"/>
          <w:szCs w:val="20"/>
        </w:rPr>
        <w:t>8.23</w:t>
      </w:r>
      <w:r>
        <w:rPr>
          <w:rFonts w:ascii="Arial" w:hAnsi="Arial" w:cs="Arial"/>
          <w:sz w:val="20"/>
          <w:szCs w:val="20"/>
        </w:rPr>
        <w:tab/>
        <w:t>The</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which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remains</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varies</w:t>
      </w:r>
      <w:r>
        <w:rPr>
          <w:rFonts w:ascii="Arial" w:eastAsia="Arial" w:hAnsi="Arial" w:cs="Arial"/>
          <w:sz w:val="20"/>
          <w:szCs w:val="20"/>
        </w:rPr>
        <w:t xml:space="preserve"> </w:t>
      </w:r>
      <w:r>
        <w:rPr>
          <w:rFonts w:ascii="Arial" w:hAnsi="Arial" w:cs="Arial"/>
          <w:sz w:val="20"/>
          <w:szCs w:val="20"/>
        </w:rPr>
        <w:t>significantly.</w:t>
      </w:r>
      <w:r>
        <w:rPr>
          <w:rFonts w:ascii="Arial" w:eastAsia="Arial" w:hAnsi="Arial" w:cs="Arial"/>
          <w:sz w:val="20"/>
          <w:szCs w:val="20"/>
        </w:rPr>
        <w:t xml:space="preserve"> </w:t>
      </w:r>
      <w:r>
        <w:rPr>
          <w:rFonts w:ascii="Arial" w:hAnsi="Arial" w:cs="Arial"/>
          <w:sz w:val="20"/>
          <w:szCs w:val="20"/>
        </w:rPr>
        <w:t>Some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others</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less</w:t>
      </w:r>
      <w:r>
        <w:rPr>
          <w:rFonts w:ascii="Arial" w:eastAsia="Arial" w:hAnsi="Arial" w:cs="Arial"/>
          <w:sz w:val="20"/>
          <w:szCs w:val="20"/>
        </w:rPr>
        <w:t xml:space="preserve"> </w:t>
      </w:r>
      <w:r>
        <w:rPr>
          <w:rFonts w:ascii="Arial" w:hAnsi="Arial" w:cs="Arial"/>
          <w:sz w:val="20"/>
          <w:szCs w:val="20"/>
        </w:rPr>
        <w:t>than</w:t>
      </w:r>
      <w:r>
        <w:rPr>
          <w:rFonts w:ascii="Arial" w:eastAsia="Arial" w:hAnsi="Arial" w:cs="Arial"/>
          <w:sz w:val="20"/>
          <w:szCs w:val="20"/>
        </w:rPr>
        <w:t xml:space="preserve"> </w:t>
      </w:r>
      <w:r>
        <w:rPr>
          <w:rFonts w:ascii="Arial" w:hAnsi="Arial" w:cs="Arial"/>
          <w:sz w:val="20"/>
          <w:szCs w:val="20"/>
        </w:rPr>
        <w:t>6</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depend</w:t>
      </w:r>
      <w:r>
        <w:rPr>
          <w:rFonts w:ascii="Arial" w:eastAsia="Arial" w:hAnsi="Arial" w:cs="Arial"/>
          <w:sz w:val="20"/>
          <w:szCs w:val="20"/>
        </w:rPr>
        <w:t xml:space="preserve"> </w:t>
      </w:r>
      <w:r>
        <w:rPr>
          <w:rFonts w:ascii="Arial" w:hAnsi="Arial" w:cs="Arial"/>
          <w:sz w:val="20"/>
          <w:szCs w:val="20"/>
        </w:rPr>
        <w:t>upon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committed</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imposed.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can</w:t>
      </w:r>
      <w:r>
        <w:rPr>
          <w:rFonts w:ascii="Arial" w:eastAsia="Arial" w:hAnsi="Arial" w:cs="Arial"/>
          <w:sz w:val="20"/>
          <w:szCs w:val="20"/>
        </w:rPr>
        <w:t xml:space="preserve"> </w:t>
      </w:r>
      <w:r>
        <w:rPr>
          <w:rFonts w:ascii="Arial" w:hAnsi="Arial" w:cs="Arial"/>
          <w:sz w:val="20"/>
          <w:szCs w:val="20"/>
        </w:rPr>
        <w:t>only</w:t>
      </w:r>
      <w:r>
        <w:rPr>
          <w:rFonts w:ascii="Arial" w:eastAsia="Arial" w:hAnsi="Arial" w:cs="Arial"/>
          <w:sz w:val="20"/>
          <w:szCs w:val="20"/>
        </w:rPr>
        <w:t xml:space="preserve"> </w:t>
      </w:r>
      <w:r>
        <w:rPr>
          <w:rFonts w:ascii="Arial" w:hAnsi="Arial" w:cs="Arial"/>
          <w:sz w:val="20"/>
          <w:szCs w:val="20"/>
        </w:rPr>
        <w:t>take</w:t>
      </w:r>
      <w:r>
        <w:rPr>
          <w:rFonts w:ascii="Arial" w:eastAsia="Arial" w:hAnsi="Arial" w:cs="Arial"/>
          <w:sz w:val="20"/>
          <w:szCs w:val="20"/>
        </w:rPr>
        <w:t xml:space="preserve"> </w:t>
      </w:r>
      <w:r>
        <w:rPr>
          <w:rFonts w:ascii="Arial" w:hAnsi="Arial" w:cs="Arial"/>
          <w:sz w:val="20"/>
          <w:szCs w:val="20"/>
        </w:rPr>
        <w:t>place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following</w:t>
      </w:r>
      <w:r>
        <w:rPr>
          <w:rFonts w:ascii="Arial" w:eastAsia="Arial" w:hAnsi="Arial" w:cs="Arial"/>
          <w:sz w:val="20"/>
          <w:szCs w:val="20"/>
        </w:rPr>
        <w:t xml:space="preserve"> </w:t>
      </w:r>
      <w:r>
        <w:rPr>
          <w:rFonts w:ascii="Arial" w:hAnsi="Arial" w:cs="Arial"/>
          <w:sz w:val="20"/>
          <w:szCs w:val="20"/>
        </w:rPr>
        <w:t>circumstances:</w:t>
      </w:r>
    </w:p>
    <w:p w14:paraId="198A6BAE" w14:textId="77777777" w:rsidR="00F2123B" w:rsidRDefault="00200CFB" w:rsidP="00AD2BEF">
      <w:pPr>
        <w:numPr>
          <w:ilvl w:val="0"/>
          <w:numId w:val="23"/>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1</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discharged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their</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registration</w:t>
      </w:r>
      <w:r>
        <w:rPr>
          <w:rFonts w:ascii="Arial" w:eastAsia="Arial" w:hAnsi="Arial" w:cs="Arial"/>
          <w:sz w:val="20"/>
          <w:szCs w:val="20"/>
        </w:rPr>
        <w:t xml:space="preserve"> </w:t>
      </w:r>
      <w:r>
        <w:rPr>
          <w:rFonts w:ascii="Arial" w:hAnsi="Arial" w:cs="Arial"/>
          <w:sz w:val="20"/>
          <w:szCs w:val="20"/>
        </w:rPr>
        <w:t>expires.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most</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cases,</w:t>
      </w:r>
      <w:r>
        <w:rPr>
          <w:rFonts w:ascii="Arial" w:eastAsia="Arial" w:hAnsi="Arial" w:cs="Arial"/>
          <w:sz w:val="20"/>
          <w:szCs w:val="20"/>
        </w:rPr>
        <w:t xml:space="preserve"> </w:t>
      </w:r>
      <w:r>
        <w:rPr>
          <w:rFonts w:ascii="Arial" w:hAnsi="Arial" w:cs="Arial"/>
          <w:sz w:val="20"/>
          <w:szCs w:val="20"/>
        </w:rPr>
        <w:t>registration</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life</w:t>
      </w:r>
      <w:r>
        <w:rPr>
          <w:rFonts w:ascii="Arial" w:eastAsia="Arial" w:hAnsi="Arial" w:cs="Arial"/>
          <w:sz w:val="20"/>
          <w:szCs w:val="20"/>
        </w:rPr>
        <w:t xml:space="preserve"> </w:t>
      </w:r>
      <w:r>
        <w:rPr>
          <w:rFonts w:ascii="Arial" w:hAnsi="Arial" w:cs="Arial"/>
          <w:sz w:val="20"/>
          <w:szCs w:val="20"/>
        </w:rPr>
        <w:t>(subject</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review</w:t>
      </w:r>
      <w:r>
        <w:rPr>
          <w:rFonts w:ascii="Arial" w:eastAsia="Arial" w:hAnsi="Arial" w:cs="Arial"/>
          <w:sz w:val="20"/>
          <w:szCs w:val="20"/>
        </w:rPr>
        <w:t xml:space="preserve"> </w:t>
      </w:r>
      <w:r>
        <w:rPr>
          <w:rFonts w:ascii="Arial" w:hAnsi="Arial" w:cs="Arial"/>
          <w:sz w:val="20"/>
          <w:szCs w:val="20"/>
        </w:rPr>
        <w:t>plans)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dies.</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end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determinate</w:t>
      </w:r>
      <w:r>
        <w:rPr>
          <w:rFonts w:ascii="Arial" w:eastAsia="Arial" w:hAnsi="Arial" w:cs="Arial"/>
          <w:sz w:val="20"/>
          <w:szCs w:val="20"/>
        </w:rPr>
        <w:t xml:space="preserve"> </w:t>
      </w:r>
      <w:r>
        <w:rPr>
          <w:rFonts w:ascii="Arial" w:hAnsi="Arial" w:cs="Arial"/>
          <w:sz w:val="20"/>
          <w:szCs w:val="20"/>
        </w:rPr>
        <w:t>period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registration,</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alternatively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re-categorised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p>
    <w:p w14:paraId="198A6BAF" w14:textId="77777777" w:rsidR="00F2123B" w:rsidRDefault="00200CFB" w:rsidP="00AD2BEF">
      <w:pPr>
        <w:numPr>
          <w:ilvl w:val="0"/>
          <w:numId w:val="23"/>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discharged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licence</w:t>
      </w:r>
      <w:r>
        <w:rPr>
          <w:rFonts w:ascii="Arial" w:eastAsia="Arial" w:hAnsi="Arial" w:cs="Arial"/>
          <w:sz w:val="20"/>
          <w:szCs w:val="20"/>
        </w:rPr>
        <w:t xml:space="preserve"> </w:t>
      </w:r>
      <w:r>
        <w:rPr>
          <w:rFonts w:ascii="Arial" w:hAnsi="Arial" w:cs="Arial"/>
          <w:sz w:val="20"/>
          <w:szCs w:val="20"/>
        </w:rPr>
        <w:t>expiry,</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discharge</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post-hospital</w:t>
      </w:r>
      <w:r>
        <w:rPr>
          <w:rFonts w:ascii="Arial" w:eastAsia="Arial" w:hAnsi="Arial" w:cs="Arial"/>
          <w:sz w:val="20"/>
          <w:szCs w:val="20"/>
        </w:rPr>
        <w:t xml:space="preserve"> </w:t>
      </w:r>
      <w:r>
        <w:rPr>
          <w:rFonts w:ascii="Arial" w:hAnsi="Arial" w:cs="Arial"/>
          <w:sz w:val="20"/>
          <w:szCs w:val="20"/>
        </w:rPr>
        <w:t>supervision</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revocation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Disqualification</w:t>
      </w:r>
      <w:r>
        <w:rPr>
          <w:rFonts w:ascii="Arial" w:eastAsia="Arial" w:hAnsi="Arial" w:cs="Arial"/>
          <w:sz w:val="20"/>
          <w:szCs w:val="20"/>
        </w:rPr>
        <w:t xml:space="preserve"> </w:t>
      </w:r>
      <w:r>
        <w:rPr>
          <w:rFonts w:ascii="Arial" w:hAnsi="Arial" w:cs="Arial"/>
          <w:sz w:val="20"/>
          <w:szCs w:val="20"/>
        </w:rPr>
        <w:t>Order.</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may</w:t>
      </w:r>
      <w:r>
        <w:rPr>
          <w:rFonts w:ascii="Arial" w:eastAsia="Arial" w:hAnsi="Arial" w:cs="Arial"/>
          <w:sz w:val="20"/>
          <w:szCs w:val="20"/>
        </w:rPr>
        <w:t xml:space="preserve"> </w:t>
      </w:r>
      <w:r>
        <w:rPr>
          <w:rFonts w:ascii="Arial" w:hAnsi="Arial" w:cs="Arial"/>
          <w:sz w:val="20"/>
          <w:szCs w:val="20"/>
        </w:rPr>
        <w:t>alternatively</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re-categorised</w:t>
      </w:r>
      <w:r>
        <w:rPr>
          <w:rFonts w:ascii="Arial" w:eastAsia="Arial" w:hAnsi="Arial" w:cs="Arial"/>
          <w:sz w:val="20"/>
          <w:szCs w:val="20"/>
        </w:rPr>
        <w:t xml:space="preserve"> </w:t>
      </w:r>
      <w:r>
        <w:rPr>
          <w:rFonts w:ascii="Arial" w:hAnsi="Arial" w:cs="Arial"/>
          <w:sz w:val="20"/>
          <w:szCs w:val="20"/>
        </w:rPr>
        <w:t>as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business</w:t>
      </w:r>
      <w:r>
        <w:rPr>
          <w:rFonts w:ascii="Arial" w:eastAsia="Arial" w:hAnsi="Arial" w:cs="Arial"/>
          <w:sz w:val="20"/>
          <w:szCs w:val="20"/>
        </w:rPr>
        <w:t xml:space="preserve"> </w:t>
      </w:r>
      <w:r>
        <w:rPr>
          <w:rFonts w:ascii="Arial" w:hAnsi="Arial" w:cs="Arial"/>
          <w:sz w:val="20"/>
          <w:szCs w:val="20"/>
        </w:rPr>
        <w:t>model</w:t>
      </w:r>
      <w:r>
        <w:rPr>
          <w:rFonts w:ascii="Arial" w:eastAsia="Arial" w:hAnsi="Arial" w:cs="Arial"/>
          <w:sz w:val="20"/>
          <w:szCs w:val="20"/>
        </w:rPr>
        <w:t xml:space="preserve"> </w:t>
      </w:r>
      <w:r>
        <w:rPr>
          <w:rFonts w:ascii="Arial" w:hAnsi="Arial" w:cs="Arial"/>
          <w:sz w:val="20"/>
          <w:szCs w:val="20"/>
        </w:rPr>
        <w:t>allows</w:t>
      </w:r>
      <w:r>
        <w:rPr>
          <w:rFonts w:ascii="Arial" w:eastAsia="Arial" w:hAnsi="Arial" w:cs="Arial"/>
          <w:sz w:val="20"/>
          <w:szCs w:val="20"/>
        </w:rPr>
        <w:t xml:space="preserve"> </w:t>
      </w:r>
      <w:r>
        <w:rPr>
          <w:rFonts w:ascii="Arial" w:hAnsi="Arial" w:cs="Arial"/>
          <w:sz w:val="20"/>
          <w:szCs w:val="20"/>
        </w:rPr>
        <w:t>them</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they</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longer</w:t>
      </w:r>
      <w:r>
        <w:rPr>
          <w:rFonts w:ascii="Arial" w:eastAsia="Arial" w:hAnsi="Arial" w:cs="Arial"/>
          <w:sz w:val="20"/>
          <w:szCs w:val="20"/>
        </w:rPr>
        <w:t xml:space="preserve"> </w:t>
      </w:r>
      <w:r>
        <w:rPr>
          <w:rFonts w:ascii="Arial" w:hAnsi="Arial" w:cs="Arial"/>
          <w:sz w:val="20"/>
          <w:szCs w:val="20"/>
        </w:rPr>
        <w:t>managed</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3.</w:t>
      </w:r>
    </w:p>
    <w:p w14:paraId="198A6BB0" w14:textId="77777777" w:rsidR="00F2123B" w:rsidRDefault="00200CFB" w:rsidP="00AD2BEF">
      <w:pPr>
        <w:numPr>
          <w:ilvl w:val="0"/>
          <w:numId w:val="23"/>
        </w:numPr>
        <w:spacing w:before="240" w:line="280" w:lineRule="atLeast"/>
      </w:pPr>
      <w:r>
        <w:rPr>
          <w:rFonts w:ascii="Arial" w:hAnsi="Arial" w:cs="Arial"/>
          <w:sz w:val="20"/>
          <w:szCs w:val="20"/>
        </w:rPr>
        <w:t>Category</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offenders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discharged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archived</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decides</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reduced</w:t>
      </w:r>
      <w:r>
        <w:rPr>
          <w:rFonts w:ascii="Arial" w:eastAsia="Arial" w:hAnsi="Arial" w:cs="Arial"/>
          <w:sz w:val="20"/>
          <w:szCs w:val="20"/>
        </w:rPr>
        <w:t xml:space="preserve"> </w:t>
      </w:r>
      <w:r>
        <w:rPr>
          <w:rFonts w:ascii="Arial" w:hAnsi="Arial" w:cs="Arial"/>
          <w:sz w:val="20"/>
          <w:szCs w:val="20"/>
        </w:rPr>
        <w:t>sufficiently.</w:t>
      </w:r>
      <w:r>
        <w:rPr>
          <w:rFonts w:ascii="Arial" w:eastAsia="Arial" w:hAnsi="Arial" w:cs="Arial"/>
          <w:sz w:val="20"/>
          <w:szCs w:val="20"/>
        </w:rPr>
        <w:t xml:space="preserve"> </w:t>
      </w:r>
    </w:p>
    <w:p w14:paraId="198A6BB1" w14:textId="77777777" w:rsidR="00F2123B" w:rsidRDefault="00F2123B">
      <w:pPr>
        <w:pStyle w:val="Heading2"/>
        <w:spacing w:line="280" w:lineRule="atLeast"/>
        <w:jc w:val="left"/>
        <w:rPr>
          <w:sz w:val="20"/>
          <w:szCs w:val="20"/>
        </w:rPr>
      </w:pPr>
    </w:p>
    <w:p w14:paraId="198A6BB2" w14:textId="77777777" w:rsidR="00F2123B" w:rsidRDefault="00200CFB">
      <w:pPr>
        <w:pStyle w:val="Heading2"/>
        <w:spacing w:line="280" w:lineRule="atLeast"/>
        <w:jc w:val="left"/>
      </w:pPr>
      <w:r>
        <w:rPr>
          <w:b w:val="0"/>
          <w:sz w:val="20"/>
          <w:szCs w:val="20"/>
        </w:rPr>
        <w:t>8.24</w:t>
      </w:r>
      <w:r>
        <w:rPr>
          <w:b w:val="0"/>
          <w:sz w:val="20"/>
          <w:szCs w:val="20"/>
        </w:rPr>
        <w:tab/>
        <w:t>Further</w:t>
      </w:r>
      <w:r>
        <w:rPr>
          <w:rFonts w:eastAsia="Arial"/>
          <w:b w:val="0"/>
          <w:sz w:val="20"/>
          <w:szCs w:val="20"/>
        </w:rPr>
        <w:t xml:space="preserve"> </w:t>
      </w:r>
      <w:r>
        <w:rPr>
          <w:b w:val="0"/>
          <w:sz w:val="20"/>
          <w:szCs w:val="20"/>
        </w:rPr>
        <w:t>guidance</w:t>
      </w:r>
      <w:r>
        <w:rPr>
          <w:rFonts w:eastAsia="Arial"/>
          <w:b w:val="0"/>
          <w:sz w:val="20"/>
          <w:szCs w:val="20"/>
        </w:rPr>
        <w:t xml:space="preserve"> </w:t>
      </w:r>
      <w:r>
        <w:rPr>
          <w:b w:val="0"/>
          <w:sz w:val="20"/>
          <w:szCs w:val="20"/>
        </w:rPr>
        <w:t>on</w:t>
      </w:r>
      <w:r>
        <w:rPr>
          <w:rFonts w:eastAsia="Arial"/>
          <w:b w:val="0"/>
          <w:sz w:val="20"/>
          <w:szCs w:val="20"/>
        </w:rPr>
        <w:t xml:space="preserve"> </w:t>
      </w:r>
      <w:r>
        <w:rPr>
          <w:b w:val="0"/>
          <w:sz w:val="20"/>
          <w:szCs w:val="20"/>
        </w:rPr>
        <w:t>the</w:t>
      </w:r>
      <w:r>
        <w:rPr>
          <w:rFonts w:eastAsia="Arial"/>
          <w:b w:val="0"/>
          <w:sz w:val="20"/>
          <w:szCs w:val="20"/>
        </w:rPr>
        <w:t xml:space="preserve"> </w:t>
      </w:r>
      <w:r>
        <w:rPr>
          <w:b w:val="0"/>
          <w:sz w:val="20"/>
          <w:szCs w:val="20"/>
        </w:rPr>
        <w:t>retention</w:t>
      </w:r>
      <w:r>
        <w:rPr>
          <w:rFonts w:eastAsia="Arial"/>
          <w:b w:val="0"/>
          <w:sz w:val="20"/>
          <w:szCs w:val="20"/>
        </w:rPr>
        <w:t xml:space="preserve"> </w:t>
      </w:r>
      <w:r>
        <w:rPr>
          <w:b w:val="0"/>
          <w:sz w:val="20"/>
          <w:szCs w:val="20"/>
        </w:rPr>
        <w:t>of</w:t>
      </w:r>
      <w:r>
        <w:rPr>
          <w:rFonts w:eastAsia="Arial"/>
          <w:b w:val="0"/>
          <w:sz w:val="20"/>
          <w:szCs w:val="20"/>
        </w:rPr>
        <w:t xml:space="preserve"> </w:t>
      </w:r>
      <w:r>
        <w:rPr>
          <w:b w:val="0"/>
          <w:sz w:val="20"/>
          <w:szCs w:val="20"/>
        </w:rPr>
        <w:t>information</w:t>
      </w:r>
      <w:r>
        <w:rPr>
          <w:rFonts w:eastAsia="Arial"/>
          <w:b w:val="0"/>
          <w:sz w:val="20"/>
          <w:szCs w:val="20"/>
        </w:rPr>
        <w:t xml:space="preserve"> </w:t>
      </w:r>
      <w:r>
        <w:rPr>
          <w:b w:val="0"/>
          <w:sz w:val="20"/>
          <w:szCs w:val="20"/>
        </w:rPr>
        <w:t>can</w:t>
      </w:r>
      <w:r>
        <w:rPr>
          <w:rFonts w:eastAsia="Arial"/>
          <w:b w:val="0"/>
          <w:sz w:val="20"/>
          <w:szCs w:val="20"/>
        </w:rPr>
        <w:t xml:space="preserve"> </w:t>
      </w:r>
      <w:r>
        <w:rPr>
          <w:b w:val="0"/>
          <w:sz w:val="20"/>
          <w:szCs w:val="20"/>
        </w:rPr>
        <w:t>be</w:t>
      </w:r>
      <w:r>
        <w:rPr>
          <w:rFonts w:eastAsia="Arial"/>
          <w:b w:val="0"/>
          <w:sz w:val="20"/>
          <w:szCs w:val="20"/>
        </w:rPr>
        <w:t xml:space="preserve"> </w:t>
      </w:r>
      <w:r>
        <w:rPr>
          <w:b w:val="0"/>
          <w:sz w:val="20"/>
          <w:szCs w:val="20"/>
        </w:rPr>
        <w:t>obtained</w:t>
      </w:r>
      <w:r>
        <w:rPr>
          <w:rFonts w:eastAsia="Arial"/>
          <w:b w:val="0"/>
          <w:sz w:val="20"/>
          <w:szCs w:val="20"/>
        </w:rPr>
        <w:t xml:space="preserve"> </w:t>
      </w:r>
      <w:r>
        <w:rPr>
          <w:b w:val="0"/>
          <w:sz w:val="20"/>
          <w:szCs w:val="20"/>
        </w:rPr>
        <w:t>from</w:t>
      </w:r>
      <w:r>
        <w:rPr>
          <w:rFonts w:eastAsia="Arial"/>
          <w:b w:val="0"/>
          <w:sz w:val="20"/>
          <w:szCs w:val="20"/>
        </w:rPr>
        <w:t xml:space="preserve"> the </w:t>
      </w:r>
      <w:r>
        <w:rPr>
          <w:b w:val="0"/>
          <w:sz w:val="20"/>
          <w:szCs w:val="20"/>
        </w:rPr>
        <w:t>ACPO</w:t>
      </w:r>
      <w:r>
        <w:rPr>
          <w:rFonts w:eastAsia="Arial"/>
          <w:b w:val="0"/>
          <w:sz w:val="20"/>
          <w:szCs w:val="20"/>
        </w:rPr>
        <w:t xml:space="preserve"> </w:t>
      </w:r>
      <w:r>
        <w:rPr>
          <w:b w:val="0"/>
          <w:sz w:val="20"/>
          <w:szCs w:val="20"/>
        </w:rPr>
        <w:t>2006</w:t>
      </w:r>
      <w:r>
        <w:rPr>
          <w:rFonts w:eastAsia="Arial"/>
          <w:b w:val="0"/>
          <w:sz w:val="20"/>
          <w:szCs w:val="20"/>
        </w:rPr>
        <w:t xml:space="preserve"> </w:t>
      </w:r>
      <w:r>
        <w:rPr>
          <w:b w:val="0"/>
          <w:sz w:val="20"/>
          <w:szCs w:val="20"/>
        </w:rPr>
        <w:t>Guidance</w:t>
      </w:r>
      <w:r>
        <w:rPr>
          <w:rFonts w:eastAsia="Arial"/>
          <w:b w:val="0"/>
          <w:sz w:val="20"/>
          <w:szCs w:val="20"/>
        </w:rPr>
        <w:t xml:space="preserve"> </w:t>
      </w:r>
      <w:r>
        <w:rPr>
          <w:b w:val="0"/>
          <w:sz w:val="20"/>
          <w:szCs w:val="20"/>
        </w:rPr>
        <w:t>on</w:t>
      </w:r>
      <w:r>
        <w:rPr>
          <w:rFonts w:eastAsia="Arial"/>
          <w:b w:val="0"/>
          <w:sz w:val="20"/>
          <w:szCs w:val="20"/>
        </w:rPr>
        <w:t xml:space="preserve"> </w:t>
      </w:r>
      <w:r>
        <w:rPr>
          <w:b w:val="0"/>
          <w:sz w:val="20"/>
          <w:szCs w:val="20"/>
        </w:rPr>
        <w:t>the</w:t>
      </w:r>
      <w:r>
        <w:rPr>
          <w:rFonts w:eastAsia="Arial"/>
          <w:b w:val="0"/>
          <w:sz w:val="20"/>
          <w:szCs w:val="20"/>
        </w:rPr>
        <w:t xml:space="preserve"> </w:t>
      </w:r>
      <w:r>
        <w:rPr>
          <w:b w:val="0"/>
          <w:sz w:val="20"/>
          <w:szCs w:val="20"/>
        </w:rPr>
        <w:t>Management</w:t>
      </w:r>
      <w:r>
        <w:rPr>
          <w:rFonts w:eastAsia="Arial"/>
          <w:b w:val="0"/>
          <w:sz w:val="20"/>
          <w:szCs w:val="20"/>
        </w:rPr>
        <w:t xml:space="preserve"> </w:t>
      </w:r>
      <w:r>
        <w:rPr>
          <w:b w:val="0"/>
          <w:sz w:val="20"/>
          <w:szCs w:val="20"/>
        </w:rPr>
        <w:t>of</w:t>
      </w:r>
      <w:r>
        <w:rPr>
          <w:rFonts w:eastAsia="Arial"/>
          <w:b w:val="0"/>
          <w:sz w:val="20"/>
          <w:szCs w:val="20"/>
        </w:rPr>
        <w:t xml:space="preserve"> </w:t>
      </w:r>
      <w:r>
        <w:rPr>
          <w:b w:val="0"/>
          <w:sz w:val="20"/>
          <w:szCs w:val="20"/>
        </w:rPr>
        <w:t>Police</w:t>
      </w:r>
      <w:r>
        <w:rPr>
          <w:rFonts w:eastAsia="Arial"/>
          <w:b w:val="0"/>
          <w:sz w:val="20"/>
          <w:szCs w:val="20"/>
        </w:rPr>
        <w:t xml:space="preserve"> </w:t>
      </w:r>
      <w:r>
        <w:rPr>
          <w:b w:val="0"/>
          <w:sz w:val="20"/>
          <w:szCs w:val="20"/>
        </w:rPr>
        <w:t>Information.</w:t>
      </w:r>
      <w:r>
        <w:rPr>
          <w:rFonts w:eastAsia="Arial"/>
          <w:b w:val="0"/>
          <w:sz w:val="20"/>
          <w:szCs w:val="20"/>
        </w:rPr>
        <w:t xml:space="preserve"> </w:t>
      </w:r>
    </w:p>
    <w:p w14:paraId="198A6BB3" w14:textId="77777777" w:rsidR="00F2123B" w:rsidRDefault="00F2123B">
      <w:pPr>
        <w:spacing w:line="280" w:lineRule="atLeast"/>
        <w:rPr>
          <w:rFonts w:ascii="Arial" w:hAnsi="Arial" w:cs="Arial"/>
          <w:sz w:val="20"/>
          <w:szCs w:val="20"/>
        </w:rPr>
      </w:pPr>
    </w:p>
    <w:p w14:paraId="198A6BB4" w14:textId="77777777" w:rsidR="00F2123B" w:rsidRDefault="00200CFB">
      <w:pPr>
        <w:spacing w:line="280" w:lineRule="atLeast"/>
      </w:pPr>
      <w:r>
        <w:rPr>
          <w:rFonts w:ascii="Arial" w:hAnsi="Arial" w:cs="Arial"/>
          <w:sz w:val="20"/>
          <w:szCs w:val="20"/>
        </w:rPr>
        <w:t>8.25</w:t>
      </w:r>
      <w:r>
        <w:rPr>
          <w:rFonts w:cs="Arial"/>
          <w:sz w:val="20"/>
          <w:szCs w:val="20"/>
        </w:rPr>
        <w:tab/>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records</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should</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Handbook:</w:t>
      </w:r>
      <w:r>
        <w:rPr>
          <w:rFonts w:ascii="Arial" w:eastAsia="Arial" w:hAnsi="Arial" w:cs="Arial"/>
          <w:sz w:val="20"/>
          <w:szCs w:val="20"/>
        </w:rPr>
        <w:t xml:space="preserve"> </w:t>
      </w:r>
      <w:r>
        <w:rPr>
          <w:rFonts w:ascii="Arial" w:hAnsi="Arial" w:cs="Arial"/>
          <w:sz w:val="20"/>
          <w:szCs w:val="20"/>
        </w:rPr>
        <w:t>NOMS</w:t>
      </w:r>
      <w:r>
        <w:rPr>
          <w:rFonts w:ascii="Arial" w:eastAsia="Arial" w:hAnsi="Arial" w:cs="Arial"/>
          <w:sz w:val="20"/>
          <w:szCs w:val="20"/>
        </w:rPr>
        <w:t xml:space="preserve"> </w:t>
      </w:r>
      <w:r>
        <w:rPr>
          <w:rFonts w:ascii="Arial" w:hAnsi="Arial" w:cs="Arial"/>
          <w:sz w:val="20"/>
          <w:szCs w:val="20"/>
        </w:rPr>
        <w:t>Guidance</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Services</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use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NPIA</w:t>
      </w:r>
      <w:r>
        <w:rPr>
          <w:rFonts w:ascii="Arial" w:eastAsia="Arial" w:hAnsi="Arial" w:cs="Arial"/>
          <w:sz w:val="20"/>
          <w:szCs w:val="20"/>
        </w:rPr>
        <w:t xml:space="preserve"> </w:t>
      </w:r>
      <w:r>
        <w:rPr>
          <w:rFonts w:ascii="Arial" w:hAnsi="Arial" w:cs="Arial"/>
          <w:sz w:val="20"/>
          <w:szCs w:val="20"/>
        </w:rPr>
        <w:t>(2010)</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Standards</w:t>
      </w:r>
      <w:r>
        <w:rPr>
          <w:rFonts w:ascii="Arial" w:eastAsia="Arial" w:hAnsi="Arial" w:cs="Arial"/>
          <w:sz w:val="20"/>
          <w:szCs w:val="20"/>
        </w:rPr>
        <w:t xml:space="preserve"> </w:t>
      </w:r>
      <w:r>
        <w:rPr>
          <w:rFonts w:ascii="Arial" w:hAnsi="Arial" w:cs="Arial"/>
          <w:sz w:val="20"/>
          <w:szCs w:val="20"/>
        </w:rPr>
        <w:t>2.0.</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Standards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available</w:t>
      </w:r>
      <w:r>
        <w:rPr>
          <w:rFonts w:ascii="Arial" w:eastAsia="Arial" w:hAnsi="Arial" w:cs="Arial"/>
          <w:sz w:val="20"/>
          <w:szCs w:val="20"/>
        </w:rPr>
        <w:t xml:space="preserve"> </w:t>
      </w:r>
      <w:r>
        <w:rPr>
          <w:rFonts w:ascii="Arial" w:hAnsi="Arial" w:cs="Arial"/>
          <w:sz w:val="20"/>
          <w:szCs w:val="20"/>
        </w:rPr>
        <w:t>online</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hyperlink r:id="rId23" w:history="1">
        <w:r>
          <w:rPr>
            <w:rStyle w:val="Hyperlink"/>
            <w:rFonts w:ascii="Arial" w:hAnsi="Arial"/>
            <w:color w:val="auto"/>
            <w:sz w:val="20"/>
            <w:szCs w:val="20"/>
          </w:rPr>
          <w:t>http://www.acpo.police.uk/documents/crime/2011/20110404%20ViSOR%20Standards%20v2%200_Nov%202010.pdf</w:t>
        </w:r>
      </w:hyperlink>
      <w:r>
        <w:rPr>
          <w:rFonts w:ascii="Arial" w:hAnsi="Arial" w:cs="Arial"/>
          <w:b/>
          <w:sz w:val="20"/>
          <w:szCs w:val="20"/>
        </w:rPr>
        <w:t>.</w:t>
      </w:r>
    </w:p>
    <w:p w14:paraId="198A6BB5" w14:textId="77777777" w:rsidR="00F2123B" w:rsidRDefault="00F2123B">
      <w:pPr>
        <w:pStyle w:val="Heading2"/>
        <w:spacing w:line="280" w:lineRule="atLeast"/>
        <w:jc w:val="left"/>
        <w:rPr>
          <w:b w:val="0"/>
          <w:sz w:val="20"/>
          <w:szCs w:val="20"/>
        </w:rPr>
      </w:pPr>
    </w:p>
    <w:p w14:paraId="198A6BB6" w14:textId="77777777" w:rsidR="00F2123B" w:rsidRDefault="00200CFB">
      <w:pPr>
        <w:pStyle w:val="Heading2"/>
        <w:spacing w:line="280" w:lineRule="atLeast"/>
        <w:jc w:val="left"/>
        <w:rPr>
          <w:i/>
          <w:sz w:val="20"/>
          <w:szCs w:val="20"/>
        </w:rPr>
      </w:pPr>
      <w:r>
        <w:rPr>
          <w:i/>
          <w:sz w:val="20"/>
          <w:szCs w:val="20"/>
        </w:rPr>
        <w:t>Please note that this is a link to a document, not a web page. If given the choice to Open or Save, choose Open.</w:t>
      </w:r>
    </w:p>
    <w:p w14:paraId="198A6BB7" w14:textId="77777777" w:rsidR="00F2123B" w:rsidRDefault="00F2123B"/>
    <w:p w14:paraId="198A6BB8" w14:textId="77777777" w:rsidR="00F2123B" w:rsidRDefault="00200CFB">
      <w:pPr>
        <w:spacing w:line="280" w:lineRule="atLeast"/>
      </w:pPr>
      <w:r>
        <w:rPr>
          <w:rFonts w:ascii="Arial" w:hAnsi="Arial" w:cs="Arial"/>
          <w:b/>
          <w:i/>
          <w:sz w:val="20"/>
          <w:szCs w:val="20"/>
        </w:rPr>
        <w:t>To</w:t>
      </w:r>
      <w:r>
        <w:rPr>
          <w:rFonts w:ascii="Arial" w:eastAsia="Arial" w:hAnsi="Arial" w:cs="Arial"/>
          <w:b/>
          <w:i/>
          <w:sz w:val="20"/>
          <w:szCs w:val="20"/>
        </w:rPr>
        <w:t xml:space="preserve"> </w:t>
      </w:r>
      <w:r>
        <w:rPr>
          <w:rFonts w:ascii="Arial" w:hAnsi="Arial" w:cs="Arial"/>
          <w:b/>
          <w:i/>
          <w:sz w:val="20"/>
          <w:szCs w:val="20"/>
        </w:rPr>
        <w:t>avoid</w:t>
      </w:r>
      <w:r>
        <w:rPr>
          <w:rFonts w:ascii="Arial" w:eastAsia="Arial" w:hAnsi="Arial" w:cs="Arial"/>
          <w:b/>
          <w:i/>
          <w:sz w:val="20"/>
          <w:szCs w:val="20"/>
        </w:rPr>
        <w:t xml:space="preserve"> </w:t>
      </w:r>
      <w:r>
        <w:rPr>
          <w:rFonts w:ascii="Arial" w:hAnsi="Arial" w:cs="Arial"/>
          <w:b/>
          <w:i/>
          <w:sz w:val="20"/>
          <w:szCs w:val="20"/>
        </w:rPr>
        <w:t>confusion:</w:t>
      </w:r>
      <w:r>
        <w:rPr>
          <w:rFonts w:ascii="Arial" w:eastAsia="Arial" w:hAnsi="Arial" w:cs="Arial"/>
          <w:b/>
          <w:i/>
          <w:sz w:val="20"/>
          <w:szCs w:val="20"/>
        </w:rPr>
        <w:t xml:space="preserve"> </w:t>
      </w:r>
      <w:r>
        <w:rPr>
          <w:rFonts w:ascii="Arial" w:hAnsi="Arial" w:cs="Arial"/>
          <w:b/>
          <w:i/>
          <w:sz w:val="20"/>
          <w:szCs w:val="20"/>
        </w:rPr>
        <w:t>the</w:t>
      </w:r>
      <w:r>
        <w:rPr>
          <w:rFonts w:ascii="Arial" w:eastAsia="Arial" w:hAnsi="Arial" w:cs="Arial"/>
          <w:b/>
          <w:i/>
          <w:sz w:val="20"/>
          <w:szCs w:val="20"/>
        </w:rPr>
        <w:t xml:space="preserve"> </w:t>
      </w:r>
      <w:r>
        <w:rPr>
          <w:rFonts w:ascii="Arial" w:hAnsi="Arial" w:cs="Arial"/>
          <w:b/>
          <w:i/>
          <w:sz w:val="20"/>
          <w:szCs w:val="20"/>
        </w:rPr>
        <w:t>standards</w:t>
      </w:r>
      <w:r>
        <w:rPr>
          <w:rFonts w:ascii="Arial" w:eastAsia="Arial" w:hAnsi="Arial" w:cs="Arial"/>
          <w:b/>
          <w:i/>
          <w:sz w:val="20"/>
          <w:szCs w:val="20"/>
        </w:rPr>
        <w:t xml:space="preserve"> </w:t>
      </w:r>
      <w:r>
        <w:rPr>
          <w:rFonts w:ascii="Arial" w:hAnsi="Arial" w:cs="Arial"/>
          <w:b/>
          <w:i/>
          <w:sz w:val="20"/>
          <w:szCs w:val="20"/>
        </w:rPr>
        <w:t>set</w:t>
      </w:r>
      <w:r>
        <w:rPr>
          <w:rFonts w:ascii="Arial" w:eastAsia="Arial" w:hAnsi="Arial" w:cs="Arial"/>
          <w:b/>
          <w:i/>
          <w:sz w:val="20"/>
          <w:szCs w:val="20"/>
        </w:rPr>
        <w:t xml:space="preserve"> </w:t>
      </w:r>
      <w:r>
        <w:rPr>
          <w:rFonts w:ascii="Arial" w:hAnsi="Arial" w:cs="Arial"/>
          <w:b/>
          <w:i/>
          <w:sz w:val="20"/>
          <w:szCs w:val="20"/>
        </w:rPr>
        <w:t>out</w:t>
      </w:r>
      <w:r>
        <w:rPr>
          <w:rFonts w:ascii="Arial" w:eastAsia="Arial" w:hAnsi="Arial" w:cs="Arial"/>
          <w:b/>
          <w:i/>
          <w:sz w:val="20"/>
          <w:szCs w:val="20"/>
        </w:rPr>
        <w:t xml:space="preserve"> </w:t>
      </w:r>
      <w:r>
        <w:rPr>
          <w:rFonts w:ascii="Arial" w:hAnsi="Arial" w:cs="Arial"/>
          <w:b/>
          <w:i/>
          <w:sz w:val="20"/>
          <w:szCs w:val="20"/>
        </w:rPr>
        <w:t>in</w:t>
      </w:r>
      <w:r>
        <w:rPr>
          <w:rFonts w:ascii="Arial" w:eastAsia="Arial" w:hAnsi="Arial" w:cs="Arial"/>
          <w:b/>
          <w:i/>
          <w:sz w:val="20"/>
          <w:szCs w:val="20"/>
        </w:rPr>
        <w:t xml:space="preserve"> </w:t>
      </w:r>
      <w:r>
        <w:rPr>
          <w:rFonts w:ascii="Arial" w:hAnsi="Arial" w:cs="Arial"/>
          <w:b/>
          <w:i/>
          <w:sz w:val="20"/>
          <w:szCs w:val="20"/>
        </w:rPr>
        <w:t>this</w:t>
      </w:r>
      <w:r>
        <w:rPr>
          <w:rFonts w:ascii="Arial" w:eastAsia="Arial" w:hAnsi="Arial" w:cs="Arial"/>
          <w:b/>
          <w:i/>
          <w:sz w:val="20"/>
          <w:szCs w:val="20"/>
        </w:rPr>
        <w:t xml:space="preserve"> </w:t>
      </w:r>
      <w:r>
        <w:rPr>
          <w:rFonts w:ascii="Arial" w:hAnsi="Arial" w:cs="Arial"/>
          <w:b/>
          <w:i/>
          <w:sz w:val="20"/>
          <w:szCs w:val="20"/>
        </w:rPr>
        <w:t>chapter</w:t>
      </w:r>
      <w:r>
        <w:rPr>
          <w:rFonts w:ascii="Arial" w:eastAsia="Arial" w:hAnsi="Arial" w:cs="Arial"/>
          <w:b/>
          <w:i/>
          <w:sz w:val="20"/>
          <w:szCs w:val="20"/>
        </w:rPr>
        <w:t xml:space="preserve"> </w:t>
      </w:r>
      <w:r>
        <w:rPr>
          <w:rFonts w:ascii="Arial" w:hAnsi="Arial" w:cs="Arial"/>
          <w:b/>
          <w:i/>
          <w:sz w:val="20"/>
          <w:szCs w:val="20"/>
        </w:rPr>
        <w:t>do</w:t>
      </w:r>
      <w:r>
        <w:rPr>
          <w:rFonts w:ascii="Arial" w:eastAsia="Arial" w:hAnsi="Arial" w:cs="Arial"/>
          <w:b/>
          <w:i/>
          <w:sz w:val="20"/>
          <w:szCs w:val="20"/>
        </w:rPr>
        <w:t xml:space="preserve"> </w:t>
      </w:r>
      <w:r>
        <w:rPr>
          <w:rFonts w:ascii="Arial" w:hAnsi="Arial" w:cs="Arial"/>
          <w:b/>
          <w:i/>
          <w:sz w:val="20"/>
          <w:szCs w:val="20"/>
        </w:rPr>
        <w:t>not</w:t>
      </w:r>
      <w:r>
        <w:rPr>
          <w:rFonts w:ascii="Arial" w:eastAsia="Arial" w:hAnsi="Arial" w:cs="Arial"/>
          <w:b/>
          <w:i/>
          <w:sz w:val="20"/>
          <w:szCs w:val="20"/>
        </w:rPr>
        <w:t xml:space="preserve"> </w:t>
      </w:r>
      <w:r>
        <w:rPr>
          <w:rFonts w:ascii="Arial" w:hAnsi="Arial" w:cs="Arial"/>
          <w:b/>
          <w:i/>
          <w:sz w:val="20"/>
          <w:szCs w:val="20"/>
        </w:rPr>
        <w:t>form</w:t>
      </w:r>
      <w:r>
        <w:rPr>
          <w:rFonts w:ascii="Arial" w:eastAsia="Arial" w:hAnsi="Arial" w:cs="Arial"/>
          <w:b/>
          <w:i/>
          <w:sz w:val="20"/>
          <w:szCs w:val="20"/>
        </w:rPr>
        <w:t xml:space="preserve"> </w:t>
      </w:r>
      <w:r>
        <w:rPr>
          <w:rFonts w:ascii="Arial" w:hAnsi="Arial" w:cs="Arial"/>
          <w:b/>
          <w:i/>
          <w:sz w:val="20"/>
          <w:szCs w:val="20"/>
        </w:rPr>
        <w:t>part</w:t>
      </w:r>
      <w:r>
        <w:rPr>
          <w:rFonts w:ascii="Arial" w:eastAsia="Arial" w:hAnsi="Arial" w:cs="Arial"/>
          <w:b/>
          <w:i/>
          <w:sz w:val="20"/>
          <w:szCs w:val="20"/>
        </w:rPr>
        <w:t xml:space="preserve"> </w:t>
      </w:r>
      <w:r>
        <w:rPr>
          <w:rFonts w:ascii="Arial" w:hAnsi="Arial" w:cs="Arial"/>
          <w:b/>
          <w:i/>
          <w:sz w:val="20"/>
          <w:szCs w:val="20"/>
        </w:rPr>
        <w:t>of</w:t>
      </w:r>
      <w:r>
        <w:rPr>
          <w:rFonts w:ascii="Arial" w:eastAsia="Arial" w:hAnsi="Arial" w:cs="Arial"/>
          <w:b/>
          <w:i/>
          <w:sz w:val="20"/>
          <w:szCs w:val="20"/>
        </w:rPr>
        <w:t xml:space="preserve"> </w:t>
      </w:r>
      <w:r>
        <w:rPr>
          <w:rFonts w:ascii="Arial" w:hAnsi="Arial" w:cs="Arial"/>
          <w:b/>
          <w:i/>
          <w:sz w:val="20"/>
          <w:szCs w:val="20"/>
        </w:rPr>
        <w:t>the</w:t>
      </w:r>
      <w:r>
        <w:rPr>
          <w:rFonts w:ascii="Arial" w:eastAsia="Arial" w:hAnsi="Arial" w:cs="Arial"/>
          <w:b/>
          <w:i/>
          <w:sz w:val="20"/>
          <w:szCs w:val="20"/>
        </w:rPr>
        <w:t xml:space="preserve"> </w:t>
      </w:r>
      <w:r>
        <w:rPr>
          <w:rFonts w:ascii="Arial" w:hAnsi="Arial" w:cs="Arial"/>
          <w:b/>
          <w:i/>
          <w:sz w:val="20"/>
          <w:szCs w:val="20"/>
        </w:rPr>
        <w:t>ViSOR</w:t>
      </w:r>
      <w:r>
        <w:rPr>
          <w:rFonts w:ascii="Arial" w:eastAsia="Arial" w:hAnsi="Arial" w:cs="Arial"/>
          <w:b/>
          <w:i/>
          <w:sz w:val="20"/>
          <w:szCs w:val="20"/>
        </w:rPr>
        <w:t xml:space="preserve"> </w:t>
      </w:r>
      <w:r>
        <w:rPr>
          <w:rFonts w:ascii="Arial" w:hAnsi="Arial" w:cs="Arial"/>
          <w:b/>
          <w:i/>
          <w:sz w:val="20"/>
          <w:szCs w:val="20"/>
        </w:rPr>
        <w:t>Standards 2.0.</w:t>
      </w:r>
    </w:p>
    <w:p w14:paraId="198A6BB9" w14:textId="77777777" w:rsidR="00F2123B" w:rsidRDefault="00200CFB">
      <w:pPr>
        <w:pStyle w:val="Heading1"/>
        <w:pageBreakBefore/>
        <w:spacing w:line="280" w:lineRule="atLeast"/>
      </w:pPr>
      <w:r>
        <w:rPr>
          <w:bCs/>
          <w:color w:val="000000"/>
          <w:sz w:val="36"/>
          <w:szCs w:val="36"/>
        </w:rPr>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77777777"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13b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issued by the Information Commissioner in 2020.  It is available from the website of the Information Commissioner's Office (ICO) at </w:t>
      </w:r>
      <w:hyperlink r:id="rId24"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a number of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9.4 The purpose of sharing information about individuals (data subjects) under MAPPA is to enable the relevant agencies to work together more effectively in assessing risks and considering how to manage them in order to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are considered to be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9.8 Section 325(4C) provides that information-sharing under MAPPA must be in compliance with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met.</w:t>
      </w:r>
      <w:r w:rsidRPr="00DA4750">
        <w:rPr>
          <w:rStyle w:val="FootnoteReference"/>
          <w:rFonts w:cs="Arial"/>
          <w:szCs w:val="20"/>
        </w:rPr>
        <w:footnoteReference w:id="18"/>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specified and the information shared must be accurate and up-to-date,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all of the ways in which agencies co-operate, not just the sharing of information (see 3.10-3.13). </w:t>
      </w:r>
    </w:p>
    <w:p w14:paraId="468E8792" w14:textId="77777777" w:rsidR="005B25C7" w:rsidRPr="00DA4750" w:rsidRDefault="005B25C7" w:rsidP="001B7009">
      <w:pPr>
        <w:pStyle w:val="Text"/>
      </w:pPr>
      <w:r w:rsidRPr="00DA4750">
        <w:t xml:space="preserve">9.10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25" w:history="1">
        <w:r w:rsidRPr="00DA4750">
          <w:rPr>
            <w:rStyle w:val="Hyperlink"/>
            <w:rFonts w:cs="Arial"/>
            <w:szCs w:val="20"/>
          </w:rPr>
          <w:t>https://mappa.justice.gov.uk/connect.ti/General/view?objectId=22899781</w:t>
        </w:r>
      </w:hyperlink>
      <w:r w:rsidRPr="00DA4750">
        <w:t>.</w:t>
      </w:r>
    </w:p>
    <w:p w14:paraId="7451D90F" w14:textId="77777777" w:rsidR="005B25C7" w:rsidRPr="00DA4750" w:rsidRDefault="005B25C7" w:rsidP="001B7009">
      <w:pPr>
        <w:pStyle w:val="Text"/>
      </w:pPr>
      <w:r w:rsidRPr="00DA4750">
        <w:t>9.11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attention to ensuring the safety and security of the personal information shared.  See Chapter 10 – Disclosure for more details on exchanging information with non-MAPPA agencies.</w:t>
      </w:r>
    </w:p>
    <w:p w14:paraId="0300FF73" w14:textId="77777777" w:rsidR="005B25C7" w:rsidRPr="00DA4750" w:rsidRDefault="005B25C7" w:rsidP="001B7009">
      <w:pPr>
        <w:pStyle w:val="Text"/>
      </w:pPr>
      <w:r w:rsidRPr="00DA4750">
        <w:t xml:space="preserve">9.12 Information sharing with Associate agencies to manage an identified risk should still take place even if there is no DSA.  </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19"/>
      </w:r>
      <w:r w:rsidRPr="00C07E18">
        <w:t xml:space="preserve"> and adults at risk</w:t>
      </w:r>
      <w:r w:rsidRPr="00C07E18">
        <w:rPr>
          <w:rStyle w:val="FootnoteReference"/>
          <w:rFonts w:cs="Arial"/>
          <w:szCs w:val="20"/>
        </w:rPr>
        <w:footnoteReference w:id="20"/>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agreed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rsidP="00AD2BEF">
      <w:pPr>
        <w:pStyle w:val="Text"/>
        <w:numPr>
          <w:ilvl w:val="0"/>
          <w:numId w:val="90"/>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rsidP="00AD2BEF">
      <w:pPr>
        <w:pStyle w:val="Text"/>
        <w:numPr>
          <w:ilvl w:val="0"/>
          <w:numId w:val="91"/>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rsidP="00AD2BEF">
      <w:pPr>
        <w:pStyle w:val="Text"/>
        <w:numPr>
          <w:ilvl w:val="0"/>
          <w:numId w:val="91"/>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rsidP="00AD2BEF">
      <w:pPr>
        <w:pStyle w:val="Text"/>
        <w:numPr>
          <w:ilvl w:val="0"/>
          <w:numId w:val="91"/>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rsidP="00AD2BEF">
      <w:pPr>
        <w:pStyle w:val="Text"/>
        <w:numPr>
          <w:ilvl w:val="0"/>
          <w:numId w:val="91"/>
        </w:numPr>
        <w:spacing w:before="120" w:after="120"/>
        <w:ind w:left="714" w:hanging="357"/>
      </w:pPr>
      <w:r w:rsidRPr="00C07E18">
        <w:t>The Domestic Violence, Crime and Victims Act 2004 Part 3 obliges probation to provide victims with information about an offender’s licence conditions that relate to contact with the victim and other appropriate information.</w:t>
      </w:r>
    </w:p>
    <w:p w14:paraId="69F67E50" w14:textId="77777777" w:rsidR="00F1336F" w:rsidRPr="00C07E18" w:rsidRDefault="00F1336F" w:rsidP="00AD2BEF">
      <w:pPr>
        <w:pStyle w:val="Text"/>
        <w:numPr>
          <w:ilvl w:val="0"/>
          <w:numId w:val="91"/>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The disclosure of information under MAPPA will usually satisfy the prevention of crime criterion, as long as the disclosure is necessary and proportionate (See paragraphs 9.9-9.10).</w:t>
      </w:r>
    </w:p>
    <w:p w14:paraId="54B8A25F" w14:textId="77777777" w:rsidR="00F1336F" w:rsidRPr="00C07E18" w:rsidRDefault="00F1336F" w:rsidP="00AD2BEF">
      <w:pPr>
        <w:pStyle w:val="Text"/>
        <w:numPr>
          <w:ilvl w:val="0"/>
          <w:numId w:val="90"/>
        </w:numPr>
      </w:pPr>
      <w:r w:rsidRPr="00C07E18">
        <w:t xml:space="preserve">In the case of sensitive processing, which is defined in s.35(8) of the DPA, at least one of the conditions in sch.8 must also be also met. The full list of conditions can be found at </w:t>
      </w:r>
      <w:hyperlink r:id="rId26"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rsidP="00AD2BEF">
      <w:pPr>
        <w:pStyle w:val="Text"/>
        <w:numPr>
          <w:ilvl w:val="0"/>
          <w:numId w:val="92"/>
        </w:numPr>
        <w:spacing w:before="120" w:after="120"/>
        <w:ind w:left="714" w:hanging="357"/>
      </w:pPr>
      <w:r w:rsidRPr="00C07E18">
        <w:t>Disclosure is necessary for statutory purposes.</w:t>
      </w:r>
    </w:p>
    <w:p w14:paraId="2C02DBA7"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administration of justice </w:t>
      </w:r>
    </w:p>
    <w:p w14:paraId="04B1653F" w14:textId="77777777" w:rsidR="00F1336F" w:rsidRPr="00C07E18" w:rsidRDefault="00F1336F" w:rsidP="00AD2BEF">
      <w:pPr>
        <w:pStyle w:val="Text"/>
        <w:numPr>
          <w:ilvl w:val="0"/>
          <w:numId w:val="92"/>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rsidP="00AD2BEF">
      <w:pPr>
        <w:pStyle w:val="Text"/>
        <w:numPr>
          <w:ilvl w:val="0"/>
          <w:numId w:val="93"/>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rsidP="00AD2BEF">
      <w:pPr>
        <w:pStyle w:val="Text"/>
        <w:numPr>
          <w:ilvl w:val="0"/>
          <w:numId w:val="93"/>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rsidP="00AD2BEF">
      <w:pPr>
        <w:pStyle w:val="Text"/>
        <w:numPr>
          <w:ilvl w:val="0"/>
          <w:numId w:val="93"/>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rsidP="00AD2BEF">
      <w:pPr>
        <w:pStyle w:val="Text"/>
        <w:numPr>
          <w:ilvl w:val="0"/>
          <w:numId w:val="93"/>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rsidP="00AD2BEF">
      <w:pPr>
        <w:pStyle w:val="Text"/>
        <w:numPr>
          <w:ilvl w:val="0"/>
          <w:numId w:val="93"/>
        </w:numPr>
        <w:spacing w:before="120" w:after="120"/>
        <w:ind w:left="714" w:hanging="357"/>
      </w:pPr>
      <w:r w:rsidRPr="00C07E18">
        <w:t>there is a need to protect past victims;</w:t>
      </w:r>
    </w:p>
    <w:p w14:paraId="006F69E5" w14:textId="77777777" w:rsidR="00F1336F" w:rsidRPr="00C07E18" w:rsidRDefault="00F1336F" w:rsidP="00AD2BEF">
      <w:pPr>
        <w:pStyle w:val="Text"/>
        <w:numPr>
          <w:ilvl w:val="0"/>
          <w:numId w:val="93"/>
        </w:numPr>
        <w:spacing w:before="120" w:after="120"/>
        <w:ind w:left="714" w:hanging="357"/>
      </w:pPr>
      <w:r w:rsidRPr="00C07E18">
        <w:t>there is a need to protect potential victims, in particular where offenders strike up new relationships with partners who have children or grandchildren.  In some cases, this may include friends or neighbours who have children;</w:t>
      </w:r>
    </w:p>
    <w:p w14:paraId="4D3E3535" w14:textId="77777777" w:rsidR="00F1336F" w:rsidRPr="00C07E18" w:rsidRDefault="00F1336F" w:rsidP="00AD2BEF">
      <w:pPr>
        <w:pStyle w:val="Text"/>
        <w:numPr>
          <w:ilvl w:val="0"/>
          <w:numId w:val="93"/>
        </w:numPr>
        <w:spacing w:before="120" w:after="120"/>
        <w:ind w:left="714" w:hanging="357"/>
      </w:pPr>
      <w:r w:rsidRPr="00C07E18">
        <w:t>the public may be at risk through the offender's employment, training or education;</w:t>
      </w:r>
    </w:p>
    <w:p w14:paraId="668C02E0" w14:textId="77777777" w:rsidR="00F1336F" w:rsidRPr="00C07E18" w:rsidRDefault="00F1336F" w:rsidP="00AD2BEF">
      <w:pPr>
        <w:pStyle w:val="Text"/>
        <w:numPr>
          <w:ilvl w:val="0"/>
          <w:numId w:val="93"/>
        </w:numPr>
        <w:spacing w:before="120" w:after="120"/>
        <w:ind w:left="714" w:hanging="357"/>
      </w:pPr>
      <w:r w:rsidRPr="00C07E18">
        <w:t xml:space="preserve">a person may be in a position to actively assist in the risk management of an offender by being briefed about risk factors and scenarios; </w:t>
      </w:r>
    </w:p>
    <w:p w14:paraId="245741C4" w14:textId="77777777" w:rsidR="00F1336F" w:rsidRPr="00C07E18" w:rsidRDefault="00F1336F" w:rsidP="00AD2BEF">
      <w:pPr>
        <w:pStyle w:val="Text"/>
        <w:numPr>
          <w:ilvl w:val="0"/>
          <w:numId w:val="93"/>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rsidP="00AD2BEF">
      <w:pPr>
        <w:pStyle w:val="Text"/>
        <w:numPr>
          <w:ilvl w:val="0"/>
          <w:numId w:val="93"/>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as a result of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as a result of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10.17 HMPPS staff should never disclose information to the media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in order to ensure that all of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rsidP="00AD2BEF">
      <w:pPr>
        <w:pStyle w:val="Text"/>
        <w:numPr>
          <w:ilvl w:val="0"/>
          <w:numId w:val="94"/>
        </w:numPr>
        <w:spacing w:before="120" w:after="120"/>
        <w:ind w:left="714" w:hanging="357"/>
      </w:pPr>
      <w:r w:rsidRPr="00C07E18">
        <w:t>risk prejudicing an ongoing or prospective criminal investigation;</w:t>
      </w:r>
    </w:p>
    <w:p w14:paraId="20DC929D" w14:textId="77777777" w:rsidR="00F1336F" w:rsidRPr="00C07E18" w:rsidRDefault="00F1336F" w:rsidP="00AD2BEF">
      <w:pPr>
        <w:pStyle w:val="Text"/>
        <w:numPr>
          <w:ilvl w:val="0"/>
          <w:numId w:val="94"/>
        </w:numPr>
        <w:spacing w:before="120" w:after="120"/>
        <w:ind w:left="714" w:hanging="357"/>
      </w:pPr>
      <w:r w:rsidRPr="00C07E18">
        <w:t>give rise to or increase the risk of harm to children or adults at risk;</w:t>
      </w:r>
    </w:p>
    <w:p w14:paraId="48F1622F" w14:textId="77777777" w:rsidR="00F1336F" w:rsidRPr="00C07E18" w:rsidRDefault="00F1336F" w:rsidP="00AD2BEF">
      <w:pPr>
        <w:pStyle w:val="Text"/>
        <w:numPr>
          <w:ilvl w:val="0"/>
          <w:numId w:val="94"/>
        </w:numPr>
        <w:spacing w:before="120" w:after="120"/>
        <w:ind w:left="714" w:hanging="357"/>
      </w:pPr>
      <w:r w:rsidRPr="00C07E18">
        <w:t>give rise to or increase the risk of harm to a new partner;</w:t>
      </w:r>
    </w:p>
    <w:p w14:paraId="6F50740C" w14:textId="77777777" w:rsidR="00F1336F" w:rsidRPr="00C07E18" w:rsidRDefault="00F1336F" w:rsidP="00AD2BEF">
      <w:pPr>
        <w:pStyle w:val="Text"/>
        <w:numPr>
          <w:ilvl w:val="0"/>
          <w:numId w:val="94"/>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rsidP="00AD2BEF">
      <w:pPr>
        <w:pStyle w:val="Text"/>
        <w:numPr>
          <w:ilvl w:val="0"/>
          <w:numId w:val="94"/>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rsidP="00AD2BEF">
      <w:pPr>
        <w:pStyle w:val="Text"/>
        <w:numPr>
          <w:ilvl w:val="0"/>
          <w:numId w:val="94"/>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rsidP="00AD2BEF">
      <w:pPr>
        <w:pStyle w:val="Text"/>
        <w:numPr>
          <w:ilvl w:val="0"/>
          <w:numId w:val="94"/>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10.21 Each decision must be considered on its merits, having regard to the individual circumstances of the case.  Both the likelihood and the impact of the risk should be taken into account.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However disclosures made by an offender in private must be followed up by the lead agency to ensure that accurate information has been disclosed and that the recipient understands the implications of the disclosure.  Disclosure should not be unduly delayed to enable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rsidP="00AD2BEF">
      <w:pPr>
        <w:pStyle w:val="Text"/>
        <w:numPr>
          <w:ilvl w:val="0"/>
          <w:numId w:val="95"/>
        </w:numPr>
        <w:spacing w:before="120" w:after="120"/>
        <w:ind w:left="714" w:hanging="357"/>
      </w:pPr>
      <w:r w:rsidRPr="00C07E18">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rsidP="00AD2BEF">
      <w:pPr>
        <w:pStyle w:val="Text"/>
        <w:numPr>
          <w:ilvl w:val="0"/>
          <w:numId w:val="95"/>
        </w:numPr>
        <w:spacing w:before="120" w:after="120"/>
        <w:ind w:left="714" w:hanging="357"/>
      </w:pPr>
      <w:r w:rsidRPr="00C07E18">
        <w:t xml:space="preserve">Does the offender pose a risk to the victim? </w:t>
      </w:r>
    </w:p>
    <w:p w14:paraId="7016F95C" w14:textId="77777777" w:rsidR="00F1336F" w:rsidRPr="00C07E18" w:rsidRDefault="00F1336F" w:rsidP="00AD2BEF">
      <w:pPr>
        <w:pStyle w:val="Text"/>
        <w:numPr>
          <w:ilvl w:val="0"/>
          <w:numId w:val="95"/>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rsidP="00AD2BEF">
      <w:pPr>
        <w:pStyle w:val="Text"/>
        <w:numPr>
          <w:ilvl w:val="0"/>
          <w:numId w:val="95"/>
        </w:numPr>
        <w:spacing w:before="120" w:after="120"/>
        <w:ind w:left="714" w:hanging="357"/>
      </w:pPr>
      <w:r w:rsidRPr="00C07E18">
        <w:t xml:space="preserve">Is the disclosure necessary and proportionate? </w:t>
      </w:r>
    </w:p>
    <w:p w14:paraId="2CC80F8C" w14:textId="77777777" w:rsidR="00F1336F" w:rsidRPr="00C07E18" w:rsidRDefault="00F1336F" w:rsidP="00AD2BEF">
      <w:pPr>
        <w:pStyle w:val="Text"/>
        <w:numPr>
          <w:ilvl w:val="0"/>
          <w:numId w:val="95"/>
        </w:numPr>
        <w:spacing w:before="120" w:after="120"/>
        <w:ind w:left="714" w:hanging="357"/>
      </w:pPr>
      <w:r w:rsidRPr="00C07E18">
        <w:t xml:space="preserve">Will disclosing the information put the offender at risk? </w:t>
      </w:r>
    </w:p>
    <w:p w14:paraId="12092A68" w14:textId="77777777" w:rsidR="00F1336F" w:rsidRPr="00C07E18" w:rsidRDefault="00F1336F" w:rsidP="00AD2BEF">
      <w:pPr>
        <w:pStyle w:val="Text"/>
        <w:numPr>
          <w:ilvl w:val="0"/>
          <w:numId w:val="95"/>
        </w:numPr>
        <w:spacing w:before="120" w:after="120"/>
        <w:ind w:left="714" w:hanging="357"/>
      </w:pPr>
      <w:r w:rsidRPr="00C07E18">
        <w:t>Is there any indication that the victim will pass the information on to others?</w:t>
      </w:r>
    </w:p>
    <w:p w14:paraId="04AC8245" w14:textId="77777777" w:rsidR="00F1336F" w:rsidRPr="00C07E18" w:rsidRDefault="00F1336F" w:rsidP="00AD2BEF">
      <w:pPr>
        <w:pStyle w:val="Text"/>
        <w:numPr>
          <w:ilvl w:val="0"/>
          <w:numId w:val="95"/>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is considered to be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in particular in relation to complex disclosures (such as gender reassignment or photographs) that you are unable to resolve locally, please contact the National MAPPA Team at </w:t>
      </w:r>
      <w:hyperlink r:id="rId27"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10.27 The Government has introduced a number of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rsidP="00AD2BEF">
      <w:pPr>
        <w:pStyle w:val="Text"/>
        <w:numPr>
          <w:ilvl w:val="0"/>
          <w:numId w:val="96"/>
        </w:numPr>
        <w:spacing w:before="120" w:after="120"/>
        <w:ind w:left="714" w:hanging="357"/>
      </w:pPr>
      <w:r w:rsidRPr="00C07E18">
        <w:t xml:space="preserve">the Child Sex Offender Disclosure Scheme </w:t>
      </w:r>
      <w:hyperlink r:id="rId28"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rsidP="00AD2BEF">
      <w:pPr>
        <w:pStyle w:val="Text"/>
        <w:numPr>
          <w:ilvl w:val="0"/>
          <w:numId w:val="96"/>
        </w:numPr>
        <w:spacing w:before="120" w:after="120"/>
        <w:ind w:left="714" w:hanging="357"/>
      </w:pPr>
      <w:r w:rsidRPr="00C07E18">
        <w:t xml:space="preserve">the Domestic Violence Disclosure Scheme </w:t>
      </w:r>
      <w:hyperlink r:id="rId29"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rsidP="00AD2BEF">
      <w:pPr>
        <w:pStyle w:val="Text"/>
        <w:numPr>
          <w:ilvl w:val="0"/>
          <w:numId w:val="96"/>
        </w:numPr>
        <w:spacing w:before="120" w:after="120"/>
        <w:ind w:left="714" w:hanging="357"/>
      </w:pPr>
      <w:r w:rsidRPr="00C07E18">
        <w:t xml:space="preserve">the Common Law Police Disclosure Scheme </w:t>
      </w:r>
      <w:hyperlink r:id="rId30"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11.3 Risk assessment is a dynamic process that requires ongoing re-evaluation in the context of the offender's changing circumstances.  Risk assessments should be reviewed regularly in accordance with the lead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in order to assess risk correctly.  There are a number of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make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Categorisation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Offenders are categorised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1"/>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AD2BEF">
      <w:pPr>
        <w:numPr>
          <w:ilvl w:val="0"/>
          <w:numId w:val="2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there are identifiable indicators of risk of serious harm.  The potential event could happen at any time and the impact would be serious.</w:t>
      </w:r>
    </w:p>
    <w:p w14:paraId="198A6C3B" w14:textId="77777777" w:rsidR="00F2123B" w:rsidRDefault="00200CFB" w:rsidP="00AD2BEF">
      <w:pPr>
        <w:numPr>
          <w:ilvl w:val="0"/>
          <w:numId w:val="2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there is an imminent risk of serious harm.  The potential event is more likely than not to happen imminently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11.8 This provides risk levels for all MAPPA offenders.  The categorisation of risk is refined by reference to those who may be the subject of that harm.  They include:</w:t>
      </w:r>
    </w:p>
    <w:p w14:paraId="198A6C3D"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AD2BEF">
      <w:pPr>
        <w:numPr>
          <w:ilvl w:val="0"/>
          <w:numId w:val="2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behaviour, emotional harm or neglect, or because they are in custody. </w:t>
      </w:r>
    </w:p>
    <w:p w14:paraId="198A6C41" w14:textId="77777777" w:rsidR="00F2123B" w:rsidRDefault="00200CFB" w:rsidP="00AD2BEF">
      <w:pPr>
        <w:numPr>
          <w:ilvl w:val="0"/>
          <w:numId w:val="2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undertaken a comprehensive risk assessment on all children and young people who meet the eligibility criteria for MAPPA. </w:t>
      </w:r>
    </w:p>
    <w:p w14:paraId="198A6C49"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lead agency for their management.  (See Chapter 26 – Mentally Disordered Offenders). </w:t>
      </w:r>
    </w:p>
    <w:p w14:paraId="198A6C4C" w14:textId="77777777" w:rsidR="00F2123B" w:rsidRDefault="00200CFB" w:rsidP="00AD2BEF">
      <w:pPr>
        <w:numPr>
          <w:ilvl w:val="0"/>
          <w:numId w:val="2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AD2BEF">
      <w:pPr>
        <w:numPr>
          <w:ilvl w:val="0"/>
          <w:numId w:val="2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all of the relevant information has been shared, it should be assessed and the following areas addressed: </w:t>
      </w:r>
    </w:p>
    <w:p w14:paraId="198A6C50"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behaviours should be described along with the manner in which offences are committed (the modus operandi).  Previous patterns of offending will inform this discussion. </w:t>
      </w:r>
    </w:p>
    <w:p w14:paraId="198A6C52" w14:textId="07EBAEBE"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behaviour is; are there particular future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particular type of offending more likely to happen quickly than another?</w:t>
      </w:r>
    </w:p>
    <w:p w14:paraId="198A6C53" w14:textId="77777777" w:rsidR="00F2123B" w:rsidRDefault="00200CFB" w:rsidP="00AD2BEF">
      <w:pPr>
        <w:numPr>
          <w:ilvl w:val="0"/>
          <w:numId w:val="2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likely to increase the risk: Consider patterns of previous behaviour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behaviours or relationships.  </w:t>
      </w:r>
    </w:p>
    <w:p w14:paraId="198A6C54" w14:textId="77777777" w:rsidR="00F2123B" w:rsidRDefault="00200CFB" w:rsidP="00AD2BEF">
      <w:pPr>
        <w:numPr>
          <w:ilvl w:val="0"/>
          <w:numId w:val="2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11.11 Following discussion, it is the role of the Chair of the Level 2 or 3 meeting to summarise the risks identified, the impact of future offending (seriousness) and the likelihood of further offending (informed by the extent to which there are protective factors in place) and the imminence.  The meeting should then agree 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making the judgment on risk level</w:t>
      </w:r>
      <w:r>
        <w:rPr>
          <w:rFonts w:ascii="Arial" w:hAnsi="Arial" w:cs="Arial"/>
          <w:sz w:val="20"/>
          <w:szCs w:val="20"/>
          <w:vertAlign w:val="superscript"/>
          <w:lang w:val="en" w:eastAsia="en-GB"/>
        </w:rPr>
        <w:footnoteReference w:id="22"/>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risk assessment are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considered against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11.14 Risk assessment forms part of a set of behaviours that, when taken together, will ensure that the decisions taken on how to manage an offender are defensible</w:t>
      </w:r>
      <w:r>
        <w:rPr>
          <w:rFonts w:ascii="Arial" w:hAnsi="Arial" w:cs="Arial"/>
          <w:sz w:val="20"/>
          <w:szCs w:val="20"/>
          <w:vertAlign w:val="superscript"/>
          <w:lang w:val="en" w:eastAsia="en-GB"/>
        </w:rPr>
        <w:footnoteReference w:id="23"/>
      </w:r>
      <w:r>
        <w:rPr>
          <w:rFonts w:ascii="Arial" w:hAnsi="Arial" w:cs="Arial"/>
          <w:sz w:val="20"/>
          <w:szCs w:val="20"/>
          <w:lang w:val="en" w:eastAsia="en-GB"/>
        </w:rPr>
        <w:t>.</w:t>
      </w:r>
    </w:p>
    <w:p w14:paraId="198A6C5C"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AD2BEF">
      <w:pPr>
        <w:numPr>
          <w:ilvl w:val="0"/>
          <w:numId w:val="2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AD2BEF">
      <w:pPr>
        <w:numPr>
          <w:ilvl w:val="0"/>
          <w:numId w:val="2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taken into account when determining the overall risk of reoffending and risk of serious harm and deciding upon the level of management.  Risk must be kept under review and MAPPA meetings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12.4 The RMP must include actions to monitor and where possible change the behaviour and attitudes of the offender in order to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12.6 All level 2 and 3 offenders require a MAPPA RMP.  The MAPPA risk assessment will identify all areas of risk of serious harm and the MAPPA RMP will set out all the single and multi-agency actions agreed at the MAPPA meeting to manage those risks.  The final decision on whether an agency agrees to accept an action rests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place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ViSOR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12.8 Once the MAPPA RMP is in place, the case manager must update the lead agency RMP and ViSOR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as a result of those care and support needs, is unable to protect themselves from either the risk, or the experience, of abuse or neglect. </w:t>
      </w:r>
    </w:p>
    <w:p w14:paraId="198A6C77" w14:textId="77777777" w:rsidR="00F2123B" w:rsidRDefault="00200CFB" w:rsidP="00AD2BEF">
      <w:pPr>
        <w:numPr>
          <w:ilvl w:val="0"/>
          <w:numId w:val="2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AD2BEF">
      <w:pPr>
        <w:numPr>
          <w:ilvl w:val="0"/>
          <w:numId w:val="2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4"/>
      </w:r>
      <w:r>
        <w:rPr>
          <w:rFonts w:ascii="Arial" w:hAnsi="Arial" w:cs="Arial"/>
          <w:sz w:val="20"/>
          <w:szCs w:val="20"/>
          <w:lang w:eastAsia="en-GB"/>
        </w:rPr>
        <w:t xml:space="preserve"> but the headings below provide a useful framework for analysing risk and developing the RMP whether or not the Four Pillars framework is used.  The headings are:</w:t>
      </w:r>
    </w:p>
    <w:p w14:paraId="198A6C7D"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AD2BEF">
      <w:pPr>
        <w:numPr>
          <w:ilvl w:val="0"/>
          <w:numId w:val="3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AD2BEF">
      <w:pPr>
        <w:numPr>
          <w:ilvl w:val="0"/>
          <w:numId w:val="30"/>
        </w:numPr>
        <w:spacing w:before="100" w:after="240" w:line="280" w:lineRule="atLeast"/>
        <w:rPr>
          <w:rFonts w:ascii="Arial" w:hAnsi="Arial" w:cs="Arial"/>
          <w:sz w:val="20"/>
          <w:szCs w:val="20"/>
          <w:lang w:eastAsia="en-GB"/>
        </w:rPr>
      </w:pPr>
      <w:r>
        <w:rPr>
          <w:rFonts w:ascii="Arial" w:hAnsi="Arial" w:cs="Arial"/>
          <w:sz w:val="20"/>
          <w:szCs w:val="20"/>
          <w:lang w:eastAsia="en-GB"/>
        </w:rPr>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AD2BEF">
      <w:pPr>
        <w:numPr>
          <w:ilvl w:val="0"/>
          <w:numId w:val="3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AD2BEF">
      <w:pPr>
        <w:numPr>
          <w:ilvl w:val="0"/>
          <w:numId w:val="3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AD2BEF">
      <w:pPr>
        <w:numPr>
          <w:ilvl w:val="0"/>
          <w:numId w:val="3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AD2BEF">
      <w:pPr>
        <w:numPr>
          <w:ilvl w:val="0"/>
          <w:numId w:val="3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AD2BEF">
      <w:pPr>
        <w:numPr>
          <w:ilvl w:val="0"/>
          <w:numId w:val="3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AD2BEF">
      <w:pPr>
        <w:numPr>
          <w:ilvl w:val="0"/>
          <w:numId w:val="3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AD2BEF">
      <w:pPr>
        <w:numPr>
          <w:ilvl w:val="0"/>
          <w:numId w:val="3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AD2BEF">
      <w:pPr>
        <w:numPr>
          <w:ilvl w:val="0"/>
          <w:numId w:val="3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AD2BEF">
      <w:pPr>
        <w:numPr>
          <w:ilvl w:val="0"/>
          <w:numId w:val="3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AD2BEF">
      <w:pPr>
        <w:numPr>
          <w:ilvl w:val="0"/>
          <w:numId w:val="3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In particular it is helpful to consider the factors that are likely to indicate an increase in risk for an individual.  The following factors are associated with escalating risk:</w:t>
      </w:r>
    </w:p>
    <w:p w14:paraId="198A6CB2" w14:textId="5C0E044C"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AD2BEF">
      <w:pPr>
        <w:numPr>
          <w:ilvl w:val="0"/>
          <w:numId w:val="3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Psychological factors - examples may be an increased preoccupation with offending or offending-related issues (e.g. sexual preoccupation, offence-related sexual interests or emotional congruence with children) or it may be a deterioration in mental or psychological wellbeing (e.g. as a result of not taking medication).</w:t>
      </w:r>
    </w:p>
    <w:p w14:paraId="198A6CB5" w14:textId="77777777" w:rsidR="00F2123B" w:rsidRDefault="00200CFB" w:rsidP="00AD2BEF">
      <w:pPr>
        <w:numPr>
          <w:ilvl w:val="0"/>
          <w:numId w:val="3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travel but decisions must always be made in line with all of the restrictions imposed on an offender by their licence,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5"/>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5F0B9AE1"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13a.24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7777777" w:rsidR="00F2123B" w:rsidRDefault="00200CFB">
      <w:pPr>
        <w:pStyle w:val="Heading1"/>
        <w:pageBreakBefore/>
        <w:spacing w:line="280" w:lineRule="atLeast"/>
      </w:pPr>
      <w:r>
        <w:rPr>
          <w:bCs/>
          <w:color w:val="000000"/>
          <w:sz w:val="36"/>
          <w:szCs w:val="36"/>
        </w:rPr>
        <w:t>13a.</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77777777" w:rsidR="00917606" w:rsidRPr="003540EE" w:rsidRDefault="00917606" w:rsidP="00C26B86">
      <w:pPr>
        <w:pStyle w:val="Text"/>
      </w:pPr>
      <w:r w:rsidRPr="003540EE">
        <w:t xml:space="preserve">13a.1 The purpose of </w:t>
      </w:r>
      <w:bookmarkStart w:id="8" w:name="_Hlk91247423"/>
      <w:r w:rsidRPr="003540EE">
        <w:t>Level</w:t>
      </w:r>
      <w:bookmarkEnd w:id="8"/>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77777777" w:rsidR="00917606" w:rsidRPr="00C26B86" w:rsidRDefault="00917606" w:rsidP="00C26B86">
      <w:pPr>
        <w:pStyle w:val="Text"/>
      </w:pPr>
      <w:r w:rsidRPr="00C26B86">
        <w:t>13a.2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77777777" w:rsidR="00917606" w:rsidRPr="00C26B86" w:rsidRDefault="00917606" w:rsidP="00C26B86">
      <w:pPr>
        <w:pStyle w:val="Text"/>
      </w:pPr>
      <w:r w:rsidRPr="00C26B86">
        <w:t xml:space="preserve">13a.3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77777777" w:rsidR="00917606" w:rsidRPr="003540EE" w:rsidRDefault="00917606" w:rsidP="00C26B86">
      <w:pPr>
        <w:pStyle w:val="Text"/>
      </w:pPr>
      <w:r w:rsidRPr="003540EE">
        <w:t xml:space="preserve">13a.4 Before attending a MAPPA meeting, attendees must read the information about the offender, (MAPPA B)  the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77777777" w:rsidR="00917606" w:rsidRPr="00C26B86" w:rsidRDefault="00917606" w:rsidP="00C26B86">
      <w:pPr>
        <w:pStyle w:val="Text"/>
      </w:pPr>
      <w:r w:rsidRPr="00C26B86">
        <w:t>13a.5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77777777" w:rsidR="00917606" w:rsidRPr="00C26B86" w:rsidRDefault="00917606" w:rsidP="00C26B86">
      <w:pPr>
        <w:pStyle w:val="Text"/>
      </w:pPr>
      <w:r w:rsidRPr="00C26B86">
        <w:t>13a.6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t>Police</w:t>
      </w:r>
    </w:p>
    <w:p w14:paraId="64C03D7E" w14:textId="77777777" w:rsidR="00917606" w:rsidRPr="003540EE" w:rsidRDefault="00917606" w:rsidP="00C26B86">
      <w:pPr>
        <w:pStyle w:val="Text"/>
      </w:pPr>
      <w:r w:rsidRPr="003540EE">
        <w:t>13a.7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77777777" w:rsidR="00917606" w:rsidRPr="003540EE" w:rsidRDefault="00917606" w:rsidP="00C26B86">
      <w:pPr>
        <w:pStyle w:val="Text"/>
      </w:pPr>
      <w:r w:rsidRPr="003540EE">
        <w:t>13a.8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92D23EE" w:rsidR="00917606" w:rsidRPr="003540EE" w:rsidRDefault="00917606" w:rsidP="00C26B86">
      <w:pPr>
        <w:pStyle w:val="Text"/>
      </w:pPr>
      <w:r w:rsidRPr="003540EE">
        <w:t xml:space="preserve">13a.9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77777777" w:rsidR="00917606" w:rsidRPr="003540EE" w:rsidRDefault="00917606" w:rsidP="00C26B86">
      <w:pPr>
        <w:pStyle w:val="Text"/>
      </w:pPr>
      <w:r w:rsidRPr="003540EE">
        <w:t>13a.10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77777777" w:rsidR="00917606" w:rsidRPr="003540EE" w:rsidRDefault="00917606" w:rsidP="00C26B86">
      <w:pPr>
        <w:pStyle w:val="Text"/>
      </w:pPr>
      <w:r w:rsidRPr="003540EE">
        <w:t xml:space="preserve">13a.11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77777777" w:rsidR="00917606" w:rsidRPr="003540EE" w:rsidRDefault="00917606" w:rsidP="00C26B86">
      <w:pPr>
        <w:pStyle w:val="Text"/>
      </w:pPr>
      <w:r w:rsidRPr="003540EE">
        <w:t xml:space="preserve">13a.12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77777777" w:rsidR="00917606" w:rsidRPr="003540EE" w:rsidRDefault="00917606" w:rsidP="00C26B86">
      <w:pPr>
        <w:pStyle w:val="Text"/>
      </w:pPr>
      <w:r w:rsidRPr="003540EE">
        <w:t xml:space="preserve">13a.13 A member of staff from an </w:t>
      </w:r>
      <w:r w:rsidRPr="003540EE">
        <w:rPr>
          <w:b/>
          <w:bCs/>
        </w:rPr>
        <w:t>Approved Premises</w:t>
      </w:r>
      <w:r w:rsidRPr="003540EE">
        <w:t xml:space="preserve"> (AP) must attend all pre and post-release meetings where the Risk Management Plan (RMP) includes residence at an AP.</w:t>
      </w:r>
    </w:p>
    <w:p w14:paraId="0105E29A" w14:textId="77777777" w:rsidR="00917606" w:rsidRPr="003540EE" w:rsidRDefault="00917606" w:rsidP="00C26B86">
      <w:pPr>
        <w:pStyle w:val="Text"/>
      </w:pPr>
      <w:r w:rsidRPr="003540EE">
        <w:t>13a.14</w:t>
      </w:r>
      <w:r w:rsidRPr="003540EE">
        <w:rPr>
          <w:b/>
          <w:bCs/>
        </w:rPr>
        <w:t xml:space="preserve"> Other </w:t>
      </w:r>
      <w:r w:rsidRPr="003540EE">
        <w:t xml:space="preserve">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77777777" w:rsidR="00917606" w:rsidRPr="003540EE" w:rsidRDefault="00917606" w:rsidP="00C26B86">
      <w:pPr>
        <w:pStyle w:val="Text"/>
        <w:rPr>
          <w:rStyle w:val="normaltextrun"/>
          <w:shd w:val="clear" w:color="auto" w:fill="FFFFFF"/>
        </w:rPr>
      </w:pPr>
      <w:r w:rsidRPr="003540EE">
        <w:t xml:space="preserve">13a.15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5FE5EE1A" w:rsidR="00917606" w:rsidRPr="003540EE" w:rsidRDefault="00917606" w:rsidP="00C26B86">
      <w:pPr>
        <w:pStyle w:val="Text"/>
      </w:pPr>
      <w:r w:rsidRPr="003540EE">
        <w:t>13a.16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must attend where there is already active involvement, such as case work, psychological risk assessments or Offender Personality Disorder (OPD) consultations. The representative attending the MAPPA meeting should be familiar with the case in order to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77777777" w:rsidR="00917606" w:rsidRPr="003540EE" w:rsidRDefault="00917606" w:rsidP="00C26B86">
      <w:pPr>
        <w:pStyle w:val="Text"/>
        <w:rPr>
          <w:rStyle w:val="CommentReference"/>
        </w:rPr>
      </w:pPr>
      <w:r w:rsidRPr="003540EE">
        <w:t xml:space="preserve">13a.17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77777777" w:rsidR="00917606" w:rsidRPr="003540EE" w:rsidRDefault="00917606" w:rsidP="00C26B86">
      <w:pPr>
        <w:pStyle w:val="Text"/>
      </w:pPr>
      <w:r w:rsidRPr="003540EE">
        <w:t xml:space="preserve">13a.18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31"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77777777" w:rsidR="00917606" w:rsidRPr="003540EE" w:rsidRDefault="00917606" w:rsidP="00C26B86">
      <w:pPr>
        <w:pStyle w:val="Text"/>
      </w:pPr>
      <w:r w:rsidRPr="003540EE">
        <w:t>13a.19 Representatives of Youth Offending Teams (YOT) must attend where the offender is a child or has recently transitioned to adult services.</w:t>
      </w:r>
      <w:r w:rsidRPr="003540EE" w:rsidDel="00B13643">
        <w:t xml:space="preserve"> </w:t>
      </w:r>
      <w:r w:rsidRPr="003540EE">
        <w:t>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in line with guidance for prisons (see 13a.14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77777777" w:rsidR="00917606" w:rsidRPr="003540EE" w:rsidRDefault="00917606" w:rsidP="00C26B86">
      <w:pPr>
        <w:pStyle w:val="Text"/>
      </w:pPr>
      <w:r w:rsidRPr="003540EE">
        <w:t xml:space="preserve">13a.20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7777777" w:rsidR="00917606" w:rsidRPr="003540EE" w:rsidRDefault="00917606" w:rsidP="00C26B86">
      <w:pPr>
        <w:pStyle w:val="Text"/>
      </w:pPr>
      <w:r w:rsidRPr="003540EE">
        <w:t xml:space="preserve">13a.21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t>Adult Social Care</w:t>
      </w:r>
    </w:p>
    <w:p w14:paraId="35F92CCE" w14:textId="77777777" w:rsidR="00917606" w:rsidRPr="003540EE" w:rsidRDefault="00917606" w:rsidP="00C26B86">
      <w:pPr>
        <w:pStyle w:val="Text"/>
      </w:pPr>
      <w:r w:rsidRPr="003540EE">
        <w:t xml:space="preserve">13a.22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77777777" w:rsidR="00917606" w:rsidRPr="003540EE" w:rsidRDefault="00917606" w:rsidP="00C26B86">
      <w:pPr>
        <w:pStyle w:val="Text"/>
      </w:pPr>
      <w:r w:rsidRPr="003540EE">
        <w:t>13a.23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7777777" w:rsidR="00917606" w:rsidRPr="003540EE" w:rsidRDefault="00917606" w:rsidP="00C26B86">
      <w:pPr>
        <w:pStyle w:val="Text"/>
      </w:pPr>
      <w:r w:rsidRPr="003540EE">
        <w:t>13a.24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3B196384" w:rsidR="00917606" w:rsidRPr="003540EE" w:rsidRDefault="00917606" w:rsidP="00C26B86">
      <w:pPr>
        <w:pStyle w:val="Text"/>
      </w:pPr>
      <w:r w:rsidRPr="003540EE">
        <w:t>13a.25 Where an action is agreed for an agency that is not at the meeting (a DTC agency was not in attendance) the Meeting Chair will identify someone at the meeting to communicate the action to the relevant agency, indicate who the agency should contact with a response and give timescales.</w:t>
      </w:r>
    </w:p>
    <w:p w14:paraId="17A4F44B" w14:textId="77777777" w:rsidR="00917606" w:rsidRPr="00C26B86" w:rsidRDefault="00917606" w:rsidP="00C26B86">
      <w:pPr>
        <w:pStyle w:val="Heading1"/>
      </w:pPr>
      <w:r w:rsidRPr="00C26B86">
        <w:t>Associate Agencies</w:t>
      </w:r>
    </w:p>
    <w:p w14:paraId="2E3CB159" w14:textId="77777777" w:rsidR="00917606" w:rsidRPr="003540EE" w:rsidRDefault="00917606" w:rsidP="00C26B86">
      <w:pPr>
        <w:pStyle w:val="Text"/>
      </w:pPr>
      <w:r w:rsidRPr="003540EE">
        <w:t xml:space="preserve">13a.26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77777777" w:rsidR="00917606" w:rsidRPr="003540EE" w:rsidRDefault="00917606" w:rsidP="00C26B86">
      <w:pPr>
        <w:pStyle w:val="Text"/>
        <w:rPr>
          <w:b/>
          <w:bCs/>
        </w:rPr>
      </w:pPr>
      <w:r w:rsidRPr="003540EE">
        <w:t>13a.27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77777777" w:rsidR="00917606" w:rsidRPr="003540EE" w:rsidRDefault="00917606" w:rsidP="00C26B86">
      <w:pPr>
        <w:pStyle w:val="Text"/>
      </w:pPr>
      <w:r w:rsidRPr="003540EE">
        <w:t>13a.28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in to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1E346D40" w14:textId="79653DAC" w:rsidR="00917606" w:rsidRPr="003540EE" w:rsidRDefault="00917606" w:rsidP="00C26B86">
      <w:pPr>
        <w:pStyle w:val="Text"/>
      </w:pPr>
      <w:r w:rsidRPr="003540EE">
        <w:t xml:space="preserve">13a.29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offender and should make clear the potential consequences of failing to share vital information. The invitation should be sent in enough time to allow agencies to interrogate their systems for all appropriate information (i.e., at least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 </w:t>
      </w:r>
    </w:p>
    <w:p w14:paraId="5C4FE05A" w14:textId="77777777" w:rsidR="00917606" w:rsidRPr="003540EE" w:rsidRDefault="00917606" w:rsidP="00C26B86">
      <w:pPr>
        <w:pStyle w:val="Text"/>
      </w:pPr>
      <w:r w:rsidRPr="003540EE">
        <w:t xml:space="preserve">13a.30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13b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77777777" w:rsidR="00917606" w:rsidRPr="00DE7351" w:rsidRDefault="00917606" w:rsidP="00DE7351">
      <w:pPr>
        <w:pStyle w:val="Text"/>
      </w:pPr>
      <w:r w:rsidRPr="00DE7351">
        <w:t>13a.31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rsidP="00AD2BEF">
      <w:pPr>
        <w:pStyle w:val="Text"/>
        <w:numPr>
          <w:ilvl w:val="0"/>
          <w:numId w:val="97"/>
        </w:numPr>
        <w:spacing w:before="120" w:after="120"/>
        <w:ind w:left="714" w:hanging="357"/>
      </w:pPr>
      <w:r w:rsidRPr="003540EE">
        <w:t>Is pertinent to undertaking a multi-agency risk assessment.</w:t>
      </w:r>
    </w:p>
    <w:p w14:paraId="47037D48" w14:textId="77777777" w:rsidR="00917606" w:rsidRPr="003540EE" w:rsidRDefault="00917606" w:rsidP="00AD2BEF">
      <w:pPr>
        <w:pStyle w:val="Text"/>
        <w:numPr>
          <w:ilvl w:val="0"/>
          <w:numId w:val="97"/>
        </w:numPr>
        <w:spacing w:before="120" w:after="120"/>
        <w:ind w:left="714" w:hanging="357"/>
      </w:pPr>
      <w:r w:rsidRPr="003540EE">
        <w:t>Identifies the likelihood of re-offending.</w:t>
      </w:r>
    </w:p>
    <w:p w14:paraId="6BEA0859" w14:textId="77777777" w:rsidR="00917606" w:rsidRPr="003540EE" w:rsidRDefault="00917606" w:rsidP="00AD2BEF">
      <w:pPr>
        <w:pStyle w:val="Text"/>
        <w:numPr>
          <w:ilvl w:val="0"/>
          <w:numId w:val="97"/>
        </w:numPr>
        <w:spacing w:before="120" w:after="120"/>
        <w:ind w:left="714" w:hanging="357"/>
      </w:pPr>
      <w:r w:rsidRPr="003540EE">
        <w:t>Identifies serious risk of harm issues and their imminence.</w:t>
      </w:r>
    </w:p>
    <w:p w14:paraId="0C4F2C55" w14:textId="77777777" w:rsidR="00917606" w:rsidRPr="003540EE" w:rsidRDefault="00917606" w:rsidP="00AD2BEF">
      <w:pPr>
        <w:pStyle w:val="Text"/>
        <w:numPr>
          <w:ilvl w:val="0"/>
          <w:numId w:val="97"/>
        </w:numPr>
        <w:spacing w:before="120" w:after="120"/>
        <w:ind w:left="714" w:hanging="357"/>
      </w:pPr>
      <w:r w:rsidRPr="003540EE">
        <w:t>Identifies protective factors.</w:t>
      </w:r>
    </w:p>
    <w:p w14:paraId="54645EDE" w14:textId="77777777" w:rsidR="00917606" w:rsidRPr="003540EE" w:rsidRDefault="00917606" w:rsidP="00AD2BEF">
      <w:pPr>
        <w:pStyle w:val="Text"/>
        <w:numPr>
          <w:ilvl w:val="0"/>
          <w:numId w:val="97"/>
        </w:numPr>
        <w:spacing w:before="120" w:after="120"/>
        <w:ind w:left="714" w:hanging="357"/>
      </w:pPr>
      <w:r w:rsidRPr="003540EE">
        <w:t>Supports victim safety planning.</w:t>
      </w:r>
    </w:p>
    <w:p w14:paraId="29984803" w14:textId="77777777" w:rsidR="00917606" w:rsidRPr="003540EE" w:rsidRDefault="00917606" w:rsidP="00DE7351">
      <w:pPr>
        <w:pStyle w:val="Text"/>
      </w:pPr>
      <w:r w:rsidRPr="003540EE">
        <w:t>13a.32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77777777" w:rsidR="00917606" w:rsidRPr="003540EE" w:rsidRDefault="00917606" w:rsidP="00DE7351">
      <w:pPr>
        <w:pStyle w:val="Text"/>
      </w:pPr>
      <w:r w:rsidRPr="003540EE">
        <w:t>13a.33 The Chair should be trained and well-briefed and should have copies of all papers relevant to each case. A dedicated minute-taker should be identified beforehand to support the Chair.</w:t>
      </w:r>
    </w:p>
    <w:p w14:paraId="32230CE1" w14:textId="77777777" w:rsidR="00917606" w:rsidRPr="003540EE" w:rsidRDefault="00917606" w:rsidP="00DE7351">
      <w:pPr>
        <w:pStyle w:val="Text"/>
      </w:pPr>
      <w:r w:rsidRPr="003540EE">
        <w:t>13a.34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77777777" w:rsidR="00917606" w:rsidRPr="003540EE" w:rsidRDefault="00917606" w:rsidP="00DE7351">
      <w:pPr>
        <w:pStyle w:val="Text"/>
      </w:pPr>
      <w:r w:rsidRPr="003540EE">
        <w:t>13a.35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7777777" w:rsidR="00917606" w:rsidRPr="003540EE" w:rsidRDefault="00917606" w:rsidP="00DE7351">
      <w:pPr>
        <w:pStyle w:val="Text"/>
      </w:pPr>
      <w:r w:rsidRPr="003540EE">
        <w:t>13a.36 Chairs must ensure that the following are covered:</w:t>
      </w:r>
    </w:p>
    <w:p w14:paraId="465B7154" w14:textId="77777777" w:rsidR="00917606" w:rsidRPr="003540EE" w:rsidRDefault="00917606" w:rsidP="00AD2BEF">
      <w:pPr>
        <w:pStyle w:val="Text"/>
        <w:numPr>
          <w:ilvl w:val="0"/>
          <w:numId w:val="98"/>
        </w:numPr>
        <w:spacing w:before="120" w:after="120"/>
        <w:ind w:left="714" w:hanging="357"/>
      </w:pPr>
      <w:r w:rsidRPr="003540EE">
        <w:t>Confidentiality statement.</w:t>
      </w:r>
    </w:p>
    <w:p w14:paraId="3D178FB6" w14:textId="77777777" w:rsidR="00917606" w:rsidRPr="003540EE" w:rsidRDefault="00917606" w:rsidP="00AD2BEF">
      <w:pPr>
        <w:pStyle w:val="Text"/>
        <w:numPr>
          <w:ilvl w:val="0"/>
          <w:numId w:val="98"/>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rsidP="00AD2BEF">
      <w:pPr>
        <w:pStyle w:val="Text"/>
        <w:numPr>
          <w:ilvl w:val="0"/>
          <w:numId w:val="98"/>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rsidP="00AD2BEF">
      <w:pPr>
        <w:pStyle w:val="Text"/>
        <w:numPr>
          <w:ilvl w:val="0"/>
          <w:numId w:val="98"/>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rsidP="00AD2BEF">
      <w:pPr>
        <w:pStyle w:val="Text"/>
        <w:numPr>
          <w:ilvl w:val="0"/>
          <w:numId w:val="98"/>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rsidP="00AD2BEF">
      <w:pPr>
        <w:pStyle w:val="Text"/>
        <w:numPr>
          <w:ilvl w:val="0"/>
          <w:numId w:val="98"/>
        </w:numPr>
        <w:spacing w:before="120" w:after="120"/>
        <w:ind w:left="714" w:hanging="357"/>
      </w:pPr>
      <w:r w:rsidRPr="003540EE">
        <w:t>Communication - media handling: where media interest is expected, the Chair will identify a police and a probation single point of contact (SPOC) to communicate with Press Office and the National MAPPA Team.</w:t>
      </w:r>
    </w:p>
    <w:p w14:paraId="44E4BE33" w14:textId="77777777" w:rsidR="00917606" w:rsidRPr="003540EE" w:rsidRDefault="00917606" w:rsidP="00AD2BEF">
      <w:pPr>
        <w:pStyle w:val="Text"/>
        <w:numPr>
          <w:ilvl w:val="0"/>
          <w:numId w:val="98"/>
        </w:numPr>
        <w:spacing w:before="120" w:after="120"/>
        <w:ind w:left="714" w:hanging="357"/>
      </w:pPr>
      <w:r w:rsidRPr="003540EE">
        <w:t>ViSOR record updating: The Chair will identify the ViSOR record owner and the person who will be responsible for reviewing any new or amended information that will need adding to the ViSOR record.  The record should be updated as soon as possible and certainly within 3 working days of the minutes being agreed.</w:t>
      </w:r>
    </w:p>
    <w:p w14:paraId="166185DE" w14:textId="77777777" w:rsidR="00917606" w:rsidRPr="003540EE" w:rsidRDefault="00917606" w:rsidP="00AD2BEF">
      <w:pPr>
        <w:pStyle w:val="Text"/>
        <w:numPr>
          <w:ilvl w:val="0"/>
          <w:numId w:val="98"/>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rsidP="00AD2BEF">
      <w:pPr>
        <w:pStyle w:val="Text"/>
        <w:numPr>
          <w:ilvl w:val="0"/>
          <w:numId w:val="98"/>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rsidP="00AD2BEF">
      <w:pPr>
        <w:pStyle w:val="Text"/>
        <w:numPr>
          <w:ilvl w:val="0"/>
          <w:numId w:val="98"/>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rsidP="00AD2BEF">
      <w:pPr>
        <w:pStyle w:val="Text"/>
        <w:numPr>
          <w:ilvl w:val="0"/>
          <w:numId w:val="98"/>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rsidP="00AD2BEF">
      <w:pPr>
        <w:pStyle w:val="Text"/>
        <w:numPr>
          <w:ilvl w:val="0"/>
          <w:numId w:val="98"/>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51B2682" w:rsidR="00917606" w:rsidRPr="003540EE" w:rsidRDefault="00917606" w:rsidP="00DE7351">
      <w:pPr>
        <w:pStyle w:val="Text"/>
      </w:pPr>
      <w:r w:rsidRPr="003540EE">
        <w:t xml:space="preserve">13a.37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77777777" w:rsidR="00917606" w:rsidRPr="003540EE" w:rsidRDefault="00917606" w:rsidP="00DE7351">
      <w:pPr>
        <w:pStyle w:val="Text"/>
      </w:pPr>
      <w:r w:rsidRPr="003540EE">
        <w:t>13a.38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rationale for the decision must be recorded (see Chapter 11.14 for more information on defensible decision making). Equally, where a case is retained at Level 2 or 3, the reasons for deciding on the level of management must be recorded.</w:t>
      </w:r>
    </w:p>
    <w:p w14:paraId="62028D94" w14:textId="77777777" w:rsidR="00917606" w:rsidRPr="003540EE" w:rsidRDefault="00917606" w:rsidP="00DE7351">
      <w:pPr>
        <w:pStyle w:val="Text"/>
      </w:pPr>
      <w:r w:rsidRPr="003540EE">
        <w:t>13a.39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77777777" w:rsidR="00917606" w:rsidRPr="003540EE" w:rsidRDefault="00917606" w:rsidP="00DE7351">
      <w:pPr>
        <w:pStyle w:val="Text"/>
      </w:pPr>
      <w:r w:rsidRPr="003540EE">
        <w:t xml:space="preserve">13a.40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77777777" w:rsidR="00917606" w:rsidRPr="003540EE" w:rsidRDefault="00917606" w:rsidP="00DE7351">
      <w:pPr>
        <w:pStyle w:val="Text"/>
      </w:pPr>
      <w:r w:rsidRPr="003540EE">
        <w:t>13a.41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rsidP="00AD2BEF">
      <w:pPr>
        <w:pStyle w:val="Text"/>
        <w:numPr>
          <w:ilvl w:val="0"/>
          <w:numId w:val="99"/>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rsidP="00AD2BEF">
      <w:pPr>
        <w:pStyle w:val="Text"/>
        <w:numPr>
          <w:ilvl w:val="0"/>
          <w:numId w:val="99"/>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rsidP="00AD2BEF">
      <w:pPr>
        <w:pStyle w:val="Text"/>
        <w:numPr>
          <w:ilvl w:val="0"/>
          <w:numId w:val="99"/>
        </w:numPr>
        <w:spacing w:before="120" w:after="120"/>
        <w:ind w:left="714" w:hanging="357"/>
      </w:pPr>
      <w:r w:rsidRPr="003540EE">
        <w:t>Documents must not be shared over these tools but attendees can show a document by sharing their screen;</w:t>
      </w:r>
    </w:p>
    <w:p w14:paraId="4CE333C9" w14:textId="77777777" w:rsidR="00917606" w:rsidRPr="003540EE" w:rsidRDefault="00917606" w:rsidP="00AD2BEF">
      <w:pPr>
        <w:pStyle w:val="Text"/>
        <w:numPr>
          <w:ilvl w:val="0"/>
          <w:numId w:val="99"/>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rsidP="00AD2BEF">
      <w:pPr>
        <w:pStyle w:val="Text"/>
        <w:numPr>
          <w:ilvl w:val="0"/>
          <w:numId w:val="99"/>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rsidP="00AD2BEF">
      <w:pPr>
        <w:pStyle w:val="Text"/>
        <w:numPr>
          <w:ilvl w:val="0"/>
          <w:numId w:val="99"/>
        </w:numPr>
        <w:spacing w:before="120" w:after="120"/>
        <w:ind w:left="714" w:hanging="357"/>
      </w:pPr>
      <w:r w:rsidRPr="003540EE">
        <w:t>All attendees must:</w:t>
      </w:r>
    </w:p>
    <w:p w14:paraId="6EFC96B6" w14:textId="75FE102E" w:rsidR="00917606" w:rsidRPr="003540EE" w:rsidRDefault="00917606" w:rsidP="00AD2BEF">
      <w:pPr>
        <w:pStyle w:val="Text"/>
        <w:numPr>
          <w:ilvl w:val="0"/>
          <w:numId w:val="100"/>
        </w:numPr>
      </w:pPr>
      <w:r w:rsidRPr="003540EE">
        <w:t xml:space="preserve">think about their surroundings and make sure they can speak privately by being on their own or using a headset; </w:t>
      </w:r>
    </w:p>
    <w:p w14:paraId="6B2EB9C1" w14:textId="77777777" w:rsidR="00917606" w:rsidRPr="003540EE" w:rsidRDefault="00917606" w:rsidP="00AD2BEF">
      <w:pPr>
        <w:pStyle w:val="Text"/>
        <w:numPr>
          <w:ilvl w:val="0"/>
          <w:numId w:val="100"/>
        </w:numPr>
      </w:pPr>
      <w:r w:rsidRPr="003540EE">
        <w:t xml:space="preserve">make sure the meeting cannot be picked up by a smart hub; </w:t>
      </w:r>
    </w:p>
    <w:p w14:paraId="7A9901D8" w14:textId="77777777" w:rsidR="00917606" w:rsidRPr="003540EE" w:rsidRDefault="00917606" w:rsidP="00AD2BEF">
      <w:pPr>
        <w:pStyle w:val="Text"/>
        <w:numPr>
          <w:ilvl w:val="0"/>
          <w:numId w:val="100"/>
        </w:numPr>
      </w:pPr>
      <w:r w:rsidRPr="003540EE">
        <w:t xml:space="preserve">make sure their monitor cannot be seen by anyone else, including from a window; </w:t>
      </w:r>
    </w:p>
    <w:p w14:paraId="5AE8A87D" w14:textId="77777777" w:rsidR="00917606" w:rsidRPr="003540EE" w:rsidRDefault="00917606" w:rsidP="00AD2BEF">
      <w:pPr>
        <w:pStyle w:val="Text"/>
        <w:numPr>
          <w:ilvl w:val="0"/>
          <w:numId w:val="100"/>
        </w:numPr>
      </w:pPr>
      <w:r w:rsidRPr="003540EE">
        <w:t xml:space="preserve">adjust their background to make sure nothing inappropriate is shown on camera etc.. </w:t>
      </w:r>
    </w:p>
    <w:p w14:paraId="2A94A857" w14:textId="77777777" w:rsidR="00917606" w:rsidRPr="003540EE" w:rsidRDefault="00917606" w:rsidP="00AD2BEF">
      <w:pPr>
        <w:pStyle w:val="Text"/>
        <w:numPr>
          <w:ilvl w:val="0"/>
          <w:numId w:val="101"/>
        </w:numPr>
        <w:rPr>
          <w:rFonts w:eastAsiaTheme="minorEastAsia"/>
        </w:rPr>
      </w:pPr>
      <w:r w:rsidRPr="003540EE">
        <w:t>Dial in details should be provided for those who do not have access to the communication tool.</w:t>
      </w:r>
    </w:p>
    <w:p w14:paraId="240ADEC9" w14:textId="77777777" w:rsidR="00917606" w:rsidRPr="003540EE" w:rsidRDefault="00917606" w:rsidP="003C0CCE">
      <w:pPr>
        <w:pStyle w:val="Text"/>
      </w:pPr>
      <w:r w:rsidRPr="003540EE">
        <w:t>13a.42 Attendees should also follow these etiquette guidelines:</w:t>
      </w:r>
    </w:p>
    <w:p w14:paraId="50117BF1" w14:textId="77777777" w:rsidR="00917606" w:rsidRPr="003540EE" w:rsidRDefault="00917606" w:rsidP="00AD2BEF">
      <w:pPr>
        <w:pStyle w:val="Text"/>
        <w:numPr>
          <w:ilvl w:val="0"/>
          <w:numId w:val="101"/>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rsidP="00AD2BEF">
      <w:pPr>
        <w:pStyle w:val="Text"/>
        <w:numPr>
          <w:ilvl w:val="0"/>
          <w:numId w:val="101"/>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rsidP="00AD2BEF">
      <w:pPr>
        <w:pStyle w:val="Text"/>
        <w:numPr>
          <w:ilvl w:val="0"/>
          <w:numId w:val="101"/>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rsidP="00AD2BEF">
      <w:pPr>
        <w:pStyle w:val="Text"/>
        <w:numPr>
          <w:ilvl w:val="0"/>
          <w:numId w:val="101"/>
        </w:numPr>
        <w:spacing w:before="120" w:after="120"/>
        <w:ind w:left="714" w:hanging="357"/>
      </w:pPr>
      <w:r w:rsidRPr="003540EE">
        <w:t xml:space="preserve">If joining a meeting late, join on mute to avoid disrupting the meeting. </w:t>
      </w:r>
    </w:p>
    <w:p w14:paraId="6E597A5A" w14:textId="77777777" w:rsidR="00917606" w:rsidRPr="003540EE" w:rsidRDefault="00917606" w:rsidP="00AD2BEF">
      <w:pPr>
        <w:pStyle w:val="Text"/>
        <w:numPr>
          <w:ilvl w:val="0"/>
          <w:numId w:val="101"/>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549C4FF6" w:rsidR="00917606" w:rsidRPr="003540EE" w:rsidRDefault="00917606" w:rsidP="003C0CCE">
      <w:pPr>
        <w:pStyle w:val="Text"/>
      </w:pPr>
      <w:r w:rsidRPr="003540EE">
        <w:t xml:space="preserve">13a.43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77777777" w:rsidR="00917606" w:rsidRPr="003540EE" w:rsidRDefault="00917606" w:rsidP="003C0CCE">
      <w:pPr>
        <w:pStyle w:val="Text"/>
      </w:pPr>
      <w:r w:rsidRPr="003540EE">
        <w:t>13a.44 For advice on handling requests for recordings, see Chapter 13b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77777777" w:rsidR="00917606" w:rsidRPr="003540EE" w:rsidRDefault="00917606" w:rsidP="003C0CCE">
      <w:pPr>
        <w:pStyle w:val="Text"/>
      </w:pPr>
      <w:r w:rsidRPr="003540EE">
        <w:t xml:space="preserve">13a.45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32">
        <w:r w:rsidRPr="003540EE">
          <w:rPr>
            <w:rStyle w:val="Hyperlink"/>
          </w:rPr>
          <w:t>NSDPS.GeneralEnquiries@justice.gov.uk</w:t>
        </w:r>
      </w:hyperlink>
      <w:r w:rsidRPr="003540EE">
        <w:t>.</w:t>
      </w:r>
    </w:p>
    <w:p w14:paraId="2C1C926A" w14:textId="77777777" w:rsidR="00917606" w:rsidRPr="003540EE" w:rsidRDefault="00917606" w:rsidP="003C0CCE">
      <w:pPr>
        <w:pStyle w:val="Text"/>
      </w:pPr>
      <w:r w:rsidRPr="003540EE">
        <w:t>13a.46 The MAPPA Meeting Chair will need to ensure safe and secure management of any such information between partners. Consideration will need to be given to:</w:t>
      </w:r>
    </w:p>
    <w:p w14:paraId="5F29AEAB" w14:textId="77777777" w:rsidR="00917606" w:rsidRPr="003540EE" w:rsidRDefault="00917606" w:rsidP="00AD2BEF">
      <w:pPr>
        <w:pStyle w:val="Text"/>
        <w:numPr>
          <w:ilvl w:val="0"/>
          <w:numId w:val="102"/>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rsidP="00AD2BEF">
      <w:pPr>
        <w:pStyle w:val="Text"/>
        <w:numPr>
          <w:ilvl w:val="0"/>
          <w:numId w:val="102"/>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rsidP="00AD2BEF">
      <w:pPr>
        <w:pStyle w:val="Text"/>
        <w:numPr>
          <w:ilvl w:val="0"/>
          <w:numId w:val="102"/>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rsidP="00AD2BEF">
      <w:pPr>
        <w:pStyle w:val="Text"/>
        <w:numPr>
          <w:ilvl w:val="0"/>
          <w:numId w:val="102"/>
        </w:numPr>
        <w:spacing w:before="120" w:after="120"/>
        <w:ind w:left="714" w:hanging="357"/>
      </w:pPr>
      <w:r w:rsidRPr="003540EE">
        <w:t>The recording of minutes, decisions and actions, and how those will be shared.</w:t>
      </w:r>
    </w:p>
    <w:p w14:paraId="415333C1" w14:textId="77777777" w:rsidR="00917606" w:rsidRPr="003540EE" w:rsidRDefault="00917606" w:rsidP="003C0CCE">
      <w:pPr>
        <w:pStyle w:val="Text"/>
      </w:pPr>
      <w:r w:rsidRPr="003540EE">
        <w:t>13a.47 ViSOR records for these offenders should be Restricted Access.</w:t>
      </w:r>
    </w:p>
    <w:p w14:paraId="2FF55AF7" w14:textId="77777777" w:rsidR="00917606" w:rsidRPr="003540EE" w:rsidRDefault="00917606" w:rsidP="003C0CCE">
      <w:pPr>
        <w:pStyle w:val="Text"/>
      </w:pPr>
      <w:r w:rsidRPr="003540EE">
        <w:t>13a.48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32152016" w:rsidR="00917606" w:rsidRPr="003540EE" w:rsidRDefault="00917606" w:rsidP="00F23C6A">
      <w:pPr>
        <w:pStyle w:val="Text"/>
      </w:pPr>
      <w:r w:rsidRPr="003540EE">
        <w:t>13</w:t>
      </w:r>
      <w:r w:rsidR="00B5586D">
        <w:t>a</w:t>
      </w:r>
      <w:r w:rsidRPr="003540EE">
        <w:t xml:space="preserve">.49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77777777" w:rsidR="00917606" w:rsidRPr="003540EE" w:rsidRDefault="00917606" w:rsidP="00F23C6A">
      <w:pPr>
        <w:pStyle w:val="Text"/>
      </w:pPr>
      <w:r w:rsidRPr="003540EE">
        <w:t>13a.50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on the lead agency’s case management system. Information shared at these professionals’ meetings is shared under MAPPA but it is important to distinguish them from formal MAPPA meetings.</w:t>
      </w:r>
    </w:p>
    <w:p w14:paraId="198A6D1A" w14:textId="3CE24821" w:rsidR="00F2123B" w:rsidRDefault="00200CFB">
      <w:pPr>
        <w:pStyle w:val="Heading1"/>
        <w:pageBreakBefore/>
        <w:spacing w:line="280" w:lineRule="atLeast"/>
      </w:pPr>
      <w:r>
        <w:rPr>
          <w:bCs/>
          <w:sz w:val="36"/>
          <w:szCs w:val="36"/>
        </w:rPr>
        <w:t>13b.</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7777777" w:rsidR="005F0B10" w:rsidRPr="008F2EFB" w:rsidRDefault="005F0B10" w:rsidP="005F0B10">
      <w:pPr>
        <w:pStyle w:val="Text"/>
        <w:rPr>
          <w:rFonts w:eastAsia="Arial"/>
          <w:lang w:val="en"/>
        </w:rPr>
      </w:pPr>
      <w:r w:rsidRPr="008F2EFB">
        <w:rPr>
          <w:rFonts w:eastAsia="Arial"/>
          <w:lang w:val="en"/>
        </w:rPr>
        <w:t>13b.1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6"/>
      </w:r>
      <w:r w:rsidRPr="008F2EFB">
        <w:rPr>
          <w:rFonts w:eastAsia="Arial"/>
          <w:lang w:val="en"/>
        </w:rPr>
        <w:t>).</w:t>
      </w:r>
    </w:p>
    <w:p w14:paraId="07B2C627" w14:textId="77777777" w:rsidR="005F0B10" w:rsidRPr="008F2EFB" w:rsidRDefault="005F0B10" w:rsidP="005F0B10">
      <w:pPr>
        <w:pStyle w:val="Text"/>
        <w:rPr>
          <w:rFonts w:eastAsia="Arial"/>
          <w:lang w:val="en"/>
        </w:rPr>
      </w:pPr>
      <w:r w:rsidRPr="008F2EFB">
        <w:rPr>
          <w:rFonts w:eastAsia="Arial"/>
          <w:lang w:val="en"/>
        </w:rPr>
        <w:t>13b.2 For information on recording meetings to assist with minute taking, see Chapter 13a.43.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77777777" w:rsidR="005F0B10" w:rsidRPr="008F2EFB" w:rsidRDefault="005F0B10" w:rsidP="005F0B10">
      <w:pPr>
        <w:pStyle w:val="Text"/>
        <w:rPr>
          <w:rFonts w:eastAsia="Arial"/>
          <w:lang w:val="en"/>
        </w:rPr>
      </w:pPr>
      <w:r w:rsidRPr="008F2EFB">
        <w:rPr>
          <w:rFonts w:eastAsia="Arial"/>
          <w:lang w:val="en"/>
        </w:rPr>
        <w:t xml:space="preserve">13b.3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7777777" w:rsidR="005F0B10" w:rsidRPr="008F2EFB" w:rsidRDefault="005F0B10" w:rsidP="005F0B10">
      <w:pPr>
        <w:pStyle w:val="Text"/>
        <w:rPr>
          <w:rFonts w:eastAsia="Arial"/>
          <w:lang w:val="en"/>
        </w:rPr>
      </w:pPr>
      <w:r w:rsidRPr="008F2EFB">
        <w:rPr>
          <w:rFonts w:eastAsia="Arial"/>
          <w:lang w:val="en"/>
        </w:rPr>
        <w:t xml:space="preserve">13b.4 MAPPA meeting minutes must be sent via secure email to those who attended the meeting and to those who were invited but did not attend (for prisons, this is the prison functional mailbox). Those emailed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77777777" w:rsidR="005F0B10" w:rsidRPr="008F2EFB" w:rsidRDefault="005F0B10" w:rsidP="005F0B10">
      <w:pPr>
        <w:pStyle w:val="Text"/>
        <w:rPr>
          <w:rFonts w:eastAsia="Arial"/>
          <w:lang w:val="en"/>
        </w:rPr>
      </w:pPr>
      <w:r w:rsidRPr="008F2EFB">
        <w:rPr>
          <w:rFonts w:eastAsia="Arial"/>
          <w:lang w:val="en"/>
        </w:rPr>
        <w:t xml:space="preserve">13b.5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77777777" w:rsidR="005F0B10" w:rsidRPr="008F2EFB" w:rsidRDefault="005F0B10" w:rsidP="005F0B10">
      <w:pPr>
        <w:pStyle w:val="Text"/>
        <w:rPr>
          <w:rFonts w:eastAsia="Arial"/>
          <w:lang w:val="en"/>
        </w:rPr>
      </w:pPr>
      <w:r w:rsidRPr="008F2EFB">
        <w:rPr>
          <w:rFonts w:eastAsia="Arial"/>
          <w:lang w:val="en"/>
        </w:rPr>
        <w:t xml:space="preserve">13b.6 The minutes must be stored on ViSOR. Any amendments and corrections should be approved by the Chair before the ViSOR record is updated. The Chair must also confirm that the minutes are correct at the next meeting.  </w:t>
      </w:r>
    </w:p>
    <w:p w14:paraId="0AFD8D7E" w14:textId="77777777" w:rsidR="005F0B10" w:rsidRPr="008F2EFB" w:rsidRDefault="005F0B10" w:rsidP="005F0B10">
      <w:pPr>
        <w:pStyle w:val="Text"/>
      </w:pPr>
      <w:r w:rsidRPr="008F2EFB">
        <w:rPr>
          <w:rFonts w:eastAsia="Arial"/>
          <w:lang w:val="en"/>
        </w:rPr>
        <w:t xml:space="preserve">13b.7 Where an organisation retains MAPPA meeting minutes outside ViSOR, they must be held under the organisation’s own data protection procedures, including those on the retention and destruction of records. For example, MAPPA minutes should not be stored on nDelius. Given the highly confidential nature of the minutes, agencies should ask themselves whether they need to keep a copy of the minutes in their files, or whether a record of the actions for their agency and a reference to the fact that the minutes are held on ViSOR would be sufficient. </w:t>
      </w:r>
    </w:p>
    <w:p w14:paraId="3C29D106" w14:textId="77777777" w:rsidR="005F0B10" w:rsidRPr="008F2EFB" w:rsidRDefault="005F0B10" w:rsidP="00C2292F">
      <w:pPr>
        <w:pStyle w:val="Text"/>
        <w:rPr>
          <w:rFonts w:eastAsia="Arial"/>
          <w:lang w:val="en"/>
        </w:rPr>
      </w:pPr>
      <w:r w:rsidRPr="008F2EFB">
        <w:rPr>
          <w:rFonts w:eastAsia="Arial"/>
          <w:lang w:val="en"/>
        </w:rPr>
        <w:t xml:space="preserve">13b.8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he minutes should only be printed in a secure environment and never removed from that environment. MAPPA meeting minutes must never be taken to or from meetings by attendees. (Unless absolutely necessary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them in again at the end of the meeting.</w:t>
      </w:r>
    </w:p>
    <w:p w14:paraId="2B449A23" w14:textId="77777777" w:rsidR="005F0B10" w:rsidRPr="00C2292F" w:rsidRDefault="005F0B10" w:rsidP="00C2292F">
      <w:pPr>
        <w:pStyle w:val="Heading1"/>
      </w:pPr>
      <w:r w:rsidRPr="00C2292F">
        <w:t xml:space="preserve">Onward Distribution </w:t>
      </w:r>
    </w:p>
    <w:p w14:paraId="01DA0B15" w14:textId="77777777" w:rsidR="005F0B10" w:rsidRPr="008F2EFB" w:rsidRDefault="005F0B10" w:rsidP="00C2292F">
      <w:pPr>
        <w:pStyle w:val="Text"/>
        <w:rPr>
          <w:rFonts w:eastAsia="Arial"/>
          <w:lang w:val="en"/>
        </w:rPr>
      </w:pPr>
      <w:r w:rsidRPr="008F2EFB">
        <w:rPr>
          <w:rFonts w:eastAsia="Arial"/>
          <w:lang w:val="en"/>
        </w:rPr>
        <w:t>13b.9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77777777" w:rsidR="005F0B10" w:rsidRPr="008F2EFB" w:rsidRDefault="005F0B10" w:rsidP="00C2292F">
      <w:pPr>
        <w:pStyle w:val="Text"/>
      </w:pPr>
      <w:r w:rsidRPr="008F2EFB">
        <w:rPr>
          <w:rFonts w:eastAsia="Arial"/>
          <w:lang w:val="en"/>
        </w:rPr>
        <w:t>13b.10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77777777" w:rsidR="005F0B10" w:rsidRPr="008F2EFB" w:rsidRDefault="005F0B10" w:rsidP="00C2292F">
      <w:pPr>
        <w:pStyle w:val="Text"/>
      </w:pPr>
      <w:r w:rsidRPr="008F2EFB">
        <w:rPr>
          <w:rFonts w:eastAsia="Arial"/>
          <w:lang w:val="en"/>
        </w:rPr>
        <w:t>13b.11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 .</w:t>
      </w:r>
    </w:p>
    <w:p w14:paraId="27BE92FD" w14:textId="77777777" w:rsidR="005F0B10" w:rsidRPr="008F2EFB" w:rsidRDefault="005F0B10" w:rsidP="00C2292F">
      <w:pPr>
        <w:pStyle w:val="Text"/>
      </w:pPr>
      <w:r w:rsidRPr="008F2EFB">
        <w:rPr>
          <w:rFonts w:eastAsia="Arial"/>
          <w:lang w:val="en"/>
        </w:rPr>
        <w:t>13b.12 Requests for copies of MAPPA meeting minutes can come from a number of sources, including:</w:t>
      </w:r>
    </w:p>
    <w:p w14:paraId="5519B360"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rsidP="00AD2BEF">
      <w:pPr>
        <w:pStyle w:val="Text"/>
        <w:numPr>
          <w:ilvl w:val="0"/>
          <w:numId w:val="103"/>
        </w:numPr>
        <w:spacing w:before="120" w:after="120"/>
        <w:ind w:left="714" w:hanging="357"/>
        <w:rPr>
          <w:rFonts w:eastAsiaTheme="minorEastAsia"/>
        </w:rPr>
      </w:pPr>
      <w:r w:rsidRPr="008F2EFB">
        <w:rPr>
          <w:rFonts w:eastAsia="Arial"/>
          <w:lang w:val="en"/>
        </w:rPr>
        <w:t>Other third parties.</w:t>
      </w:r>
    </w:p>
    <w:p w14:paraId="360448F7" w14:textId="77777777" w:rsidR="005F0B10" w:rsidRPr="008F2EFB" w:rsidRDefault="005F0B10" w:rsidP="00C2292F">
      <w:pPr>
        <w:pStyle w:val="Text"/>
        <w:rPr>
          <w:rFonts w:eastAsia="Arial"/>
          <w:lang w:val="en"/>
        </w:rPr>
      </w:pPr>
      <w:r w:rsidRPr="008F2EFB">
        <w:rPr>
          <w:rFonts w:eastAsia="Arial"/>
          <w:lang w:val="en"/>
        </w:rPr>
        <w:t>13b.13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must 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77777777" w:rsidR="005F0B10" w:rsidRPr="008F2EFB" w:rsidRDefault="005F0B10" w:rsidP="00C2292F">
      <w:pPr>
        <w:pStyle w:val="Text"/>
      </w:pPr>
      <w:r w:rsidRPr="008F2EFB">
        <w:rPr>
          <w:rFonts w:eastAsia="Arial"/>
          <w:lang w:val="en"/>
        </w:rPr>
        <w:t>13b.14 Good practice includes discussing with individuals their risk assessment and risk management plan and explaining how the MAPPA arrangements work to support the management of risk. Where offenders ask, they are entitled to know what is written down about them, albeit with some caveats.  This applies to MAPPA minutes in the same way as it does to case records.</w:t>
      </w:r>
    </w:p>
    <w:p w14:paraId="532D3B29" w14:textId="77777777" w:rsidR="005F0B10" w:rsidRPr="008F2EFB" w:rsidRDefault="005F0B10" w:rsidP="00C2292F">
      <w:pPr>
        <w:pStyle w:val="Text"/>
        <w:rPr>
          <w:rFonts w:eastAsia="Arial"/>
          <w:lang w:val="en"/>
        </w:rPr>
      </w:pPr>
      <w:r w:rsidRPr="008F2EFB">
        <w:rPr>
          <w:rFonts w:eastAsia="Arial"/>
          <w:lang w:val="en"/>
        </w:rPr>
        <w:t xml:space="preserve">13b.15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a SAR under DPA and should be provided in response to such a request. </w:t>
      </w:r>
    </w:p>
    <w:p w14:paraId="0943863D" w14:textId="77777777" w:rsidR="005F0B10" w:rsidRPr="008F2EFB" w:rsidRDefault="005F0B10" w:rsidP="00C2292F">
      <w:pPr>
        <w:pStyle w:val="Text"/>
      </w:pPr>
      <w:r w:rsidRPr="008F2EFB">
        <w:rPr>
          <w:rFonts w:eastAsia="Arial"/>
          <w:lang w:val="en"/>
        </w:rPr>
        <w:t>13b.16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rsidP="00AD2BEF">
      <w:pPr>
        <w:pStyle w:val="Text"/>
        <w:numPr>
          <w:ilvl w:val="0"/>
          <w:numId w:val="104"/>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77777777" w:rsidR="005F0B10" w:rsidRPr="008F2EFB" w:rsidRDefault="005F0B10" w:rsidP="00C2292F">
      <w:pPr>
        <w:pStyle w:val="Text"/>
      </w:pPr>
      <w:r w:rsidRPr="008F2EFB">
        <w:rPr>
          <w:rFonts w:eastAsia="Arial"/>
          <w:lang w:val="en"/>
        </w:rPr>
        <w:t>13b.17 In applying these exemptions, the potential impact on the data subject, the public and other individuals can be considered. Disclosure can be refused where it would be likely to prejudice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77777777" w:rsidR="005F0B10" w:rsidRPr="008F2EFB" w:rsidRDefault="005F0B10" w:rsidP="00C2292F">
      <w:pPr>
        <w:pStyle w:val="Text"/>
        <w:rPr>
          <w:rFonts w:eastAsia="Arial"/>
          <w:lang w:val="en"/>
        </w:rPr>
      </w:pPr>
      <w:r w:rsidRPr="008F2EFB">
        <w:rPr>
          <w:rFonts w:eastAsia="Arial"/>
          <w:lang w:val="en"/>
        </w:rPr>
        <w:t xml:space="preserve">13b.18 An SAR relating to MAPPA meeting minutes must be considered within the timescales set out in data protection legislation and must also be dealt with according to the policies and procedures of the agency that receives it.  </w:t>
      </w:r>
    </w:p>
    <w:p w14:paraId="41C61275" w14:textId="20C7BB7E" w:rsidR="005F0B10" w:rsidRPr="008F2EFB" w:rsidRDefault="005F0B10" w:rsidP="00C2292F">
      <w:pPr>
        <w:pStyle w:val="Text"/>
        <w:rPr>
          <w:rFonts w:eastAsia="Arial"/>
          <w:lang w:val="en"/>
        </w:rPr>
      </w:pPr>
      <w:r w:rsidRPr="008F2EFB">
        <w:rPr>
          <w:rFonts w:eastAsia="Arial"/>
          <w:lang w:val="en"/>
        </w:rPr>
        <w:t xml:space="preserve">13b.19 SMBs may choose to record meetings solely for the purposes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11B23D97" w:rsidR="005F0B10" w:rsidRPr="008F2EFB" w:rsidRDefault="005F0B10" w:rsidP="00C2292F">
      <w:pPr>
        <w:pStyle w:val="Text"/>
        <w:rPr>
          <w:rFonts w:eastAsia="Arial"/>
          <w:lang w:val="en"/>
        </w:rPr>
      </w:pPr>
      <w:r w:rsidRPr="008F2EFB">
        <w:rPr>
          <w:rFonts w:eastAsia="Arial"/>
          <w:lang w:val="en"/>
        </w:rPr>
        <w:t xml:space="preserve">13b.20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covering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77777777" w:rsidR="005F0B10" w:rsidRPr="008F2EFB" w:rsidRDefault="005F0B10" w:rsidP="00C2292F">
      <w:pPr>
        <w:pStyle w:val="Text"/>
      </w:pPr>
      <w:r w:rsidRPr="008F2EFB">
        <w:rPr>
          <w:rFonts w:eastAsia="Arial"/>
          <w:lang w:val="en"/>
        </w:rPr>
        <w:t xml:space="preserve">13b.21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77777777" w:rsidR="005F0B10" w:rsidRPr="008F2EFB" w:rsidRDefault="005F0B10" w:rsidP="00C2292F">
      <w:pPr>
        <w:pStyle w:val="Text"/>
      </w:pPr>
      <w:r w:rsidRPr="008F2EFB">
        <w:rPr>
          <w:rFonts w:eastAsia="Arial"/>
          <w:lang w:val="en"/>
        </w:rPr>
        <w:t>13b.22 If an offender specifically requests information under FOIA then clarification should be sought as to whether they want the information under SAR. If they insist on a response under FOIA then a Neither Confirm Nor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77777777" w:rsidR="005F0B10" w:rsidRPr="008F2EFB" w:rsidRDefault="005F0B10" w:rsidP="00C2292F">
      <w:pPr>
        <w:pStyle w:val="Text"/>
      </w:pPr>
      <w:r w:rsidRPr="008F2EFB">
        <w:rPr>
          <w:rFonts w:eastAsia="Arial"/>
          <w:lang w:val="en"/>
        </w:rPr>
        <w:t>13b.23 Most, if not all of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to the meeting. This will be done in line with that agency's data protection policies and processes.</w:t>
      </w:r>
    </w:p>
    <w:p w14:paraId="3CA5C540" w14:textId="77777777" w:rsidR="005F0B10" w:rsidRPr="008F2EFB" w:rsidRDefault="005F0B10" w:rsidP="00C2292F">
      <w:pPr>
        <w:pStyle w:val="Text"/>
        <w:rPr>
          <w:rFonts w:eastAsia="Arial"/>
          <w:lang w:val="en"/>
        </w:rPr>
      </w:pPr>
      <w:r w:rsidRPr="008F2EFB">
        <w:rPr>
          <w:rFonts w:eastAsia="Arial"/>
          <w:lang w:val="en"/>
        </w:rPr>
        <w:t>13b.24 When an official request</w:t>
      </w:r>
      <w:r w:rsidRPr="008F2EFB">
        <w:rPr>
          <w:rStyle w:val="FootnoteReference"/>
          <w:rFonts w:eastAsia="Arial" w:cs="Arial"/>
          <w:szCs w:val="20"/>
          <w:lang w:val="en"/>
        </w:rPr>
        <w:footnoteReference w:id="27"/>
      </w:r>
      <w:r w:rsidRPr="008F2EFB">
        <w:rPr>
          <w:rFonts w:eastAsia="Arial"/>
          <w:lang w:val="en"/>
        </w:rPr>
        <w:t xml:space="preserve"> is made for a copy of the MAPPA minutes the person receiving the request should ask for clarification to determine exactly what information is being sought. As time is often short, it is essential that this is done promptly and, wherever possible, in writing. This will ensure that there is an audit trail. If a specific document from the meeting is being sought, the request should be directed to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77777777" w:rsidR="005F0B10" w:rsidRPr="008F2EFB" w:rsidRDefault="005F0B10" w:rsidP="00C2292F">
      <w:pPr>
        <w:pStyle w:val="Text"/>
      </w:pPr>
      <w:r w:rsidRPr="008F2EFB">
        <w:rPr>
          <w:rFonts w:eastAsia="Arial"/>
          <w:lang w:val="en"/>
        </w:rPr>
        <w:t>13b.25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absolutely necessary to provide the full minutes. Any reports referencing the MAPPA minutes must be cleared with the MAPPA Meeting Chair prior to publication to ensure that no sensitive material is disclosed.</w:t>
      </w:r>
    </w:p>
    <w:p w14:paraId="4395D284" w14:textId="77777777" w:rsidR="005F0B10" w:rsidRPr="008F2EFB" w:rsidRDefault="005F0B10" w:rsidP="00C2292F">
      <w:pPr>
        <w:pStyle w:val="Text"/>
      </w:pPr>
      <w:r w:rsidRPr="008F2EFB">
        <w:rPr>
          <w:rFonts w:eastAsia="Arial"/>
          <w:lang w:val="en"/>
        </w:rPr>
        <w:t>13b.26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all of the relevant information and then the executive summary could be used in proceedings. If full minutes are provided and there are concerns about the safety of an individual being compromised as a result of the information being shared within court or parole proceedings, this should be made clear in a covering letter.</w:t>
      </w:r>
    </w:p>
    <w:p w14:paraId="65B9FC33" w14:textId="77777777" w:rsidR="005F0B10" w:rsidRPr="008F2EFB" w:rsidRDefault="005F0B10" w:rsidP="00C2292F">
      <w:pPr>
        <w:pStyle w:val="Text"/>
      </w:pPr>
      <w:r w:rsidRPr="008F2EFB">
        <w:rPr>
          <w:rFonts w:eastAsia="Arial"/>
          <w:lang w:val="en"/>
        </w:rPr>
        <w:t>13b.27 Chairs of reviews (domestic homicide reviews, child serious case reviews etc.) who request copies of minutes should be asked to clarify what they need to know that is not, or could not be, provided by information from individual agencies. If the information required is only held in MAPPA meeting minutes, an executive summary is usually the most appropriate way to respond.</w:t>
      </w:r>
    </w:p>
    <w:p w14:paraId="2B0D2019" w14:textId="77777777" w:rsidR="005F0B10" w:rsidRPr="008F2EFB" w:rsidRDefault="005F0B10" w:rsidP="00C2292F">
      <w:pPr>
        <w:pStyle w:val="Text"/>
        <w:rPr>
          <w:rFonts w:eastAsia="Arial"/>
          <w:lang w:val="en"/>
        </w:rPr>
      </w:pPr>
      <w:r w:rsidRPr="008F2EFB">
        <w:rPr>
          <w:rFonts w:eastAsia="Arial"/>
          <w:lang w:val="en"/>
        </w:rPr>
        <w:t>13b.28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777777" w:rsidR="005F0B10" w:rsidRPr="008F2EFB" w:rsidRDefault="005F0B10" w:rsidP="00C2292F">
      <w:pPr>
        <w:pStyle w:val="Text"/>
        <w:rPr>
          <w:rFonts w:eastAsia="Arial"/>
          <w:lang w:val="en"/>
        </w:rPr>
      </w:pPr>
      <w:r w:rsidRPr="008F2EFB">
        <w:rPr>
          <w:rFonts w:eastAsia="Arial"/>
          <w:lang w:val="en"/>
        </w:rPr>
        <w:t>13b.29 Examples of MAPPA minutes may be provided to DTC agency inspectorates (such as Ofsted) as long as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77777777" w:rsidR="005F0B10" w:rsidRPr="008F2EFB" w:rsidRDefault="005F0B10" w:rsidP="00C2292F">
      <w:pPr>
        <w:pStyle w:val="Text"/>
        <w:rPr>
          <w:rFonts w:eastAsia="Arial"/>
          <w:lang w:val="en"/>
        </w:rPr>
      </w:pPr>
      <w:r w:rsidRPr="008F2EFB">
        <w:rPr>
          <w:rFonts w:eastAsia="Arial"/>
          <w:lang w:val="en"/>
        </w:rPr>
        <w:t>13b.30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77777777" w:rsidR="005F0B10" w:rsidRPr="008F2EFB" w:rsidRDefault="005F0B10" w:rsidP="00C2292F">
      <w:pPr>
        <w:pStyle w:val="Text"/>
      </w:pPr>
      <w:r w:rsidRPr="008F2EFB">
        <w:rPr>
          <w:rFonts w:eastAsia="Arial"/>
          <w:lang w:val="en"/>
        </w:rPr>
        <w:t>13b.31 An executive summary for an offender should include:</w:t>
      </w:r>
    </w:p>
    <w:p w14:paraId="39C760E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Attendance and apologies. This should be recorded by role or organisation rather than individuals' names.</w:t>
      </w:r>
    </w:p>
    <w:p w14:paraId="372BD67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rsidP="00AD2BEF">
      <w:pPr>
        <w:pStyle w:val="Text"/>
        <w:numPr>
          <w:ilvl w:val="0"/>
          <w:numId w:val="105"/>
        </w:numPr>
        <w:spacing w:before="120" w:after="120"/>
        <w:ind w:left="714" w:hanging="357"/>
        <w:rPr>
          <w:rFonts w:eastAsiaTheme="minorEastAsia"/>
        </w:rPr>
      </w:pPr>
      <w:r w:rsidRPr="008F2EFB">
        <w:rPr>
          <w:rFonts w:eastAsia="Arial"/>
          <w:lang w:val="en"/>
        </w:rPr>
        <w:t>Any other actions.</w:t>
      </w:r>
    </w:p>
    <w:p w14:paraId="79406F86" w14:textId="77777777" w:rsidR="005F0B10" w:rsidRPr="008F2EFB" w:rsidRDefault="005F0B10" w:rsidP="00C2292F">
      <w:pPr>
        <w:pStyle w:val="Text"/>
      </w:pPr>
      <w:r w:rsidRPr="008F2EFB">
        <w:rPr>
          <w:rFonts w:eastAsia="Arial"/>
          <w:lang w:val="en"/>
        </w:rPr>
        <w:t>13b.32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77777777" w:rsidR="005F0B10" w:rsidRPr="008F2EFB" w:rsidRDefault="005F0B10" w:rsidP="00C2292F">
      <w:pPr>
        <w:pStyle w:val="Text"/>
      </w:pPr>
      <w:r w:rsidRPr="008F2EFB">
        <w:rPr>
          <w:rFonts w:eastAsia="Arial"/>
          <w:lang w:val="en"/>
        </w:rPr>
        <w:t>13b.33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Where it is known that the report is required, it is helpful for this to be agreed at the meeting. The rationale for any recommendations in reports needs to be clear. Lead agencies need to own decisions taken at MAPPA meetings (see Chapter 12.7).</w:t>
      </w:r>
    </w:p>
    <w:p w14:paraId="70D57A11" w14:textId="77777777" w:rsidR="005F0B10" w:rsidRPr="008F2EFB" w:rsidRDefault="005F0B10" w:rsidP="00C2292F">
      <w:pPr>
        <w:pStyle w:val="Text"/>
        <w:rPr>
          <w:rFonts w:eastAsia="Arial"/>
          <w:lang w:val="en"/>
        </w:rPr>
      </w:pPr>
      <w:r w:rsidRPr="008F2EFB">
        <w:rPr>
          <w:rFonts w:eastAsia="Arial"/>
          <w:lang w:val="en"/>
        </w:rPr>
        <w:t>13b.34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77777777" w:rsidR="005F0B10" w:rsidRPr="008F2EFB" w:rsidRDefault="005F0B10" w:rsidP="00C2292F">
      <w:pPr>
        <w:pStyle w:val="Text"/>
      </w:pPr>
      <w:r w:rsidRPr="008F2EFB">
        <w:rPr>
          <w:rFonts w:eastAsia="Arial"/>
          <w:lang w:val="en"/>
        </w:rPr>
        <w:t>13b.35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77777777" w:rsidR="005F0B10" w:rsidRPr="008F2EFB" w:rsidRDefault="005F0B10" w:rsidP="00C2292F">
      <w:pPr>
        <w:pStyle w:val="Text"/>
      </w:pPr>
      <w:r w:rsidRPr="008F2EFB">
        <w:rPr>
          <w:rFonts w:eastAsia="Arial"/>
          <w:lang w:val="en"/>
        </w:rPr>
        <w:t>13b.36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on its merits and the information requested must be fully considered in line with FOIA guidance before any response is issued. However, it will usually be necessary to NCND that the information is held (FOIA s40(5)) for any request where confirming that a meeting took place would confirm that the offender was being managed at MAPPA Level 2 or 3. This will apply in nearly all cases.</w:t>
      </w:r>
    </w:p>
    <w:p w14:paraId="67F92D33" w14:textId="77777777" w:rsidR="005F0B10" w:rsidRPr="008F2EFB" w:rsidRDefault="005F0B10" w:rsidP="00C2292F">
      <w:pPr>
        <w:pStyle w:val="Text"/>
      </w:pPr>
      <w:r w:rsidRPr="008F2EFB">
        <w:rPr>
          <w:rFonts w:eastAsia="Arial"/>
          <w:lang w:val="en"/>
        </w:rPr>
        <w:t>13b.37 Even where a NCND response is not appropriate, one or more of the following exemptions in the FOIA is likely to apply to some or all of the information contained therein:</w:t>
      </w:r>
    </w:p>
    <w:p w14:paraId="5D47FE8D"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rsidP="00AD2BEF">
      <w:pPr>
        <w:pStyle w:val="Text"/>
        <w:numPr>
          <w:ilvl w:val="0"/>
          <w:numId w:val="106"/>
        </w:numPr>
        <w:spacing w:before="120" w:after="120"/>
        <w:ind w:left="714" w:hanging="357"/>
        <w:rPr>
          <w:rFonts w:eastAsiaTheme="minorEastAsia"/>
        </w:rPr>
      </w:pPr>
      <w:r w:rsidRPr="008F2EFB">
        <w:rPr>
          <w:rFonts w:eastAsia="Arial"/>
          <w:lang w:val="en"/>
        </w:rPr>
        <w:t>Information provided in confidence (section 41).</w:t>
      </w:r>
    </w:p>
    <w:p w14:paraId="23D8EF0B" w14:textId="77777777" w:rsidR="005F0B10" w:rsidRPr="008F2EFB" w:rsidRDefault="005F0B10" w:rsidP="00C2292F">
      <w:pPr>
        <w:pStyle w:val="Text"/>
      </w:pPr>
      <w:r w:rsidRPr="008F2EFB">
        <w:rPr>
          <w:rFonts w:eastAsia="Arial"/>
          <w:lang w:val="en"/>
        </w:rPr>
        <w:t>13b.38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D58" w14:textId="77777777" w:rsidR="00F2123B" w:rsidRDefault="00200CFB">
      <w:pPr>
        <w:pStyle w:val="Heading1"/>
        <w:pageBreakBefore/>
        <w:tabs>
          <w:tab w:val="center" w:pos="4153"/>
        </w:tabs>
        <w:spacing w:line="280" w:lineRule="atLeast"/>
      </w:pPr>
      <w:r>
        <w:rPr>
          <w:color w:val="000000"/>
          <w:sz w:val="36"/>
          <w:szCs w:val="28"/>
        </w:rPr>
        <w:t>14.</w:t>
      </w:r>
      <w:r>
        <w:rPr>
          <w:rFonts w:eastAsia="Arial"/>
          <w:color w:val="000000"/>
          <w:sz w:val="36"/>
          <w:szCs w:val="28"/>
        </w:rPr>
        <w:t xml:space="preserve"> </w:t>
      </w:r>
      <w:r>
        <w:rPr>
          <w:color w:val="000000"/>
          <w:sz w:val="36"/>
          <w:szCs w:val="28"/>
        </w:rPr>
        <w:t>MAPPA</w:t>
      </w:r>
      <w:r>
        <w:rPr>
          <w:rFonts w:eastAsia="Arial"/>
          <w:color w:val="000000"/>
          <w:sz w:val="36"/>
          <w:szCs w:val="28"/>
        </w:rPr>
        <w:t xml:space="preserve"> </w:t>
      </w:r>
      <w:r>
        <w:rPr>
          <w:color w:val="000000"/>
          <w:sz w:val="36"/>
          <w:szCs w:val="28"/>
        </w:rPr>
        <w:t>Document</w:t>
      </w:r>
      <w:r>
        <w:rPr>
          <w:rFonts w:eastAsia="Arial"/>
          <w:color w:val="000000"/>
          <w:sz w:val="36"/>
          <w:szCs w:val="28"/>
        </w:rPr>
        <w:t xml:space="preserve"> </w:t>
      </w:r>
      <w:r>
        <w:rPr>
          <w:color w:val="000000"/>
          <w:sz w:val="36"/>
          <w:szCs w:val="28"/>
        </w:rPr>
        <w:t>Set</w:t>
      </w:r>
      <w:r>
        <w:rPr>
          <w:color w:val="000000"/>
          <w:sz w:val="36"/>
          <w:szCs w:val="28"/>
        </w:rPr>
        <w:tab/>
      </w:r>
    </w:p>
    <w:p w14:paraId="198A6D59" w14:textId="77777777" w:rsidR="00F2123B" w:rsidRDefault="00F2123B">
      <w:pPr>
        <w:spacing w:line="280" w:lineRule="atLeast"/>
        <w:rPr>
          <w:rFonts w:ascii="Arial" w:hAnsi="Arial" w:cs="Arial"/>
          <w:sz w:val="20"/>
        </w:rPr>
      </w:pPr>
    </w:p>
    <w:p w14:paraId="198A6D5A"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SMB</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Responsible Authority</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Duty to Co-operate (“DTC”)</w:t>
      </w:r>
      <w:r>
        <w:rPr>
          <w:rFonts w:ascii="Arial" w:eastAsia="Arial" w:hAnsi="Arial" w:cs="Arial"/>
          <w:b/>
        </w:rPr>
        <w:t xml:space="preserve"> </w:t>
      </w:r>
      <w:r>
        <w:rPr>
          <w:rFonts w:ascii="Arial" w:hAnsi="Arial" w:cs="Arial"/>
          <w:b/>
        </w:rPr>
        <w:t>agencies</w:t>
      </w:r>
      <w:r>
        <w:rPr>
          <w:rFonts w:ascii="Arial" w:eastAsia="Arial" w:hAnsi="Arial" w:cs="Arial"/>
          <w:b/>
        </w:rPr>
        <w:t xml:space="preserve"> </w:t>
      </w:r>
      <w:r>
        <w:rPr>
          <w:rFonts w:ascii="Arial" w:hAnsi="Arial" w:cs="Arial"/>
          <w:b/>
        </w:rPr>
        <w:t>are</w:t>
      </w:r>
      <w:r>
        <w:rPr>
          <w:rFonts w:ascii="Arial" w:eastAsia="Arial" w:hAnsi="Arial" w:cs="Arial"/>
          <w:b/>
        </w:rPr>
        <w:t xml:space="preserve"> </w:t>
      </w:r>
      <w:r>
        <w:rPr>
          <w:rFonts w:ascii="Arial" w:hAnsi="Arial" w:cs="Arial"/>
          <w:b/>
        </w:rPr>
        <w:t>using</w:t>
      </w:r>
      <w:r>
        <w:rPr>
          <w:rFonts w:ascii="Arial" w:eastAsia="Arial" w:hAnsi="Arial" w:cs="Arial"/>
          <w:b/>
        </w:rPr>
        <w:t xml:space="preserve"> </w:t>
      </w:r>
      <w:r>
        <w:rPr>
          <w:rFonts w:ascii="Arial" w:hAnsi="Arial" w:cs="Arial"/>
          <w:b/>
        </w:rPr>
        <w:t>all</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documents</w:t>
      </w:r>
      <w:r>
        <w:rPr>
          <w:rFonts w:ascii="Arial" w:eastAsia="Arial" w:hAnsi="Arial" w:cs="Arial"/>
          <w:b/>
        </w:rPr>
        <w:t xml:space="preserve"> </w:t>
      </w:r>
      <w:r>
        <w:rPr>
          <w:rFonts w:ascii="Arial" w:hAnsi="Arial" w:cs="Arial"/>
          <w:b/>
        </w:rPr>
        <w:t>outlined</w:t>
      </w:r>
      <w:r>
        <w:rPr>
          <w:rFonts w:ascii="Arial" w:eastAsia="Arial" w:hAnsi="Arial" w:cs="Arial"/>
          <w:b/>
        </w:rPr>
        <w:t xml:space="preserve"> </w:t>
      </w:r>
      <w:r>
        <w:rPr>
          <w:rFonts w:ascii="Arial" w:hAnsi="Arial" w:cs="Arial"/>
          <w:b/>
        </w:rPr>
        <w:t>in</w:t>
      </w:r>
      <w:r>
        <w:rPr>
          <w:rFonts w:ascii="Arial" w:eastAsia="Arial" w:hAnsi="Arial" w:cs="Arial"/>
          <w:b/>
        </w:rPr>
        <w:t xml:space="preserve"> </w:t>
      </w:r>
      <w:r>
        <w:rPr>
          <w:rFonts w:ascii="Arial" w:hAnsi="Arial" w:cs="Arial"/>
          <w:b/>
        </w:rPr>
        <w:t>this</w:t>
      </w:r>
      <w:r>
        <w:rPr>
          <w:rFonts w:ascii="Arial" w:eastAsia="Arial" w:hAnsi="Arial" w:cs="Arial"/>
          <w:b/>
        </w:rPr>
        <w:t xml:space="preserve"> </w:t>
      </w:r>
      <w:r>
        <w:rPr>
          <w:rFonts w:ascii="Arial" w:hAnsi="Arial" w:cs="Arial"/>
          <w:b/>
        </w:rPr>
        <w:t>section</w:t>
      </w:r>
    </w:p>
    <w:p w14:paraId="198A6D5B" w14:textId="77777777" w:rsidR="00F2123B" w:rsidRDefault="00F2123B">
      <w:pPr>
        <w:spacing w:line="280" w:lineRule="atLeast"/>
        <w:rPr>
          <w:rFonts w:ascii="Arial" w:hAnsi="Arial" w:cs="Arial"/>
          <w:b/>
          <w:sz w:val="20"/>
        </w:rPr>
      </w:pPr>
    </w:p>
    <w:p w14:paraId="198A6D5C"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rPr>
          <w:iCs/>
        </w:rPr>
      </w:pPr>
      <w:r>
        <w:rPr>
          <w:iCs/>
        </w:rPr>
        <w:t>Introduction</w:t>
      </w:r>
    </w:p>
    <w:p w14:paraId="198A6D5D" w14:textId="77777777" w:rsidR="00F2123B" w:rsidRDefault="00F2123B">
      <w:pPr>
        <w:spacing w:line="280" w:lineRule="atLeast"/>
        <w:rPr>
          <w:rFonts w:ascii="Arial" w:hAnsi="Arial" w:cs="Arial"/>
          <w:sz w:val="20"/>
        </w:rPr>
      </w:pPr>
    </w:p>
    <w:p w14:paraId="198A6D5E" w14:textId="77777777" w:rsidR="00F2123B" w:rsidRDefault="00200CFB">
      <w:pPr>
        <w:spacing w:line="280" w:lineRule="atLeast"/>
      </w:pPr>
      <w:r>
        <w:rPr>
          <w:rFonts w:ascii="Arial" w:hAnsi="Arial" w:cs="Arial"/>
          <w:sz w:val="20"/>
        </w:rPr>
        <w:t>14.1</w:t>
      </w:r>
      <w:r>
        <w:rPr>
          <w:rFonts w:ascii="Arial" w:hAnsi="Arial" w:cs="Arial"/>
          <w:sz w:val="20"/>
        </w:rPr>
        <w:tab/>
        <w:t>This</w:t>
      </w:r>
      <w:r>
        <w:rPr>
          <w:rFonts w:ascii="Arial" w:eastAsia="Arial" w:hAnsi="Arial" w:cs="Arial"/>
          <w:sz w:val="20"/>
        </w:rPr>
        <w:t xml:space="preserve"> </w:t>
      </w:r>
      <w:r>
        <w:rPr>
          <w:rFonts w:ascii="Arial" w:hAnsi="Arial" w:cs="Arial"/>
          <w:sz w:val="20"/>
        </w:rPr>
        <w:t>section</w:t>
      </w:r>
      <w:r>
        <w:rPr>
          <w:rFonts w:ascii="Arial" w:eastAsia="Arial" w:hAnsi="Arial" w:cs="Arial"/>
          <w:sz w:val="20"/>
        </w:rPr>
        <w:t xml:space="preserve"> </w:t>
      </w:r>
      <w:r>
        <w:rPr>
          <w:rFonts w:ascii="Arial" w:hAnsi="Arial" w:cs="Arial"/>
          <w:sz w:val="20"/>
        </w:rPr>
        <w:t>describes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recommended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Guidance,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purpose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brief</w:t>
      </w:r>
      <w:r>
        <w:rPr>
          <w:rFonts w:ascii="Arial" w:eastAsia="Arial" w:hAnsi="Arial" w:cs="Arial"/>
          <w:sz w:val="20"/>
        </w:rPr>
        <w:t xml:space="preserve"> </w:t>
      </w:r>
      <w:r>
        <w:rPr>
          <w:rFonts w:ascii="Arial" w:hAnsi="Arial" w:cs="Arial"/>
          <w:sz w:val="20"/>
        </w:rPr>
        <w:t>description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deviation</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recommended</w:t>
      </w:r>
      <w:r>
        <w:rPr>
          <w:rFonts w:ascii="Arial" w:eastAsia="Arial" w:hAnsi="Arial" w:cs="Arial"/>
          <w:sz w:val="20"/>
        </w:rPr>
        <w:t xml:space="preserve"> </w:t>
      </w:r>
      <w:r>
        <w:rPr>
          <w:rFonts w:ascii="Arial" w:hAnsi="Arial" w:cs="Arial"/>
          <w:sz w:val="20"/>
        </w:rPr>
        <w:t>documents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Strategic Management Board (“</w:t>
      </w:r>
      <w:r>
        <w:rPr>
          <w:rFonts w:ascii="Arial" w:hAnsi="Arial" w:cs="Arial"/>
          <w:sz w:val="20"/>
        </w:rPr>
        <w:t>SMB”).</w:t>
      </w:r>
    </w:p>
    <w:p w14:paraId="198A6D5F" w14:textId="77777777" w:rsidR="00F2123B" w:rsidRDefault="00F2123B">
      <w:pPr>
        <w:spacing w:line="280" w:lineRule="atLeast"/>
        <w:rPr>
          <w:rFonts w:ascii="Arial" w:hAnsi="Arial" w:cs="Arial"/>
          <w:sz w:val="20"/>
        </w:rPr>
      </w:pPr>
    </w:p>
    <w:p w14:paraId="198A6D60" w14:textId="77777777" w:rsidR="00F2123B" w:rsidRDefault="00200CFB">
      <w:pPr>
        <w:spacing w:line="280" w:lineRule="atLeast"/>
      </w:pPr>
      <w:r>
        <w:rPr>
          <w:rFonts w:ascii="Arial" w:hAnsi="Arial" w:cs="Arial"/>
          <w:sz w:val="20"/>
        </w:rPr>
        <w:t>14.2</w:t>
      </w:r>
      <w:r>
        <w:rPr>
          <w:rFonts w:ascii="Arial" w:hAnsi="Arial" w:cs="Arial"/>
          <w:sz w:val="20"/>
        </w:rPr>
        <w:tab/>
        <w:t>The</w:t>
      </w:r>
      <w:r>
        <w:rPr>
          <w:rFonts w:ascii="Arial" w:eastAsia="Arial" w:hAnsi="Arial" w:cs="Arial"/>
          <w:sz w:val="20"/>
        </w:rPr>
        <w:t xml:space="preserve"> </w:t>
      </w:r>
      <w:r>
        <w:rPr>
          <w:rFonts w:ascii="Arial" w:hAnsi="Arial" w:cs="Arial"/>
          <w:sz w:val="20"/>
        </w:rPr>
        <w:t>revised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developed</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extensive</w:t>
      </w:r>
      <w:r>
        <w:rPr>
          <w:rFonts w:ascii="Arial" w:eastAsia="Arial" w:hAnsi="Arial" w:cs="Arial"/>
          <w:sz w:val="20"/>
        </w:rPr>
        <w:t xml:space="preserve"> </w:t>
      </w:r>
      <w:r>
        <w:rPr>
          <w:rFonts w:ascii="Arial" w:hAnsi="Arial" w:cs="Arial"/>
          <w:sz w:val="20"/>
        </w:rPr>
        <w:t>consultation</w:t>
      </w:r>
      <w:r>
        <w:rPr>
          <w:rFonts w:ascii="Arial" w:eastAsia="Arial" w:hAnsi="Arial" w:cs="Arial"/>
          <w:sz w:val="20"/>
        </w:rPr>
        <w:t xml:space="preserve"> </w:t>
      </w:r>
      <w:r>
        <w:rPr>
          <w:rFonts w:ascii="Arial" w:hAnsi="Arial" w:cs="Arial"/>
          <w:sz w:val="20"/>
        </w:rPr>
        <w:t>nationally.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documents</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introduced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establish</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consistency,</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regard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referral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minute-taking</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p>
    <w:p w14:paraId="198A6D61" w14:textId="77777777" w:rsidR="00F2123B" w:rsidRDefault="00F2123B">
      <w:pPr>
        <w:spacing w:line="280" w:lineRule="atLeast"/>
        <w:rPr>
          <w:rFonts w:ascii="Arial" w:hAnsi="Arial" w:cs="Arial"/>
          <w:sz w:val="20"/>
          <w:szCs w:val="28"/>
        </w:rPr>
      </w:pPr>
    </w:p>
    <w:p w14:paraId="198A6D62"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pPr>
      <w:r>
        <w:rPr>
          <w:iCs/>
        </w:rPr>
        <w:t>Document</w:t>
      </w:r>
      <w:r>
        <w:rPr>
          <w:rFonts w:eastAsia="Arial"/>
          <w:iCs/>
        </w:rPr>
        <w:t xml:space="preserve"> </w:t>
      </w:r>
      <w:r>
        <w:rPr>
          <w:iCs/>
        </w:rPr>
        <w:t>protective</w:t>
      </w:r>
      <w:r>
        <w:rPr>
          <w:rFonts w:eastAsia="Arial"/>
          <w:iCs/>
        </w:rPr>
        <w:t xml:space="preserve"> </w:t>
      </w:r>
      <w:r>
        <w:rPr>
          <w:iCs/>
        </w:rPr>
        <w:t>markings</w:t>
      </w:r>
    </w:p>
    <w:p w14:paraId="198A6D63" w14:textId="77777777" w:rsidR="00F2123B" w:rsidRDefault="00F2123B">
      <w:pPr>
        <w:spacing w:line="280" w:lineRule="atLeast"/>
        <w:rPr>
          <w:rFonts w:ascii="Arial" w:hAnsi="Arial" w:cs="Arial"/>
          <w:sz w:val="20"/>
          <w:szCs w:val="28"/>
        </w:rPr>
      </w:pPr>
    </w:p>
    <w:p w14:paraId="198A6D64"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SMB</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satisfied</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information</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shared</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stored</w:t>
      </w:r>
      <w:r>
        <w:rPr>
          <w:rFonts w:ascii="Arial" w:eastAsia="Arial" w:hAnsi="Arial" w:cs="Arial"/>
          <w:b/>
        </w:rPr>
        <w:t xml:space="preserve"> </w:t>
      </w:r>
      <w:r>
        <w:rPr>
          <w:rFonts w:ascii="Arial" w:hAnsi="Arial" w:cs="Arial"/>
          <w:b/>
        </w:rPr>
        <w:t>according</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Government</w:t>
      </w:r>
      <w:r>
        <w:rPr>
          <w:rFonts w:ascii="Arial" w:eastAsia="Arial" w:hAnsi="Arial" w:cs="Arial"/>
          <w:b/>
        </w:rPr>
        <w:t xml:space="preserve"> </w:t>
      </w:r>
      <w:r>
        <w:rPr>
          <w:rFonts w:ascii="Arial" w:hAnsi="Arial" w:cs="Arial"/>
          <w:b/>
        </w:rPr>
        <w:t>Protective</w:t>
      </w:r>
      <w:r>
        <w:rPr>
          <w:rFonts w:ascii="Arial" w:eastAsia="Arial" w:hAnsi="Arial" w:cs="Arial"/>
          <w:b/>
        </w:rPr>
        <w:t xml:space="preserve"> </w:t>
      </w:r>
      <w:r>
        <w:rPr>
          <w:rFonts w:ascii="Arial" w:hAnsi="Arial" w:cs="Arial"/>
          <w:b/>
        </w:rPr>
        <w:t>Marking</w:t>
      </w:r>
      <w:r>
        <w:rPr>
          <w:rFonts w:ascii="Arial" w:eastAsia="Arial" w:hAnsi="Arial" w:cs="Arial"/>
          <w:b/>
        </w:rPr>
        <w:t xml:space="preserve"> </w:t>
      </w:r>
      <w:r>
        <w:rPr>
          <w:rFonts w:ascii="Arial" w:hAnsi="Arial" w:cs="Arial"/>
          <w:b/>
        </w:rPr>
        <w:t>Scheme</w:t>
      </w:r>
      <w:r>
        <w:rPr>
          <w:rFonts w:ascii="Arial" w:eastAsia="Arial" w:hAnsi="Arial" w:cs="Arial"/>
          <w:b/>
        </w:rPr>
        <w:t xml:space="preserve"> </w:t>
      </w:r>
      <w:r>
        <w:rPr>
          <w:rFonts w:ascii="Arial" w:hAnsi="Arial" w:cs="Arial"/>
          <w:b/>
        </w:rPr>
        <w:t>(“GPMS”)</w:t>
      </w:r>
    </w:p>
    <w:p w14:paraId="198A6D65" w14:textId="77777777" w:rsidR="00F2123B" w:rsidRDefault="00F2123B">
      <w:pPr>
        <w:spacing w:line="280" w:lineRule="atLeast"/>
        <w:rPr>
          <w:rFonts w:ascii="Arial" w:hAnsi="Arial" w:cs="Arial"/>
          <w:color w:val="800080"/>
          <w:sz w:val="20"/>
          <w:szCs w:val="28"/>
        </w:rPr>
      </w:pPr>
    </w:p>
    <w:p w14:paraId="198A6D66" w14:textId="77777777" w:rsidR="00F2123B" w:rsidRDefault="00200CFB">
      <w:pPr>
        <w:spacing w:line="280" w:lineRule="atLeast"/>
      </w:pPr>
      <w:r>
        <w:rPr>
          <w:rFonts w:ascii="Arial" w:hAnsi="Arial" w:cs="Arial"/>
          <w:sz w:val="20"/>
        </w:rPr>
        <w:t>14.3</w:t>
      </w:r>
      <w:r>
        <w:rPr>
          <w:rFonts w:ascii="Arial" w:hAnsi="Arial" w:cs="Arial"/>
          <w:sz w:val="20"/>
        </w:rPr>
        <w:tab/>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Sharing</w:t>
      </w:r>
      <w:r>
        <w:rPr>
          <w:rFonts w:ascii="Arial" w:eastAsia="Arial" w:hAnsi="Arial" w:cs="Arial"/>
          <w:sz w:val="20"/>
        </w:rPr>
        <w:t xml:space="preserve"> </w:t>
      </w:r>
      <w:r>
        <w:rPr>
          <w:rFonts w:ascii="Arial" w:hAnsi="Arial" w:cs="Arial"/>
          <w:sz w:val="20"/>
        </w:rPr>
        <w:t>Protocols</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shared</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Protocols</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understand</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responsibilities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confidential</w:t>
      </w:r>
      <w:r>
        <w:rPr>
          <w:rFonts w:ascii="Arial" w:eastAsia="Arial" w:hAnsi="Arial" w:cs="Arial"/>
          <w:sz w:val="20"/>
        </w:rPr>
        <w:t xml:space="preserve"> </w:t>
      </w:r>
      <w:r>
        <w:rPr>
          <w:rFonts w:ascii="Arial" w:hAnsi="Arial" w:cs="Arial"/>
          <w:sz w:val="20"/>
        </w:rPr>
        <w:t>handling</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requirements.</w:t>
      </w:r>
      <w:r>
        <w:rPr>
          <w:rFonts w:ascii="Arial" w:eastAsia="Arial" w:hAnsi="Arial" w:cs="Arial"/>
          <w:sz w:val="20"/>
        </w:rPr>
        <w:t xml:space="preserve"> </w:t>
      </w:r>
    </w:p>
    <w:p w14:paraId="198A6D67" w14:textId="77777777" w:rsidR="00F2123B" w:rsidRDefault="00200CFB">
      <w:pPr>
        <w:spacing w:line="280" w:lineRule="atLeast"/>
        <w:rPr>
          <w:rFonts w:ascii="Arial" w:eastAsia="Arial" w:hAnsi="Arial" w:cs="Arial"/>
          <w:b/>
          <w:color w:val="800080"/>
          <w:sz w:val="20"/>
        </w:rPr>
      </w:pPr>
      <w:r>
        <w:rPr>
          <w:rFonts w:ascii="Arial" w:eastAsia="Arial" w:hAnsi="Arial" w:cs="Arial"/>
          <w:b/>
          <w:color w:val="800080"/>
          <w:sz w:val="20"/>
        </w:rPr>
        <w:t xml:space="preserve"> </w:t>
      </w:r>
    </w:p>
    <w:p w14:paraId="198A6D68" w14:textId="77777777" w:rsidR="00F2123B" w:rsidRDefault="00200CFB">
      <w:pPr>
        <w:spacing w:line="280" w:lineRule="atLeast"/>
      </w:pPr>
      <w:r>
        <w:rPr>
          <w:rFonts w:ascii="Arial" w:hAnsi="Arial" w:cs="Arial"/>
          <w:sz w:val="20"/>
        </w:rPr>
        <w:t>14.4</w:t>
      </w:r>
      <w:r>
        <w:rPr>
          <w:rFonts w:ascii="Arial" w:hAnsi="Arial" w:cs="Arial"/>
          <w:sz w:val="20"/>
        </w:rPr>
        <w:tab/>
        <w:t>Once</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documents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RESTRICTED.</w:t>
      </w:r>
      <w:r>
        <w:rPr>
          <w:rFonts w:ascii="Arial" w:eastAsia="Arial" w:hAnsi="Arial" w:cs="Arial"/>
          <w:sz w:val="20"/>
        </w:rPr>
        <w:t xml:space="preserve"> </w:t>
      </w:r>
      <w:r>
        <w:rPr>
          <w:rFonts w:ascii="Arial" w:hAnsi="Arial" w:cs="Arial"/>
          <w:sz w:val="20"/>
        </w:rPr>
        <w:t>However,</w:t>
      </w:r>
      <w:r>
        <w:rPr>
          <w:rFonts w:ascii="Arial" w:eastAsia="Arial" w:hAnsi="Arial" w:cs="Arial"/>
          <w:sz w:val="20"/>
        </w:rPr>
        <w:t xml:space="preserve"> </w:t>
      </w:r>
      <w:r>
        <w:rPr>
          <w:rFonts w:ascii="Arial" w:hAnsi="Arial" w:cs="Arial"/>
          <w:sz w:val="20"/>
        </w:rPr>
        <w:t>when</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entered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becomes</w:t>
      </w:r>
      <w:r>
        <w:rPr>
          <w:rFonts w:ascii="Arial" w:eastAsia="Arial" w:hAnsi="Arial" w:cs="Arial"/>
          <w:sz w:val="20"/>
        </w:rPr>
        <w:t xml:space="preserve"> </w:t>
      </w:r>
      <w:r>
        <w:rPr>
          <w:rFonts w:ascii="Arial" w:hAnsi="Arial" w:cs="Arial"/>
          <w:sz w:val="20"/>
        </w:rPr>
        <w:t>CONFIDENTIAL</w:t>
      </w:r>
      <w:r>
        <w:rPr>
          <w:rFonts w:ascii="Arial" w:eastAsia="Arial" w:hAnsi="Arial" w:cs="Arial"/>
          <w:sz w:val="20"/>
        </w:rPr>
        <w:t xml:space="preserve"> </w:t>
      </w:r>
      <w:r>
        <w:rPr>
          <w:rFonts w:ascii="Arial" w:hAnsi="Arial" w:cs="Arial"/>
          <w:sz w:val="20"/>
        </w:rPr>
        <w:t>(although</w:t>
      </w:r>
      <w:r>
        <w:rPr>
          <w:rFonts w:ascii="Arial" w:eastAsia="Arial" w:hAnsi="Arial" w:cs="Arial"/>
          <w:sz w:val="20"/>
        </w:rPr>
        <w:t xml:space="preserve"> </w:t>
      </w:r>
      <w:r>
        <w:rPr>
          <w:rFonts w:ascii="Arial" w:hAnsi="Arial" w:cs="Arial"/>
          <w:sz w:val="20"/>
        </w:rPr>
        <w:t>only</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respect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entry</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 </w:t>
      </w:r>
      <w:r>
        <w:rPr>
          <w:rFonts w:ascii="Arial" w:hAnsi="Arial" w:cs="Arial"/>
          <w:sz w:val="20"/>
        </w:rPr>
        <w:t>in</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respects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remains</w:t>
      </w:r>
      <w:r>
        <w:rPr>
          <w:rFonts w:ascii="Arial" w:eastAsia="Arial" w:hAnsi="Arial" w:cs="Arial"/>
          <w:sz w:val="20"/>
        </w:rPr>
        <w:t xml:space="preserve"> </w:t>
      </w:r>
      <w:r>
        <w:rPr>
          <w:rFonts w:ascii="Arial" w:hAnsi="Arial" w:cs="Arial"/>
          <w:sz w:val="20"/>
        </w:rPr>
        <w:t>RESTRICTED),</w:t>
      </w:r>
      <w:r>
        <w:rPr>
          <w:rFonts w:ascii="Arial" w:eastAsia="Arial" w:hAnsi="Arial" w:cs="Arial"/>
          <w:sz w:val="20"/>
        </w:rPr>
        <w:t xml:space="preserve"> </w:t>
      </w:r>
      <w:r>
        <w:rPr>
          <w:rFonts w:ascii="Arial" w:hAnsi="Arial" w:cs="Arial"/>
          <w:sz w:val="20"/>
        </w:rPr>
        <w:t>because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whole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system</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CONFIDENTIAL.</w:t>
      </w:r>
    </w:p>
    <w:p w14:paraId="198A6D69" w14:textId="77777777" w:rsidR="00F2123B" w:rsidRDefault="00F2123B">
      <w:pPr>
        <w:spacing w:line="280" w:lineRule="atLeast"/>
        <w:rPr>
          <w:rFonts w:ascii="Arial" w:hAnsi="Arial" w:cs="Arial"/>
          <w:sz w:val="20"/>
        </w:rPr>
      </w:pPr>
    </w:p>
    <w:p w14:paraId="198A6D6A" w14:textId="77777777" w:rsidR="00F2123B" w:rsidRDefault="00200CFB">
      <w:pPr>
        <w:spacing w:line="280" w:lineRule="atLeast"/>
      </w:pPr>
      <w:r>
        <w:rPr>
          <w:rFonts w:ascii="Arial" w:hAnsi="Arial" w:cs="Arial"/>
          <w:sz w:val="20"/>
        </w:rPr>
        <w:t>14.5</w:t>
      </w:r>
      <w:r>
        <w:rPr>
          <w:rFonts w:ascii="Arial" w:hAnsi="Arial" w:cs="Arial"/>
          <w:sz w:val="20"/>
        </w:rPr>
        <w:tab/>
        <w:t>Minutes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attended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marked</w:t>
      </w:r>
      <w:r>
        <w:rPr>
          <w:rFonts w:ascii="Arial" w:eastAsia="Arial" w:hAnsi="Arial" w:cs="Arial"/>
          <w:sz w:val="20"/>
        </w:rPr>
        <w:t xml:space="preserve"> </w:t>
      </w:r>
      <w:r>
        <w:rPr>
          <w:rFonts w:ascii="Arial" w:hAnsi="Arial" w:cs="Arial"/>
          <w:sz w:val="20"/>
        </w:rPr>
        <w:t>RESTRICTED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handled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receiving</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p>
    <w:p w14:paraId="198A6D6B" w14:textId="77777777" w:rsidR="00F2123B" w:rsidRDefault="00F2123B">
      <w:pPr>
        <w:spacing w:line="280" w:lineRule="atLeast"/>
        <w:rPr>
          <w:rFonts w:ascii="Arial" w:hAnsi="Arial" w:cs="Arial"/>
          <w:sz w:val="20"/>
          <w:szCs w:val="28"/>
        </w:rPr>
      </w:pPr>
    </w:p>
    <w:p w14:paraId="198A6D6C" w14:textId="1A738C52" w:rsidR="00F2123B" w:rsidRDefault="00200CFB">
      <w:pPr>
        <w:spacing w:line="280" w:lineRule="atLeast"/>
      </w:pPr>
      <w:r>
        <w:rPr>
          <w:rFonts w:ascii="Arial" w:hAnsi="Arial" w:cs="Arial"/>
          <w:sz w:val="20"/>
        </w:rPr>
        <w:t>14.6</w:t>
      </w:r>
      <w:r>
        <w:rPr>
          <w:rFonts w:ascii="Arial" w:hAnsi="Arial" w:cs="Arial"/>
          <w:sz w:val="20"/>
        </w:rPr>
        <w:tab/>
        <w:t>Where</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signatory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Sharing</w:t>
      </w:r>
      <w:r>
        <w:rPr>
          <w:rFonts w:ascii="Arial" w:eastAsia="Arial" w:hAnsi="Arial" w:cs="Arial"/>
          <w:sz w:val="20"/>
        </w:rPr>
        <w:t xml:space="preserve"> </w:t>
      </w:r>
      <w:r>
        <w:rPr>
          <w:rFonts w:ascii="Arial" w:hAnsi="Arial" w:cs="Arial"/>
          <w:sz w:val="20"/>
        </w:rPr>
        <w:t>Protocols,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aware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aware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restrictions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duties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relation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shared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confirm</w:t>
      </w:r>
      <w:r>
        <w:rPr>
          <w:rFonts w:ascii="Arial" w:eastAsia="Arial" w:hAnsi="Arial" w:cs="Arial"/>
          <w:sz w:val="20"/>
        </w:rPr>
        <w:t xml:space="preserve"> </w:t>
      </w:r>
      <w:r>
        <w:rPr>
          <w:rFonts w:ascii="Arial" w:hAnsi="Arial" w:cs="Arial"/>
          <w:sz w:val="20"/>
        </w:rPr>
        <w:t>that</w:t>
      </w:r>
      <w:r w:rsidR="004563EA">
        <w:rPr>
          <w:rFonts w:ascii="Arial" w:hAnsi="Arial" w:cs="Arial"/>
          <w:sz w:val="20"/>
        </w:rPr>
        <w:t xml:space="preserve"> they are</w:t>
      </w:r>
      <w:r>
        <w:rPr>
          <w:rFonts w:ascii="Arial" w:eastAsia="Arial" w:hAnsi="Arial" w:cs="Arial"/>
          <w:sz w:val="20"/>
        </w:rPr>
        <w:t xml:space="preserve"> </w:t>
      </w:r>
      <w:r>
        <w:rPr>
          <w:rFonts w:ascii="Arial" w:hAnsi="Arial" w:cs="Arial"/>
          <w:sz w:val="20"/>
        </w:rPr>
        <w:t>willing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abide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do</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allowed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arrangements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allow</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disclosed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sidR="000F2B6D">
        <w:rPr>
          <w:rFonts w:ascii="Arial" w:eastAsia="Arial" w:hAnsi="Arial" w:cs="Arial"/>
          <w:sz w:val="20"/>
        </w:rPr>
        <w:t>them</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p>
    <w:p w14:paraId="198A6D6D" w14:textId="77777777" w:rsidR="00F2123B" w:rsidRDefault="00F2123B">
      <w:pPr>
        <w:spacing w:line="280" w:lineRule="atLeast"/>
        <w:rPr>
          <w:rFonts w:ascii="Arial" w:hAnsi="Arial" w:cs="Arial"/>
          <w:b/>
          <w:color w:val="800080"/>
          <w:sz w:val="20"/>
        </w:rPr>
      </w:pPr>
    </w:p>
    <w:p w14:paraId="198A6D6E"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pPr>
      <w:r>
        <w:rPr>
          <w:iCs/>
        </w:rPr>
        <w:t>The</w:t>
      </w:r>
      <w:r>
        <w:rPr>
          <w:rFonts w:eastAsia="Arial"/>
          <w:iCs/>
        </w:rPr>
        <w:t xml:space="preserve"> </w:t>
      </w:r>
      <w:r>
        <w:rPr>
          <w:iCs/>
        </w:rPr>
        <w:t>Document</w:t>
      </w:r>
      <w:r>
        <w:rPr>
          <w:rFonts w:eastAsia="Arial"/>
          <w:iCs/>
        </w:rPr>
        <w:t xml:space="preserve"> </w:t>
      </w:r>
      <w:r>
        <w:rPr>
          <w:iCs/>
        </w:rPr>
        <w:t>Set</w:t>
      </w:r>
    </w:p>
    <w:p w14:paraId="198A6D6F" w14:textId="77777777" w:rsidR="00F2123B" w:rsidRDefault="00F2123B">
      <w:pPr>
        <w:spacing w:line="280" w:lineRule="atLeast"/>
        <w:rPr>
          <w:rFonts w:ascii="Arial" w:hAnsi="Arial" w:cs="Arial"/>
          <w:sz w:val="20"/>
        </w:rPr>
      </w:pPr>
    </w:p>
    <w:p w14:paraId="198A6D70" w14:textId="1BD22EB3" w:rsidR="00F2123B" w:rsidRDefault="00200CFB">
      <w:pPr>
        <w:spacing w:line="280" w:lineRule="atLeast"/>
      </w:pPr>
      <w:r>
        <w:rPr>
          <w:rFonts w:ascii="Arial" w:hAnsi="Arial" w:cs="Arial"/>
          <w:sz w:val="20"/>
        </w:rPr>
        <w:t>14.7</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sz w:val="20"/>
        </w:rPr>
        <w:t>set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publicised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sidR="004563EA">
        <w:rPr>
          <w:rFonts w:ascii="Arial" w:eastAsia="Arial" w:hAnsi="Arial" w:cs="Arial"/>
          <w:sz w:val="20"/>
        </w:rPr>
        <w:t xml:space="preserve">their </w:t>
      </w:r>
      <w:r>
        <w:rPr>
          <w:rFonts w:ascii="Arial" w:hAnsi="Arial" w:cs="Arial"/>
          <w:sz w:val="20"/>
        </w:rPr>
        <w:t>area,</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sidR="004563EA">
        <w:rPr>
          <w:rFonts w:ascii="Arial" w:eastAsia="Arial" w:hAnsi="Arial" w:cs="Arial"/>
          <w:sz w:val="20"/>
        </w:rPr>
        <w:t>probation practitioners</w:t>
      </w:r>
      <w:r>
        <w:rPr>
          <w:rFonts w:ascii="Arial" w:hAnsi="Arial" w:cs="Arial"/>
          <w:sz w:val="20"/>
        </w:rPr>
        <w:t>,</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managers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together</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instructions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completing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w:t>
      </w:r>
      <w:r>
        <w:rPr>
          <w:rFonts w:ascii="Arial" w:eastAsia="Arial" w:hAnsi="Arial" w:cs="Arial"/>
          <w:sz w:val="20"/>
        </w:rPr>
        <w:t xml:space="preserve"> </w:t>
      </w:r>
    </w:p>
    <w:p w14:paraId="198A6D71" w14:textId="77777777" w:rsidR="00F2123B" w:rsidRDefault="00F2123B">
      <w:pPr>
        <w:spacing w:line="280" w:lineRule="atLeast"/>
        <w:rPr>
          <w:rFonts w:ascii="Arial" w:hAnsi="Arial" w:cs="Arial"/>
          <w:color w:val="800080"/>
          <w:sz w:val="20"/>
        </w:rPr>
      </w:pPr>
    </w:p>
    <w:p w14:paraId="198A6D73"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A.</w:t>
      </w:r>
      <w:r>
        <w:rPr>
          <w:rFonts w:ascii="Arial" w:eastAsia="Arial" w:hAnsi="Arial" w:cs="Arial"/>
          <w:b/>
          <w:color w:val="000000"/>
          <w:szCs w:val="28"/>
        </w:rPr>
        <w:t xml:space="preserve"> </w:t>
      </w:r>
      <w:r>
        <w:rPr>
          <w:rFonts w:ascii="Arial" w:hAnsi="Arial" w:cs="Arial"/>
          <w:b/>
          <w:color w:val="000000"/>
          <w:szCs w:val="28"/>
        </w:rPr>
        <w:t>Referral</w:t>
      </w:r>
      <w:r>
        <w:rPr>
          <w:rFonts w:ascii="Arial" w:eastAsia="Arial" w:hAnsi="Arial" w:cs="Arial"/>
          <w:b/>
          <w:color w:val="000000"/>
          <w:szCs w:val="28"/>
        </w:rPr>
        <w:t xml:space="preserve"> </w:t>
      </w:r>
      <w:r>
        <w:rPr>
          <w:rFonts w:ascii="Arial" w:hAnsi="Arial" w:cs="Arial"/>
          <w:b/>
          <w:color w:val="000000"/>
          <w:szCs w:val="28"/>
        </w:rPr>
        <w:t>to</w:t>
      </w:r>
      <w:r>
        <w:rPr>
          <w:rFonts w:ascii="Arial" w:eastAsia="Arial" w:hAnsi="Arial" w:cs="Arial"/>
          <w:b/>
          <w:color w:val="000000"/>
          <w:szCs w:val="28"/>
        </w:rPr>
        <w:t xml:space="preserve"> </w:t>
      </w:r>
      <w:r>
        <w:rPr>
          <w:rFonts w:ascii="Arial" w:hAnsi="Arial" w:cs="Arial"/>
          <w:b/>
          <w:color w:val="000000"/>
          <w:szCs w:val="28"/>
        </w:rPr>
        <w:t>a</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or</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meeting</w:t>
      </w:r>
    </w:p>
    <w:p w14:paraId="198A6D74" w14:textId="77777777" w:rsidR="00F2123B" w:rsidRDefault="00200CFB">
      <w:pPr>
        <w:spacing w:line="280" w:lineRule="atLeast"/>
      </w:pPr>
      <w:r>
        <w:rPr>
          <w:rFonts w:ascii="Arial" w:hAnsi="Arial" w:cs="Arial"/>
          <w:sz w:val="20"/>
        </w:rPr>
        <w:t>14.8</w:t>
      </w:r>
      <w:r>
        <w:rPr>
          <w:rFonts w:ascii="Arial" w:hAnsi="Arial" w:cs="Arial"/>
          <w:sz w:val="20"/>
        </w:rPr>
        <w:tab/>
        <w:t>The</w:t>
      </w:r>
      <w:r>
        <w:rPr>
          <w:rFonts w:ascii="Arial" w:eastAsia="Arial" w:hAnsi="Arial" w:cs="Arial"/>
          <w:sz w:val="20"/>
        </w:rPr>
        <w:t xml:space="preserve"> </w:t>
      </w:r>
      <w:r>
        <w:rPr>
          <w:rFonts w:ascii="Arial" w:hAnsi="Arial" w:cs="Arial"/>
          <w:sz w:val="20"/>
        </w:rPr>
        <w:t>greatest</w:t>
      </w:r>
      <w:r>
        <w:rPr>
          <w:rFonts w:ascii="Arial" w:eastAsia="Arial" w:hAnsi="Arial" w:cs="Arial"/>
          <w:sz w:val="20"/>
        </w:rPr>
        <w:t xml:space="preserve"> </w:t>
      </w:r>
      <w:r>
        <w:rPr>
          <w:rFonts w:ascii="Arial" w:hAnsi="Arial" w:cs="Arial"/>
          <w:sz w:val="20"/>
        </w:rPr>
        <w:t>proportion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referrals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szCs w:val="20"/>
        </w:rPr>
        <w:t>Probation Trusts</w:t>
      </w:r>
      <w:r>
        <w:rPr>
          <w:rFonts w:ascii="Arial" w:hAnsi="Arial" w:cs="Arial"/>
          <w:sz w:val="20"/>
        </w:rPr>
        <w: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it is intended that </w:t>
      </w:r>
      <w:r>
        <w:rPr>
          <w:rFonts w:ascii="Arial" w:hAnsi="Arial" w:cs="Arial"/>
          <w:sz w:val="20"/>
        </w:rPr>
        <w:t>an</w:t>
      </w:r>
      <w:r>
        <w:rPr>
          <w:rFonts w:ascii="Arial" w:eastAsia="Arial" w:hAnsi="Arial" w:cs="Arial"/>
          <w:sz w:val="20"/>
        </w:rPr>
        <w:t xml:space="preserve"> </w:t>
      </w:r>
      <w:r>
        <w:rPr>
          <w:rFonts w:ascii="Arial" w:hAnsi="Arial" w:cs="Arial"/>
          <w:sz w:val="20"/>
        </w:rPr>
        <w:t>electronic</w:t>
      </w:r>
      <w:r>
        <w:rPr>
          <w:rFonts w:ascii="Arial" w:eastAsia="Arial" w:hAnsi="Arial" w:cs="Arial"/>
          <w:sz w:val="20"/>
        </w:rPr>
        <w:t xml:space="preserve"> </w:t>
      </w:r>
      <w:r>
        <w:rPr>
          <w:rFonts w:ascii="Arial" w:hAnsi="Arial" w:cs="Arial"/>
          <w:sz w:val="20"/>
        </w:rPr>
        <w:t>version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should be </w:t>
      </w:r>
      <w:r>
        <w:rPr>
          <w:rFonts w:ascii="Arial" w:hAnsi="Arial" w:cs="Arial"/>
          <w:sz w:val="20"/>
        </w:rPr>
        <w:t>available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agencies</w:t>
      </w:r>
      <w:r>
        <w:rPr>
          <w:rFonts w:ascii="Arial" w:hAnsi="Arial" w:cs="Arial"/>
          <w:b/>
          <w:sz w:val="20"/>
        </w:rPr>
        <w:t>.</w:t>
      </w:r>
      <w:r>
        <w:rPr>
          <w:rFonts w:ascii="Arial" w:eastAsia="Arial" w:hAnsi="Arial" w:cs="Arial"/>
          <w:b/>
          <w:sz w:val="20"/>
        </w:rPr>
        <w:t xml:space="preserve"> </w:t>
      </w:r>
    </w:p>
    <w:p w14:paraId="198A6D75" w14:textId="77777777" w:rsidR="00F2123B" w:rsidRDefault="00F2123B">
      <w:pPr>
        <w:spacing w:line="280" w:lineRule="atLeast"/>
        <w:rPr>
          <w:rFonts w:ascii="Arial" w:hAnsi="Arial" w:cs="Arial"/>
          <w:sz w:val="20"/>
          <w:szCs w:val="28"/>
        </w:rPr>
      </w:pPr>
    </w:p>
    <w:p w14:paraId="198A6D76" w14:textId="2970891F" w:rsidR="00F2123B" w:rsidRDefault="00200CFB">
      <w:pPr>
        <w:spacing w:line="280" w:lineRule="atLeast"/>
      </w:pPr>
      <w:r>
        <w:rPr>
          <w:rFonts w:ascii="Arial" w:hAnsi="Arial" w:cs="Arial"/>
          <w:sz w:val="20"/>
        </w:rPr>
        <w:t>14.9</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contain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details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additional</w:t>
      </w:r>
      <w:r>
        <w:rPr>
          <w:rFonts w:ascii="Arial" w:eastAsia="Arial" w:hAnsi="Arial" w:cs="Arial"/>
          <w:sz w:val="20"/>
        </w:rPr>
        <w:t xml:space="preserve"> </w:t>
      </w:r>
      <w:r>
        <w:rPr>
          <w:rFonts w:ascii="Arial" w:hAnsi="Arial" w:cs="Arial"/>
          <w:sz w:val="20"/>
        </w:rPr>
        <w:t>invitees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arrange</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invitations</w:t>
      </w:r>
      <w:r>
        <w:rPr>
          <w:rFonts w:ascii="Arial" w:hAnsi="Arial" w:cs="Arial"/>
          <w:sz w:val="20"/>
          <w:szCs w:val="28"/>
        </w:rPr>
        <w:t>.</w:t>
      </w:r>
      <w:r>
        <w:rPr>
          <w:rFonts w:ascii="Arial" w:eastAsia="Arial" w:hAnsi="Arial" w:cs="Arial"/>
          <w:sz w:val="20"/>
          <w:szCs w:val="28"/>
        </w:rPr>
        <w:t xml:space="preserve"> </w:t>
      </w:r>
      <w:r>
        <w:rPr>
          <w:rFonts w:ascii="Arial" w:hAnsi="Arial" w:cs="Arial"/>
          <w:sz w:val="20"/>
        </w:rPr>
        <w:t>Invitations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least</w:t>
      </w:r>
      <w:r>
        <w:rPr>
          <w:rFonts w:ascii="Arial" w:eastAsia="Arial" w:hAnsi="Arial" w:cs="Arial"/>
          <w:sz w:val="20"/>
        </w:rPr>
        <w:t xml:space="preserve"> </w:t>
      </w:r>
      <w:r>
        <w:rPr>
          <w:rFonts w:ascii="Arial" w:hAnsi="Arial" w:cs="Arial"/>
          <w:sz w:val="20"/>
        </w:rPr>
        <w:t>two</w:t>
      </w:r>
      <w:r>
        <w:rPr>
          <w:rFonts w:ascii="Arial" w:eastAsia="Arial" w:hAnsi="Arial" w:cs="Arial"/>
          <w:sz w:val="20"/>
        </w:rPr>
        <w:t xml:space="preserve"> </w:t>
      </w:r>
      <w:r>
        <w:rPr>
          <w:rFonts w:ascii="Arial" w:hAnsi="Arial" w:cs="Arial"/>
          <w:sz w:val="20"/>
        </w:rPr>
        <w:t>weeks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advance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unless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called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matter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urgency.</w:t>
      </w:r>
      <w:r>
        <w:rPr>
          <w:rFonts w:ascii="Arial" w:eastAsia="Arial" w:hAnsi="Arial" w:cs="Arial"/>
          <w:sz w:val="20"/>
        </w:rPr>
        <w:t xml:space="preserve"> </w:t>
      </w:r>
    </w:p>
    <w:p w14:paraId="198A6D77" w14:textId="77777777" w:rsidR="00F2123B" w:rsidRDefault="00F2123B">
      <w:pPr>
        <w:spacing w:line="280" w:lineRule="atLeast"/>
        <w:rPr>
          <w:rFonts w:ascii="Arial" w:hAnsi="Arial" w:cs="Arial"/>
          <w:sz w:val="20"/>
        </w:rPr>
      </w:pPr>
    </w:p>
    <w:p w14:paraId="198A6D78"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B.</w:t>
      </w:r>
      <w:r>
        <w:rPr>
          <w:rFonts w:ascii="Arial" w:eastAsia="Arial" w:hAnsi="Arial" w:cs="Arial"/>
          <w:b/>
          <w:color w:val="000000"/>
          <w:szCs w:val="28"/>
        </w:rPr>
        <w:t xml:space="preserve"> </w:t>
      </w:r>
      <w:r>
        <w:rPr>
          <w:rFonts w:ascii="Arial" w:hAnsi="Arial" w:cs="Arial"/>
          <w:b/>
          <w:color w:val="000000"/>
          <w:szCs w:val="28"/>
        </w:rPr>
        <w:t>Minutes</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and</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MAPP meetings</w:t>
      </w:r>
    </w:p>
    <w:p w14:paraId="198A6D79" w14:textId="77777777" w:rsidR="00F2123B" w:rsidRDefault="00200CFB">
      <w:pPr>
        <w:spacing w:line="280" w:lineRule="atLeast"/>
      </w:pPr>
      <w:r>
        <w:rPr>
          <w:rFonts w:ascii="Arial" w:hAnsi="Arial" w:cs="Arial"/>
          <w:sz w:val="20"/>
          <w:szCs w:val="20"/>
        </w:rPr>
        <w:t>14.10</w:t>
      </w:r>
      <w:r>
        <w:rPr>
          <w:rFonts w:ascii="Arial" w:hAnsi="Arial" w:cs="Arial"/>
          <w:sz w:val="20"/>
          <w:szCs w:val="20"/>
        </w:rPr>
        <w:tab/>
        <w:t>By</w:t>
      </w:r>
      <w:r>
        <w:rPr>
          <w:rFonts w:ascii="Arial" w:eastAsia="Arial" w:hAnsi="Arial" w:cs="Arial"/>
          <w:sz w:val="20"/>
          <w:szCs w:val="20"/>
        </w:rPr>
        <w:t xml:space="preserve"> </w:t>
      </w:r>
      <w:r>
        <w:rPr>
          <w:rFonts w:ascii="Arial" w:hAnsi="Arial" w:cs="Arial"/>
          <w:sz w:val="20"/>
          <w:szCs w:val="20"/>
        </w:rPr>
        <w:t>completing</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electronically,</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Co-ordination</w:t>
      </w:r>
      <w:r>
        <w:rPr>
          <w:rFonts w:ascii="Arial" w:eastAsia="Arial" w:hAnsi="Arial" w:cs="Arial"/>
          <w:sz w:val="20"/>
          <w:szCs w:val="20"/>
        </w:rPr>
        <w:t xml:space="preserve"> </w:t>
      </w:r>
      <w:r>
        <w:rPr>
          <w:rFonts w:ascii="Arial" w:hAnsi="Arial" w:cs="Arial"/>
          <w:sz w:val="20"/>
          <w:szCs w:val="20"/>
        </w:rPr>
        <w:t>Units</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also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provided</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an</w:t>
      </w:r>
      <w:r>
        <w:rPr>
          <w:rFonts w:ascii="Arial" w:eastAsia="Arial" w:hAnsi="Arial" w:cs="Arial"/>
          <w:sz w:val="20"/>
          <w:szCs w:val="20"/>
        </w:rPr>
        <w:t xml:space="preserve"> </w:t>
      </w: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copy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B,</w:t>
      </w:r>
      <w:r>
        <w:rPr>
          <w:rFonts w:ascii="Arial" w:eastAsia="Arial" w:hAnsi="Arial" w:cs="Arial"/>
          <w:sz w:val="20"/>
          <w:szCs w:val="20"/>
        </w:rPr>
        <w:t xml:space="preserve"> </w:t>
      </w:r>
      <w:r>
        <w:rPr>
          <w:rFonts w:ascii="Arial" w:hAnsi="Arial" w:cs="Arial"/>
          <w:sz w:val="20"/>
          <w:szCs w:val="20"/>
        </w:rPr>
        <w:t>with</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sections</w:t>
      </w:r>
      <w:r>
        <w:rPr>
          <w:rFonts w:ascii="Arial" w:eastAsia="Arial" w:hAnsi="Arial" w:cs="Arial"/>
          <w:sz w:val="20"/>
          <w:szCs w:val="20"/>
        </w:rPr>
        <w:t xml:space="preserve"> </w:t>
      </w:r>
      <w:r>
        <w:rPr>
          <w:rFonts w:ascii="Arial" w:hAnsi="Arial" w:cs="Arial"/>
          <w:sz w:val="20"/>
          <w:szCs w:val="20"/>
        </w:rPr>
        <w:t>automatically</w:t>
      </w:r>
      <w:r>
        <w:rPr>
          <w:rFonts w:ascii="Arial" w:eastAsia="Arial" w:hAnsi="Arial" w:cs="Arial"/>
          <w:sz w:val="20"/>
          <w:szCs w:val="20"/>
        </w:rPr>
        <w:t xml:space="preserve"> </w:t>
      </w:r>
      <w:r>
        <w:rPr>
          <w:rFonts w:ascii="Arial" w:hAnsi="Arial" w:cs="Arial"/>
          <w:sz w:val="20"/>
          <w:szCs w:val="20"/>
        </w:rPr>
        <w:t>populated</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w:t>
      </w:r>
      <w:r>
        <w:rPr>
          <w:rFonts w:ascii="Arial" w:eastAsia="Arial" w:hAnsi="Arial" w:cs="Arial"/>
          <w:sz w:val="20"/>
        </w:rPr>
        <w:t xml:space="preserve"> </w:t>
      </w:r>
      <w:r>
        <w:rPr>
          <w:rFonts w:ascii="Arial" w:hAnsi="Arial" w:cs="Arial"/>
          <w:sz w:val="20"/>
        </w:rPr>
        <w:t>contains</w:t>
      </w:r>
      <w:r>
        <w:rPr>
          <w:rFonts w:ascii="Arial" w:eastAsia="Arial" w:hAnsi="Arial" w:cs="Arial"/>
          <w:sz w:val="20"/>
        </w:rPr>
        <w:t xml:space="preserve"> </w:t>
      </w:r>
      <w:r>
        <w:rPr>
          <w:rFonts w:ascii="Arial" w:hAnsi="Arial" w:cs="Arial"/>
          <w:sz w:val="20"/>
        </w:rPr>
        <w:t>significant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agency</w:t>
      </w:r>
      <w:r>
        <w:rPr>
          <w:rFonts w:ascii="Arial" w:eastAsia="Arial" w:hAnsi="Arial" w:cs="Arial"/>
          <w:sz w:val="20"/>
        </w:rPr>
        <w:t>’</w:t>
      </w:r>
      <w:r>
        <w:rPr>
          <w:rFonts w:ascii="Arial" w:hAnsi="Arial" w:cs="Arial"/>
          <w:sz w:val="20"/>
        </w:rPr>
        <w:t>s</w:t>
      </w:r>
      <w:r>
        <w:rPr>
          <w:rFonts w:ascii="Arial" w:eastAsia="Arial" w:hAnsi="Arial" w:cs="Arial"/>
          <w:sz w:val="20"/>
        </w:rPr>
        <w:t xml:space="preserve"> </w:t>
      </w:r>
      <w:r>
        <w:rPr>
          <w:rFonts w:ascii="Arial" w:hAnsi="Arial" w:cs="Arial"/>
          <w:sz w:val="20"/>
        </w:rPr>
        <w:t>original</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assessment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Plan (“RMP”).</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enable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involved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sufficient</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contribute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development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RMP,</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update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RMP</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B</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update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record.</w:t>
      </w:r>
    </w:p>
    <w:p w14:paraId="198A6D7A" w14:textId="77777777" w:rsidR="00F2123B" w:rsidRDefault="00F2123B">
      <w:pPr>
        <w:spacing w:line="280" w:lineRule="atLeast"/>
        <w:rPr>
          <w:rFonts w:ascii="Arial" w:hAnsi="Arial" w:cs="Arial"/>
          <w:sz w:val="20"/>
        </w:rPr>
      </w:pPr>
    </w:p>
    <w:p w14:paraId="198A6D7B"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C.</w:t>
      </w:r>
      <w:r>
        <w:rPr>
          <w:rFonts w:ascii="Arial" w:eastAsia="Arial" w:hAnsi="Arial" w:cs="Arial"/>
          <w:b/>
          <w:color w:val="000000"/>
          <w:szCs w:val="28"/>
        </w:rPr>
        <w:t xml:space="preserve"> </w:t>
      </w:r>
      <w:r>
        <w:rPr>
          <w:rFonts w:ascii="Arial" w:hAnsi="Arial" w:cs="Arial"/>
          <w:b/>
          <w:color w:val="000000"/>
          <w:szCs w:val="28"/>
        </w:rPr>
        <w:t>Aide-mémoire</w:t>
      </w:r>
      <w:r>
        <w:rPr>
          <w:rFonts w:ascii="Arial" w:eastAsia="Arial" w:hAnsi="Arial" w:cs="Arial"/>
          <w:b/>
          <w:color w:val="000000"/>
          <w:szCs w:val="28"/>
        </w:rPr>
        <w:t xml:space="preserve"> </w:t>
      </w:r>
      <w:r>
        <w:rPr>
          <w:rFonts w:ascii="Arial" w:hAnsi="Arial" w:cs="Arial"/>
          <w:b/>
          <w:color w:val="000000"/>
          <w:szCs w:val="28"/>
        </w:rPr>
        <w:t>for</w:t>
      </w:r>
      <w:r>
        <w:rPr>
          <w:rFonts w:ascii="Arial" w:eastAsia="Arial" w:hAnsi="Arial" w:cs="Arial"/>
          <w:b/>
          <w:color w:val="000000"/>
          <w:szCs w:val="28"/>
        </w:rPr>
        <w:t xml:space="preserve"> </w:t>
      </w:r>
      <w:r>
        <w:rPr>
          <w:rFonts w:ascii="Arial" w:hAnsi="Arial" w:cs="Arial"/>
          <w:b/>
          <w:color w:val="000000"/>
          <w:szCs w:val="28"/>
        </w:rPr>
        <w:t>the</w:t>
      </w:r>
      <w:r>
        <w:rPr>
          <w:rFonts w:ascii="Arial" w:eastAsia="Arial" w:hAnsi="Arial" w:cs="Arial"/>
          <w:b/>
          <w:color w:val="000000"/>
          <w:szCs w:val="28"/>
        </w:rPr>
        <w:t xml:space="preserve"> </w:t>
      </w:r>
      <w:r>
        <w:rPr>
          <w:rFonts w:ascii="Arial" w:hAnsi="Arial" w:cs="Arial"/>
          <w:b/>
          <w:color w:val="000000"/>
          <w:szCs w:val="28"/>
        </w:rPr>
        <w:t>MAPP meeting</w:t>
      </w:r>
      <w:r>
        <w:rPr>
          <w:rFonts w:ascii="Arial" w:eastAsia="Arial" w:hAnsi="Arial" w:cs="Arial"/>
          <w:b/>
          <w:color w:val="000000"/>
          <w:szCs w:val="28"/>
        </w:rPr>
        <w:t xml:space="preserve"> </w:t>
      </w:r>
      <w:r>
        <w:rPr>
          <w:rFonts w:ascii="Arial" w:hAnsi="Arial" w:cs="Arial"/>
          <w:b/>
          <w:color w:val="000000"/>
          <w:szCs w:val="28"/>
        </w:rPr>
        <w:t>chair</w:t>
      </w:r>
    </w:p>
    <w:p w14:paraId="198A6D7C" w14:textId="77777777" w:rsidR="00F2123B" w:rsidRDefault="00200CFB">
      <w:pPr>
        <w:spacing w:line="280" w:lineRule="atLeast"/>
      </w:pPr>
      <w:r>
        <w:rPr>
          <w:rFonts w:ascii="Arial" w:hAnsi="Arial" w:cs="Arial"/>
          <w:sz w:val="20"/>
        </w:rPr>
        <w:t>14.11</w:t>
      </w:r>
      <w:r>
        <w:rPr>
          <w:rFonts w:ascii="Arial" w:hAnsi="Arial" w:cs="Arial"/>
          <w:sz w:val="20"/>
        </w:rPr>
        <w:tab/>
        <w:t>By</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aide-mémoire,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manage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necessary</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recorded</w:t>
      </w:r>
      <w:r>
        <w:rPr>
          <w:rFonts w:ascii="Arial" w:hAnsi="Arial" w:cs="Arial"/>
          <w:sz w:val="20"/>
          <w:szCs w:val="28"/>
        </w:rPr>
        <w:t>.</w:t>
      </w:r>
    </w:p>
    <w:p w14:paraId="198A6D7D" w14:textId="77777777" w:rsidR="00F2123B" w:rsidRDefault="00F2123B">
      <w:pPr>
        <w:spacing w:line="280" w:lineRule="atLeast"/>
        <w:rPr>
          <w:rFonts w:ascii="Arial" w:hAnsi="Arial" w:cs="Arial"/>
          <w:b/>
          <w:color w:val="800080"/>
          <w:sz w:val="20"/>
          <w:szCs w:val="28"/>
        </w:rPr>
      </w:pPr>
    </w:p>
    <w:p w14:paraId="198A6D7E"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D.</w:t>
      </w:r>
      <w:r>
        <w:rPr>
          <w:rFonts w:ascii="Arial" w:eastAsia="Arial" w:hAnsi="Arial" w:cs="Arial"/>
          <w:b/>
          <w:color w:val="000000"/>
          <w:szCs w:val="28"/>
        </w:rPr>
        <w:t xml:space="preserve"> </w:t>
      </w:r>
      <w:r>
        <w:rPr>
          <w:rFonts w:ascii="Arial" w:hAnsi="Arial" w:cs="Arial"/>
          <w:b/>
          <w:color w:val="000000"/>
          <w:szCs w:val="28"/>
        </w:rPr>
        <w:t>Confidentiality</w:t>
      </w:r>
      <w:r>
        <w:rPr>
          <w:rFonts w:ascii="Arial" w:eastAsia="Arial" w:hAnsi="Arial" w:cs="Arial"/>
          <w:b/>
          <w:color w:val="000000"/>
          <w:szCs w:val="28"/>
        </w:rPr>
        <w:t xml:space="preserve"> </w:t>
      </w:r>
      <w:r>
        <w:rPr>
          <w:rFonts w:ascii="Arial" w:hAnsi="Arial" w:cs="Arial"/>
          <w:b/>
          <w:color w:val="000000"/>
          <w:szCs w:val="28"/>
        </w:rPr>
        <w:t>Statement</w:t>
      </w:r>
    </w:p>
    <w:p w14:paraId="198A6D7F" w14:textId="77777777" w:rsidR="00F2123B" w:rsidRDefault="00200CFB">
      <w:pPr>
        <w:spacing w:line="280" w:lineRule="atLeast"/>
      </w:pPr>
      <w:r>
        <w:rPr>
          <w:rFonts w:ascii="Arial" w:hAnsi="Arial" w:cs="Arial"/>
          <w:sz w:val="20"/>
        </w:rPr>
        <w:t>14.12</w:t>
      </w:r>
      <w:r>
        <w:rPr>
          <w:rFonts w:ascii="Arial" w:hAnsi="Arial" w:cs="Arial"/>
          <w:sz w:val="20"/>
        </w:rPr>
        <w:tab/>
        <w:t>The</w:t>
      </w:r>
      <w:r>
        <w:rPr>
          <w:rFonts w:ascii="Arial" w:eastAsia="Arial" w:hAnsi="Arial" w:cs="Arial"/>
          <w:sz w:val="20"/>
        </w:rPr>
        <w:t xml:space="preserve"> </w:t>
      </w:r>
      <w:r>
        <w:rPr>
          <w:rFonts w:ascii="Arial" w:hAnsi="Arial" w:cs="Arial"/>
          <w:sz w:val="20"/>
        </w:rPr>
        <w:t>Confidentiality</w:t>
      </w:r>
      <w:r>
        <w:rPr>
          <w:rFonts w:ascii="Arial" w:eastAsia="Arial" w:hAnsi="Arial" w:cs="Arial"/>
          <w:sz w:val="20"/>
        </w:rPr>
        <w:t xml:space="preserve"> </w:t>
      </w:r>
      <w:r>
        <w:rPr>
          <w:rFonts w:ascii="Arial" w:hAnsi="Arial" w:cs="Arial"/>
          <w:sz w:val="20"/>
        </w:rPr>
        <w:t>Statement</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either</w:t>
      </w:r>
      <w:r>
        <w:rPr>
          <w:rFonts w:ascii="Arial" w:eastAsia="Arial" w:hAnsi="Arial" w:cs="Arial"/>
          <w:sz w:val="20"/>
        </w:rPr>
        <w:t xml:space="preserve"> </w:t>
      </w:r>
      <w:r>
        <w:rPr>
          <w:rFonts w:ascii="Arial" w:hAnsi="Arial" w:cs="Arial"/>
          <w:sz w:val="20"/>
        </w:rPr>
        <w:t>read</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displayed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read,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Chair</w:t>
      </w:r>
      <w:r>
        <w:rPr>
          <w:rFonts w:ascii="Arial" w:eastAsia="Arial" w:hAnsi="Arial" w:cs="Arial"/>
          <w:sz w:val="20"/>
        </w:rPr>
        <w:t xml:space="preserve"> must draw attention to it </w:t>
      </w:r>
      <w:r>
        <w:rPr>
          <w:rFonts w:ascii="Arial" w:hAnsi="Arial" w:cs="Arial"/>
          <w:sz w:val="20"/>
        </w:rPr>
        <w:t>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start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hAnsi="Arial" w:cs="Arial"/>
          <w:sz w:val="20"/>
          <w:szCs w:val="28"/>
        </w:rPr>
        <w:t>.</w:t>
      </w:r>
    </w:p>
    <w:p w14:paraId="198A6D80" w14:textId="77777777" w:rsidR="00F2123B" w:rsidRDefault="00F2123B">
      <w:pPr>
        <w:spacing w:line="280" w:lineRule="atLeast"/>
        <w:rPr>
          <w:rFonts w:ascii="Arial" w:hAnsi="Arial" w:cs="Arial"/>
          <w:sz w:val="20"/>
          <w:szCs w:val="28"/>
        </w:rPr>
      </w:pPr>
    </w:p>
    <w:p w14:paraId="198A6D81"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E.</w:t>
      </w:r>
      <w:r>
        <w:rPr>
          <w:rFonts w:ascii="Arial" w:eastAsia="Arial" w:hAnsi="Arial" w:cs="Arial"/>
          <w:b/>
          <w:color w:val="000000"/>
          <w:szCs w:val="28"/>
        </w:rPr>
        <w:t xml:space="preserve"> </w:t>
      </w:r>
      <w:r>
        <w:rPr>
          <w:rFonts w:ascii="Arial" w:hAnsi="Arial" w:cs="Arial"/>
          <w:b/>
          <w:color w:val="000000"/>
          <w:szCs w:val="28"/>
        </w:rPr>
        <w:t>Record</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agencies</w:t>
      </w:r>
      <w:r>
        <w:rPr>
          <w:rFonts w:ascii="Arial" w:eastAsia="Arial" w:hAnsi="Arial" w:cs="Arial"/>
          <w:b/>
          <w:color w:val="000000"/>
          <w:szCs w:val="28"/>
        </w:rPr>
        <w:t xml:space="preserve"> </w:t>
      </w:r>
      <w:r>
        <w:rPr>
          <w:rFonts w:ascii="Arial" w:hAnsi="Arial" w:cs="Arial"/>
          <w:b/>
          <w:color w:val="000000"/>
          <w:szCs w:val="28"/>
        </w:rPr>
        <w:t>attending</w:t>
      </w:r>
      <w:r>
        <w:rPr>
          <w:rFonts w:ascii="Arial" w:eastAsia="Arial" w:hAnsi="Arial" w:cs="Arial"/>
          <w:b/>
          <w:color w:val="000000"/>
          <w:szCs w:val="28"/>
        </w:rPr>
        <w:t xml:space="preserve"> </w:t>
      </w:r>
      <w:r>
        <w:rPr>
          <w:rFonts w:ascii="Arial" w:hAnsi="Arial" w:cs="Arial"/>
          <w:b/>
          <w:color w:val="000000"/>
          <w:szCs w:val="28"/>
        </w:rPr>
        <w:t>the</w:t>
      </w:r>
      <w:r>
        <w:rPr>
          <w:rFonts w:ascii="Arial" w:eastAsia="Arial" w:hAnsi="Arial" w:cs="Arial"/>
          <w:b/>
          <w:color w:val="000000"/>
          <w:szCs w:val="28"/>
        </w:rPr>
        <w:t xml:space="preserve"> </w:t>
      </w:r>
      <w:r>
        <w:rPr>
          <w:rFonts w:ascii="Arial" w:hAnsi="Arial" w:cs="Arial"/>
          <w:b/>
          <w:color w:val="000000"/>
          <w:szCs w:val="28"/>
        </w:rPr>
        <w:t>meeting</w:t>
      </w:r>
    </w:p>
    <w:p w14:paraId="198A6D82" w14:textId="77777777" w:rsidR="00F2123B" w:rsidRDefault="00200CFB">
      <w:pPr>
        <w:spacing w:line="280" w:lineRule="atLeast"/>
      </w:pPr>
      <w:r>
        <w:rPr>
          <w:rFonts w:ascii="Arial" w:hAnsi="Arial" w:cs="Arial"/>
          <w:sz w:val="20"/>
        </w:rPr>
        <w:t>14.13</w:t>
      </w:r>
      <w:r>
        <w:rPr>
          <w:rFonts w:ascii="Arial" w:hAnsi="Arial" w:cs="Arial"/>
          <w:sz w:val="20"/>
        </w:rPr>
        <w:tab/>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attending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signing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sheet,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agreeing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abide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Confidentiality</w:t>
      </w:r>
      <w:r>
        <w:rPr>
          <w:rFonts w:ascii="Arial" w:eastAsia="Arial" w:hAnsi="Arial" w:cs="Arial"/>
          <w:sz w:val="20"/>
        </w:rPr>
        <w:t xml:space="preserve"> </w:t>
      </w:r>
      <w:r>
        <w:rPr>
          <w:rFonts w:ascii="Arial" w:hAnsi="Arial" w:cs="Arial"/>
          <w:sz w:val="20"/>
        </w:rPr>
        <w:t>Statement</w:t>
      </w:r>
      <w:r>
        <w:rPr>
          <w:rFonts w:ascii="Arial" w:hAnsi="Arial" w:cs="Arial"/>
          <w:b/>
          <w:sz w:val="20"/>
          <w:szCs w:val="28"/>
        </w:rPr>
        <w:t>.</w:t>
      </w:r>
    </w:p>
    <w:p w14:paraId="198A6D83" w14:textId="77777777" w:rsidR="00F2123B" w:rsidRDefault="00F2123B">
      <w:pPr>
        <w:spacing w:line="280" w:lineRule="atLeast"/>
        <w:rPr>
          <w:rFonts w:ascii="Arial" w:hAnsi="Arial" w:cs="Arial"/>
          <w:b/>
          <w:sz w:val="20"/>
          <w:szCs w:val="28"/>
        </w:rPr>
      </w:pPr>
    </w:p>
    <w:p w14:paraId="198A6D84"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F.</w:t>
      </w:r>
      <w:r>
        <w:rPr>
          <w:rFonts w:ascii="Arial" w:eastAsia="Arial" w:hAnsi="Arial" w:cs="Arial"/>
          <w:b/>
          <w:color w:val="000000"/>
          <w:szCs w:val="28"/>
        </w:rPr>
        <w:t xml:space="preserve"> </w:t>
      </w:r>
      <w:r>
        <w:rPr>
          <w:rFonts w:ascii="Arial" w:hAnsi="Arial" w:cs="Arial"/>
          <w:b/>
          <w:color w:val="000000"/>
          <w:szCs w:val="28"/>
        </w:rPr>
        <w:t>Prison</w:t>
      </w:r>
      <w:r>
        <w:rPr>
          <w:rFonts w:ascii="Arial" w:eastAsia="Arial" w:hAnsi="Arial" w:cs="Arial"/>
          <w:b/>
          <w:color w:val="000000"/>
          <w:szCs w:val="28"/>
        </w:rPr>
        <w:t xml:space="preserve"> </w:t>
      </w:r>
      <w:r>
        <w:rPr>
          <w:rFonts w:ascii="Arial" w:hAnsi="Arial" w:cs="Arial"/>
          <w:b/>
          <w:color w:val="000000"/>
          <w:szCs w:val="28"/>
        </w:rPr>
        <w:t>service</w:t>
      </w:r>
      <w:r>
        <w:rPr>
          <w:rFonts w:ascii="Arial" w:eastAsia="Arial" w:hAnsi="Arial" w:cs="Arial"/>
          <w:b/>
          <w:color w:val="000000"/>
          <w:szCs w:val="28"/>
        </w:rPr>
        <w:t xml:space="preserve"> </w:t>
      </w:r>
      <w:r>
        <w:rPr>
          <w:rFonts w:ascii="Arial" w:hAnsi="Arial" w:cs="Arial"/>
          <w:b/>
          <w:color w:val="000000"/>
          <w:szCs w:val="28"/>
        </w:rPr>
        <w:t>report</w:t>
      </w:r>
    </w:p>
    <w:p w14:paraId="198A6D85" w14:textId="77777777" w:rsidR="00F2123B" w:rsidRDefault="00200CFB">
      <w:pPr>
        <w:spacing w:line="280" w:lineRule="atLeast"/>
      </w:pPr>
      <w:r>
        <w:rPr>
          <w:rFonts w:ascii="Arial" w:hAnsi="Arial" w:cs="Arial"/>
          <w:sz w:val="20"/>
        </w:rPr>
        <w:t>14.14</w:t>
      </w:r>
      <w:r>
        <w:rPr>
          <w:rFonts w:ascii="Arial" w:hAnsi="Arial" w:cs="Arial"/>
          <w:sz w:val="20"/>
        </w:rPr>
        <w:tab/>
        <w:t>Where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requested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F</w:t>
      </w:r>
      <w:r>
        <w:rPr>
          <w:rFonts w:ascii="Arial" w:eastAsia="Arial" w:hAnsi="Arial" w:cs="Arial"/>
          <w:sz w:val="20"/>
        </w:rPr>
        <w:t xml:space="preserve"> </w:t>
      </w:r>
      <w:r>
        <w:rPr>
          <w:rFonts w:ascii="Arial" w:hAnsi="Arial" w:cs="Arial"/>
          <w:sz w:val="20"/>
        </w:rPr>
        <w:t>contribution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representative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person</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possible.</w:t>
      </w:r>
    </w:p>
    <w:p w14:paraId="198A6D86" w14:textId="77777777" w:rsidR="00F2123B" w:rsidRDefault="00F2123B">
      <w:pPr>
        <w:spacing w:line="280" w:lineRule="atLeast"/>
        <w:rPr>
          <w:rFonts w:ascii="Arial" w:hAnsi="Arial" w:cs="Arial"/>
          <w:sz w:val="20"/>
          <w:szCs w:val="28"/>
        </w:rPr>
      </w:pPr>
    </w:p>
    <w:p w14:paraId="198A6D87"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G.</w:t>
      </w:r>
      <w:r>
        <w:rPr>
          <w:rFonts w:ascii="Arial" w:eastAsia="Arial" w:hAnsi="Arial" w:cs="Arial"/>
          <w:b/>
          <w:color w:val="000000"/>
          <w:szCs w:val="28"/>
        </w:rPr>
        <w:t xml:space="preserve"> </w:t>
      </w:r>
      <w:r>
        <w:rPr>
          <w:rFonts w:ascii="Arial" w:hAnsi="Arial" w:cs="Arial"/>
          <w:b/>
          <w:color w:val="000000"/>
          <w:szCs w:val="28"/>
        </w:rPr>
        <w:t>Transfer</w:t>
      </w:r>
      <w:r>
        <w:rPr>
          <w:rFonts w:ascii="Arial" w:eastAsia="Arial" w:hAnsi="Arial" w:cs="Arial"/>
          <w:b/>
          <w:color w:val="000000"/>
          <w:szCs w:val="28"/>
        </w:rPr>
        <w:t xml:space="preserve"> </w:t>
      </w:r>
    </w:p>
    <w:p w14:paraId="198A6D88" w14:textId="77777777" w:rsidR="00F2123B" w:rsidRDefault="00200CFB">
      <w:pPr>
        <w:spacing w:line="280" w:lineRule="atLeast"/>
      </w:pPr>
      <w:r>
        <w:rPr>
          <w:rFonts w:ascii="Arial" w:hAnsi="Arial" w:cs="Arial"/>
          <w:sz w:val="20"/>
        </w:rPr>
        <w:t>14.15</w:t>
      </w:r>
      <w:r>
        <w:rPr>
          <w:rFonts w:ascii="Arial" w:hAnsi="Arial" w:cs="Arial"/>
          <w:sz w:val="20"/>
        </w:rPr>
        <w:tab/>
        <w:t>This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transfer</w:t>
      </w:r>
      <w:r>
        <w:rPr>
          <w:rFonts w:ascii="Arial" w:eastAsia="Arial" w:hAnsi="Arial" w:cs="Arial"/>
          <w:sz w:val="20"/>
        </w:rPr>
        <w:t xml:space="preserve"> </w:t>
      </w:r>
      <w:r>
        <w:rPr>
          <w:rFonts w:ascii="Arial" w:hAnsi="Arial" w:cs="Arial"/>
          <w:sz w:val="20"/>
        </w:rPr>
        <w:t>policy</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followed,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transferred,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timescale.</w:t>
      </w:r>
    </w:p>
    <w:p w14:paraId="198A6D89" w14:textId="77777777" w:rsidR="00F2123B" w:rsidRDefault="00F2123B">
      <w:pPr>
        <w:spacing w:line="280" w:lineRule="atLeast"/>
        <w:rPr>
          <w:rFonts w:ascii="Arial" w:hAnsi="Arial" w:cs="Arial"/>
          <w:sz w:val="20"/>
          <w:szCs w:val="28"/>
        </w:rPr>
      </w:pPr>
    </w:p>
    <w:p w14:paraId="198A6D8A"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H.</w:t>
      </w:r>
      <w:r>
        <w:rPr>
          <w:rFonts w:ascii="Arial" w:eastAsia="Arial" w:hAnsi="Arial" w:cs="Arial"/>
          <w:b/>
          <w:color w:val="000000"/>
          <w:szCs w:val="28"/>
        </w:rPr>
        <w:t xml:space="preserve"> </w:t>
      </w:r>
      <w:r>
        <w:rPr>
          <w:rFonts w:ascii="Arial" w:hAnsi="Arial" w:cs="Arial"/>
          <w:b/>
          <w:color w:val="000000"/>
          <w:szCs w:val="28"/>
        </w:rPr>
        <w:t>YOT</w:t>
      </w:r>
      <w:r>
        <w:rPr>
          <w:rFonts w:ascii="Arial" w:eastAsia="Arial" w:hAnsi="Arial" w:cs="Arial"/>
          <w:b/>
          <w:color w:val="000000"/>
          <w:szCs w:val="28"/>
        </w:rPr>
        <w:t xml:space="preserve"> </w:t>
      </w:r>
      <w:r>
        <w:rPr>
          <w:rFonts w:ascii="Arial" w:hAnsi="Arial" w:cs="Arial"/>
          <w:b/>
          <w:color w:val="000000"/>
          <w:szCs w:val="28"/>
        </w:rPr>
        <w:t>Notification</w:t>
      </w:r>
    </w:p>
    <w:p w14:paraId="198A6D8B" w14:textId="77777777" w:rsidR="00F2123B" w:rsidRDefault="00200CFB">
      <w:pPr>
        <w:spacing w:line="280" w:lineRule="atLeast"/>
      </w:pPr>
      <w:r>
        <w:rPr>
          <w:rFonts w:ascii="Arial" w:hAnsi="Arial" w:cs="Arial"/>
          <w:sz w:val="20"/>
        </w:rPr>
        <w:t>14.16</w:t>
      </w:r>
      <w:r>
        <w:rPr>
          <w:rFonts w:ascii="Arial" w:hAnsi="Arial" w:cs="Arial"/>
          <w:sz w:val="20"/>
        </w:rPr>
        <w:tab/>
        <w:t>The</w:t>
      </w:r>
      <w:r>
        <w:rPr>
          <w:rFonts w:ascii="Arial" w:eastAsia="Arial" w:hAnsi="Arial" w:cs="Arial"/>
          <w:sz w:val="20"/>
        </w:rPr>
        <w:t xml:space="preserve"> </w:t>
      </w:r>
      <w:r>
        <w:rPr>
          <w:rFonts w:ascii="Arial" w:hAnsi="Arial" w:cs="Arial"/>
          <w:sz w:val="20"/>
        </w:rPr>
        <w:t>YOT</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send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H</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young</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who are liable to MAPPA management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when</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provided</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described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Guidance (chapter 6).</w:t>
      </w:r>
      <w:r>
        <w:rPr>
          <w:rFonts w:ascii="Arial" w:eastAsia="Arial" w:hAnsi="Arial" w:cs="Arial"/>
          <w:sz w:val="20"/>
          <w:szCs w:val="28"/>
        </w:rPr>
        <w:t xml:space="preserve"> </w:t>
      </w:r>
    </w:p>
    <w:p w14:paraId="198A6D8C" w14:textId="77777777" w:rsidR="00F2123B" w:rsidRDefault="00200CFB">
      <w:pPr>
        <w:spacing w:line="280" w:lineRule="atLeast"/>
        <w:rPr>
          <w:rFonts w:ascii="Arial" w:eastAsia="Arial" w:hAnsi="Arial" w:cs="Arial"/>
          <w:b/>
          <w:color w:val="800080"/>
          <w:sz w:val="20"/>
        </w:rPr>
      </w:pPr>
      <w:r>
        <w:rPr>
          <w:rFonts w:ascii="Arial" w:eastAsia="Arial" w:hAnsi="Arial" w:cs="Arial"/>
          <w:b/>
          <w:color w:val="800080"/>
          <w:sz w:val="20"/>
        </w:rPr>
        <w:t xml:space="preserve"> </w:t>
      </w:r>
    </w:p>
    <w:p w14:paraId="198A6D8D"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I.</w:t>
      </w:r>
      <w:r>
        <w:rPr>
          <w:rFonts w:ascii="Arial" w:eastAsia="Arial" w:hAnsi="Arial" w:cs="Arial"/>
          <w:b/>
          <w:color w:val="000000"/>
          <w:szCs w:val="28"/>
        </w:rPr>
        <w:t xml:space="preserve"> </w:t>
      </w:r>
      <w:r>
        <w:rPr>
          <w:rFonts w:ascii="Arial" w:hAnsi="Arial" w:cs="Arial"/>
          <w:b/>
          <w:color w:val="000000"/>
          <w:szCs w:val="28"/>
        </w:rPr>
        <w:t>Mental</w:t>
      </w:r>
      <w:r>
        <w:rPr>
          <w:rFonts w:ascii="Arial" w:eastAsia="Arial" w:hAnsi="Arial" w:cs="Arial"/>
          <w:b/>
          <w:color w:val="000000"/>
          <w:szCs w:val="28"/>
        </w:rPr>
        <w:t xml:space="preserve"> </w:t>
      </w:r>
      <w:r>
        <w:rPr>
          <w:rFonts w:ascii="Arial" w:hAnsi="Arial" w:cs="Arial"/>
          <w:b/>
          <w:color w:val="000000"/>
          <w:szCs w:val="28"/>
        </w:rPr>
        <w:t>Health</w:t>
      </w:r>
      <w:r>
        <w:rPr>
          <w:rFonts w:ascii="Arial" w:eastAsia="Arial" w:hAnsi="Arial" w:cs="Arial"/>
          <w:b/>
          <w:color w:val="000000"/>
          <w:szCs w:val="28"/>
        </w:rPr>
        <w:t xml:space="preserve"> </w:t>
      </w:r>
      <w:r>
        <w:rPr>
          <w:rFonts w:ascii="Arial" w:hAnsi="Arial" w:cs="Arial"/>
          <w:b/>
          <w:color w:val="000000"/>
          <w:szCs w:val="28"/>
        </w:rPr>
        <w:t>Notification</w:t>
      </w:r>
    </w:p>
    <w:p w14:paraId="198A6D8E" w14:textId="77777777" w:rsidR="00F2123B" w:rsidRDefault="00200CFB">
      <w:pPr>
        <w:spacing w:line="280" w:lineRule="atLeast"/>
      </w:pPr>
      <w:r>
        <w:rPr>
          <w:rFonts w:ascii="Arial" w:hAnsi="Arial" w:cs="Arial"/>
          <w:sz w:val="20"/>
        </w:rPr>
        <w:t>14.17</w:t>
      </w:r>
      <w:r>
        <w:rPr>
          <w:rFonts w:ascii="Arial" w:hAnsi="Arial" w:cs="Arial"/>
          <w:sz w:val="20"/>
        </w:rPr>
        <w:tab/>
        <w:t>The</w:t>
      </w:r>
      <w:r>
        <w:rPr>
          <w:rFonts w:ascii="Arial" w:eastAsia="Arial" w:hAnsi="Arial" w:cs="Arial"/>
          <w:sz w:val="20"/>
        </w:rPr>
        <w:t xml:space="preserve"> </w:t>
      </w:r>
      <w:r>
        <w:rPr>
          <w:rFonts w:ascii="Arial" w:hAnsi="Arial" w:cs="Arial"/>
          <w:sz w:val="20"/>
        </w:rPr>
        <w:t>mental</w:t>
      </w:r>
      <w:r>
        <w:rPr>
          <w:rFonts w:ascii="Arial" w:eastAsia="Arial" w:hAnsi="Arial" w:cs="Arial"/>
          <w:sz w:val="20"/>
        </w:rPr>
        <w:t xml:space="preserve"> </w:t>
      </w:r>
      <w:r>
        <w:rPr>
          <w:rFonts w:ascii="Arial" w:hAnsi="Arial" w:cs="Arial"/>
          <w:sz w:val="20"/>
        </w:rPr>
        <w:t>health</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send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I</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patients</w:t>
      </w:r>
      <w:r>
        <w:rPr>
          <w:rFonts w:ascii="Arial" w:eastAsia="Arial" w:hAnsi="Arial" w:cs="Arial"/>
          <w:sz w:val="20"/>
        </w:rPr>
        <w:t xml:space="preserve"> who are liable to MAPPA management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when</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provided</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described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Guidance (chapter 6).</w:t>
      </w:r>
      <w:r>
        <w:rPr>
          <w:rFonts w:ascii="Arial" w:eastAsia="Arial" w:hAnsi="Arial" w:cs="Arial"/>
          <w:sz w:val="20"/>
          <w:szCs w:val="28"/>
        </w:rPr>
        <w:t xml:space="preserve"> </w:t>
      </w:r>
    </w:p>
    <w:p w14:paraId="198A6D8F" w14:textId="77777777" w:rsidR="00F2123B" w:rsidRDefault="00F2123B">
      <w:pPr>
        <w:spacing w:line="280" w:lineRule="atLeast"/>
        <w:rPr>
          <w:rFonts w:ascii="Arial" w:hAnsi="Arial" w:cs="Arial"/>
          <w:sz w:val="20"/>
          <w:szCs w:val="28"/>
        </w:rPr>
      </w:pPr>
    </w:p>
    <w:p w14:paraId="198A6D91"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J.</w:t>
      </w:r>
      <w:r>
        <w:rPr>
          <w:rFonts w:ascii="Arial" w:eastAsia="Arial" w:hAnsi="Arial" w:cs="Arial"/>
          <w:b/>
          <w:color w:val="000000"/>
          <w:szCs w:val="28"/>
        </w:rPr>
        <w:t xml:space="preserve"> </w:t>
      </w:r>
      <w:r>
        <w:rPr>
          <w:rFonts w:ascii="Arial" w:hAnsi="Arial" w:cs="Arial"/>
          <w:b/>
          <w:color w:val="000000"/>
          <w:szCs w:val="28"/>
        </w:rPr>
        <w:t>Notification</w:t>
      </w:r>
      <w:r>
        <w:rPr>
          <w:rFonts w:ascii="Arial" w:eastAsia="Arial" w:hAnsi="Arial" w:cs="Arial"/>
          <w:b/>
          <w:color w:val="000000"/>
          <w:szCs w:val="28"/>
        </w:rPr>
        <w:t xml:space="preserve"> to Jobcentre Plus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offenders</w:t>
      </w:r>
      <w:r>
        <w:rPr>
          <w:rFonts w:ascii="Arial" w:eastAsia="Arial" w:hAnsi="Arial" w:cs="Arial"/>
          <w:b/>
          <w:color w:val="000000"/>
          <w:szCs w:val="28"/>
        </w:rPr>
        <w:t xml:space="preserve"> </w:t>
      </w:r>
      <w:r>
        <w:rPr>
          <w:rFonts w:ascii="Arial" w:hAnsi="Arial" w:cs="Arial"/>
          <w:b/>
          <w:color w:val="000000"/>
          <w:szCs w:val="28"/>
        </w:rPr>
        <w:t>who are liable to MAPPA management</w:t>
      </w:r>
    </w:p>
    <w:p w14:paraId="198A6D92" w14:textId="77777777" w:rsidR="00F2123B" w:rsidRDefault="00200CFB">
      <w:pPr>
        <w:spacing w:line="280" w:lineRule="atLeast"/>
      </w:pPr>
      <w:r>
        <w:rPr>
          <w:rFonts w:ascii="Arial" w:hAnsi="Arial" w:cs="Arial"/>
          <w:sz w:val="20"/>
        </w:rPr>
        <w:t>14.18</w:t>
      </w:r>
      <w:r>
        <w:rPr>
          <w:rFonts w:ascii="Arial" w:hAnsi="Arial" w:cs="Arial"/>
          <w:sz w:val="20"/>
        </w:rPr>
        <w:tab/>
        <w:t>Probation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police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managers</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send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J</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Jobcentre</w:t>
      </w:r>
      <w:r>
        <w:rPr>
          <w:rFonts w:ascii="Arial" w:eastAsia="Arial" w:hAnsi="Arial" w:cs="Arial"/>
          <w:sz w:val="20"/>
        </w:rPr>
        <w:t xml:space="preserve"> </w:t>
      </w:r>
      <w:r>
        <w:rPr>
          <w:rFonts w:ascii="Arial" w:hAnsi="Arial" w:cs="Arial"/>
          <w:sz w:val="20"/>
        </w:rPr>
        <w:t>Plus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inform</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restrictions</w:t>
      </w:r>
      <w:r>
        <w:rPr>
          <w:rFonts w:ascii="Arial" w:eastAsia="Arial" w:hAnsi="Arial" w:cs="Arial"/>
          <w:sz w:val="20"/>
        </w:rPr>
        <w:t xml:space="preserve"> </w:t>
      </w:r>
      <w:r>
        <w:rPr>
          <w:rFonts w:ascii="Arial" w:hAnsi="Arial" w:cs="Arial"/>
          <w:sz w:val="20"/>
        </w:rPr>
        <w:t>placed</w:t>
      </w:r>
      <w:r>
        <w:rPr>
          <w:rFonts w:ascii="Arial" w:eastAsia="Arial" w:hAnsi="Arial" w:cs="Arial"/>
          <w:sz w:val="20"/>
        </w:rPr>
        <w:t xml:space="preserve"> </w:t>
      </w:r>
      <w:r>
        <w:rPr>
          <w:rFonts w:ascii="Arial" w:hAnsi="Arial" w:cs="Arial"/>
          <w:sz w:val="20"/>
        </w:rPr>
        <w:t>upon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regard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employment</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training.</w:t>
      </w:r>
      <w:r>
        <w:rPr>
          <w:rFonts w:ascii="Arial" w:eastAsia="Arial" w:hAnsi="Arial" w:cs="Arial"/>
          <w:sz w:val="20"/>
        </w:rPr>
        <w:t xml:space="preserve"> </w:t>
      </w:r>
      <w:r>
        <w:rPr>
          <w:rFonts w:ascii="Arial" w:hAnsi="Arial" w:cs="Arial"/>
          <w:sz w:val="20"/>
        </w:rPr>
        <w:t>See</w:t>
      </w:r>
      <w:r>
        <w:rPr>
          <w:rFonts w:ascii="Arial" w:eastAsia="Arial" w:hAnsi="Arial" w:cs="Arial"/>
          <w:sz w:val="20"/>
        </w:rPr>
        <w:t xml:space="preserve"> </w:t>
      </w:r>
      <w:r>
        <w:rPr>
          <w:rFonts w:ascii="Arial" w:hAnsi="Arial" w:cs="Arial"/>
          <w:sz w:val="20"/>
        </w:rPr>
        <w:t>chapter</w:t>
      </w:r>
      <w:r>
        <w:rPr>
          <w:rFonts w:ascii="Arial" w:eastAsia="Arial" w:hAnsi="Arial" w:cs="Arial"/>
          <w:sz w:val="20"/>
        </w:rPr>
        <w:t xml:space="preserve"> 3 </w:t>
      </w:r>
      <w:r>
        <w:rPr>
          <w:rFonts w:ascii="Arial" w:hAnsi="Arial" w:cs="Arial"/>
          <w:sz w:val="20"/>
        </w:rPr>
        <w:t>on</w:t>
      </w:r>
      <w:r>
        <w:rPr>
          <w:rFonts w:ascii="Arial" w:eastAsia="Arial" w:hAnsi="Arial" w:cs="Arial"/>
          <w:sz w:val="20"/>
        </w:rPr>
        <w:t xml:space="preserve"> </w:t>
      </w:r>
      <w:r>
        <w:rPr>
          <w:rFonts w:ascii="Arial" w:hAnsi="Arial" w:cs="Arial"/>
          <w:sz w:val="20"/>
        </w:rPr>
        <w:t>Duty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Co-operate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information.</w:t>
      </w:r>
    </w:p>
    <w:p w14:paraId="198A6D93" w14:textId="77777777" w:rsidR="00F2123B" w:rsidRDefault="00F2123B">
      <w:pPr>
        <w:spacing w:line="280" w:lineRule="atLeast"/>
        <w:rPr>
          <w:rFonts w:ascii="Arial" w:hAnsi="Arial" w:cs="Arial"/>
          <w:sz w:val="20"/>
          <w:szCs w:val="28"/>
        </w:rPr>
      </w:pPr>
    </w:p>
    <w:p w14:paraId="198A6D94"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K.</w:t>
      </w:r>
      <w:r>
        <w:rPr>
          <w:rFonts w:ascii="Arial" w:eastAsia="Arial" w:hAnsi="Arial" w:cs="Arial"/>
          <w:b/>
          <w:color w:val="000000"/>
          <w:szCs w:val="28"/>
        </w:rPr>
        <w:t xml:space="preserve"> </w:t>
      </w:r>
      <w:r>
        <w:rPr>
          <w:rFonts w:ascii="Arial" w:hAnsi="Arial" w:cs="Arial"/>
          <w:b/>
          <w:color w:val="000000"/>
          <w:szCs w:val="28"/>
        </w:rPr>
        <w:t>Audit</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and</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cases</w:t>
      </w:r>
    </w:p>
    <w:p w14:paraId="198A6D95" w14:textId="77777777" w:rsidR="00F2123B" w:rsidRDefault="00200CFB">
      <w:pPr>
        <w:spacing w:line="280" w:lineRule="atLeast"/>
      </w:pPr>
      <w:r>
        <w:rPr>
          <w:rFonts w:ascii="Arial" w:hAnsi="Arial" w:cs="Arial"/>
          <w:sz w:val="20"/>
        </w:rPr>
        <w:t>14.19</w:t>
      </w:r>
      <w:r>
        <w:rPr>
          <w:rFonts w:ascii="Arial" w:hAnsi="Arial" w:cs="Arial"/>
          <w:sz w:val="20"/>
        </w:rPr>
        <w:tab/>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wish</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 xml:space="preserve">information to the SMB. </w:t>
      </w:r>
      <w:r>
        <w:rPr>
          <w:rFonts w:ascii="Arial" w:hAnsi="Arial" w:cs="Arial"/>
          <w:i/>
          <w:sz w:val="20"/>
        </w:rPr>
        <w:t xml:space="preserve">The scoring for this document is not based on research and is for guidance only. </w:t>
      </w:r>
    </w:p>
    <w:p w14:paraId="198A6D96" w14:textId="77777777" w:rsidR="00F2123B" w:rsidRDefault="00F2123B">
      <w:pPr>
        <w:spacing w:line="280" w:lineRule="atLeast"/>
        <w:rPr>
          <w:rFonts w:ascii="Arial" w:hAnsi="Arial" w:cs="Arial"/>
          <w:b/>
          <w:color w:val="800080"/>
          <w:sz w:val="20"/>
          <w:szCs w:val="28"/>
        </w:rPr>
      </w:pPr>
    </w:p>
    <w:p w14:paraId="198A6D97"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L.</w:t>
      </w:r>
      <w:r>
        <w:rPr>
          <w:rFonts w:ascii="Arial" w:eastAsia="Arial" w:hAnsi="Arial" w:cs="Arial"/>
          <w:b/>
          <w:color w:val="000000"/>
          <w:szCs w:val="28"/>
        </w:rPr>
        <w:t xml:space="preserve"> </w:t>
      </w:r>
      <w:r>
        <w:rPr>
          <w:rFonts w:ascii="Arial" w:hAnsi="Arial" w:cs="Arial"/>
          <w:b/>
          <w:color w:val="000000"/>
          <w:szCs w:val="28"/>
        </w:rPr>
        <w:t>Audit</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Level</w:t>
      </w:r>
      <w:r>
        <w:rPr>
          <w:rFonts w:ascii="Arial" w:eastAsia="Arial" w:hAnsi="Arial" w:cs="Arial"/>
          <w:b/>
          <w:color w:val="000000"/>
          <w:szCs w:val="28"/>
        </w:rPr>
        <w:t xml:space="preserve"> </w:t>
      </w:r>
      <w:r>
        <w:rPr>
          <w:rFonts w:ascii="Arial" w:hAnsi="Arial" w:cs="Arial"/>
          <w:b/>
          <w:color w:val="000000"/>
          <w:szCs w:val="28"/>
        </w:rPr>
        <w:t>2</w:t>
      </w:r>
      <w:r>
        <w:rPr>
          <w:rFonts w:ascii="Arial" w:eastAsia="Arial" w:hAnsi="Arial" w:cs="Arial"/>
          <w:b/>
          <w:color w:val="000000"/>
          <w:szCs w:val="28"/>
        </w:rPr>
        <w:t xml:space="preserve"> </w:t>
      </w:r>
      <w:r>
        <w:rPr>
          <w:rFonts w:ascii="Arial" w:hAnsi="Arial" w:cs="Arial"/>
          <w:b/>
          <w:color w:val="000000"/>
          <w:szCs w:val="28"/>
        </w:rPr>
        <w:t>and</w:t>
      </w:r>
      <w:r>
        <w:rPr>
          <w:rFonts w:ascii="Arial" w:eastAsia="Arial" w:hAnsi="Arial" w:cs="Arial"/>
          <w:b/>
          <w:color w:val="000000"/>
          <w:szCs w:val="28"/>
        </w:rPr>
        <w:t xml:space="preserve"> </w:t>
      </w:r>
      <w:r>
        <w:rPr>
          <w:rFonts w:ascii="Arial" w:hAnsi="Arial" w:cs="Arial"/>
          <w:b/>
          <w:color w:val="000000"/>
          <w:szCs w:val="28"/>
        </w:rPr>
        <w:t>3</w:t>
      </w:r>
      <w:r>
        <w:rPr>
          <w:rFonts w:ascii="Arial" w:eastAsia="Arial" w:hAnsi="Arial" w:cs="Arial"/>
          <w:b/>
          <w:color w:val="000000"/>
          <w:szCs w:val="28"/>
        </w:rPr>
        <w:t xml:space="preserve"> </w:t>
      </w:r>
      <w:r>
        <w:rPr>
          <w:rFonts w:ascii="Arial" w:hAnsi="Arial" w:cs="Arial"/>
          <w:b/>
          <w:color w:val="000000"/>
          <w:szCs w:val="28"/>
        </w:rPr>
        <w:t>meetings</w:t>
      </w:r>
    </w:p>
    <w:p w14:paraId="198A6D98" w14:textId="77777777" w:rsidR="00F2123B" w:rsidRDefault="00200CFB">
      <w:pPr>
        <w:spacing w:line="280" w:lineRule="atLeast"/>
      </w:pPr>
      <w:r>
        <w:rPr>
          <w:rFonts w:ascii="Arial" w:hAnsi="Arial" w:cs="Arial"/>
          <w:sz w:val="20"/>
        </w:rPr>
        <w:t>14.20</w:t>
      </w:r>
      <w:r>
        <w:rPr>
          <w:rFonts w:ascii="Arial" w:hAnsi="Arial" w:cs="Arial"/>
          <w:sz w:val="20"/>
        </w:rPr>
        <w:tab/>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wish</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p>
    <w:p w14:paraId="198A6D99" w14:textId="77777777" w:rsidR="00F2123B" w:rsidRDefault="00F2123B">
      <w:pPr>
        <w:spacing w:line="280" w:lineRule="atLeast"/>
        <w:rPr>
          <w:rFonts w:ascii="Arial" w:hAnsi="Arial" w:cs="Arial"/>
          <w:b/>
          <w:color w:val="800080"/>
          <w:sz w:val="20"/>
          <w:szCs w:val="28"/>
        </w:rPr>
      </w:pPr>
    </w:p>
    <w:p w14:paraId="198A6D9A"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M.</w:t>
      </w:r>
      <w:r>
        <w:rPr>
          <w:rFonts w:ascii="Arial" w:eastAsia="Arial" w:hAnsi="Arial" w:cs="Arial"/>
          <w:b/>
          <w:color w:val="000000"/>
          <w:szCs w:val="28"/>
        </w:rPr>
        <w:t xml:space="preserve"> </w:t>
      </w:r>
      <w:r>
        <w:rPr>
          <w:rFonts w:ascii="Arial" w:hAnsi="Arial" w:cs="Arial"/>
          <w:b/>
          <w:color w:val="000000"/>
          <w:szCs w:val="28"/>
        </w:rPr>
        <w:t>Minute</w:t>
      </w:r>
      <w:r>
        <w:rPr>
          <w:rFonts w:ascii="Arial" w:eastAsia="Arial" w:hAnsi="Arial" w:cs="Arial"/>
          <w:b/>
          <w:color w:val="000000"/>
          <w:szCs w:val="28"/>
        </w:rPr>
        <w:t xml:space="preserve"> </w:t>
      </w:r>
      <w:r>
        <w:rPr>
          <w:rFonts w:ascii="Arial" w:hAnsi="Arial" w:cs="Arial"/>
          <w:b/>
          <w:color w:val="000000"/>
          <w:szCs w:val="28"/>
        </w:rPr>
        <w:t>Executive</w:t>
      </w:r>
      <w:r>
        <w:rPr>
          <w:rFonts w:ascii="Arial" w:eastAsia="Arial" w:hAnsi="Arial" w:cs="Arial"/>
          <w:b/>
          <w:color w:val="000000"/>
          <w:szCs w:val="28"/>
        </w:rPr>
        <w:t xml:space="preserve"> </w:t>
      </w:r>
      <w:r>
        <w:rPr>
          <w:rFonts w:ascii="Arial" w:hAnsi="Arial" w:cs="Arial"/>
          <w:b/>
          <w:color w:val="000000"/>
          <w:szCs w:val="28"/>
        </w:rPr>
        <w:t>Summary</w:t>
      </w:r>
    </w:p>
    <w:p w14:paraId="198A6D9B" w14:textId="77777777" w:rsidR="00F2123B" w:rsidRDefault="00200CFB">
      <w:pPr>
        <w:spacing w:line="280" w:lineRule="atLeast"/>
      </w:pPr>
      <w:r>
        <w:rPr>
          <w:rFonts w:ascii="Arial" w:hAnsi="Arial" w:cs="Arial"/>
          <w:sz w:val="20"/>
        </w:rPr>
        <w:t>14.21</w:t>
      </w:r>
      <w:r>
        <w:rPr>
          <w:rFonts w:ascii="Arial" w:hAnsi="Arial" w:cs="Arial"/>
          <w:sz w:val="20"/>
        </w:rPr>
        <w:tab/>
        <w:t>The</w:t>
      </w:r>
      <w:r>
        <w:rPr>
          <w:rFonts w:ascii="Arial" w:eastAsia="Arial" w:hAnsi="Arial" w:cs="Arial"/>
          <w:sz w:val="20"/>
        </w:rPr>
        <w:t xml:space="preserve"> </w:t>
      </w:r>
      <w:r>
        <w:rPr>
          <w:rFonts w:ascii="Arial" w:hAnsi="Arial" w:cs="Arial"/>
          <w:sz w:val="20"/>
        </w:rPr>
        <w:t>Minute</w:t>
      </w:r>
      <w:r>
        <w:rPr>
          <w:rFonts w:ascii="Arial" w:eastAsia="Arial" w:hAnsi="Arial" w:cs="Arial"/>
          <w:sz w:val="20"/>
        </w:rPr>
        <w:t xml:space="preserve"> </w:t>
      </w:r>
      <w:r>
        <w:rPr>
          <w:rFonts w:ascii="Arial" w:hAnsi="Arial" w:cs="Arial"/>
          <w:sz w:val="20"/>
        </w:rPr>
        <w:t>Executive</w:t>
      </w:r>
      <w:r>
        <w:rPr>
          <w:rFonts w:ascii="Arial" w:eastAsia="Arial" w:hAnsi="Arial" w:cs="Arial"/>
          <w:sz w:val="20"/>
        </w:rPr>
        <w:t xml:space="preserve"> </w:t>
      </w:r>
      <w:r>
        <w:rPr>
          <w:rFonts w:ascii="Arial" w:hAnsi="Arial" w:cs="Arial"/>
          <w:sz w:val="20"/>
        </w:rPr>
        <w:t>Summary</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provided</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reply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request</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minutes</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described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chapter 10 on</w:t>
      </w:r>
      <w:r>
        <w:rPr>
          <w:rFonts w:ascii="Arial" w:eastAsia="Arial" w:hAnsi="Arial" w:cs="Arial"/>
          <w:sz w:val="20"/>
        </w:rPr>
        <w:t xml:space="preserve"> </w:t>
      </w:r>
      <w:r>
        <w:rPr>
          <w:rFonts w:ascii="Arial" w:hAnsi="Arial" w:cs="Arial"/>
          <w:sz w:val="20"/>
        </w:rPr>
        <w:t>Disclosure.</w:t>
      </w:r>
    </w:p>
    <w:p w14:paraId="198A6D9C" w14:textId="77777777" w:rsidR="00F2123B" w:rsidRDefault="00F2123B">
      <w:pPr>
        <w:spacing w:line="280" w:lineRule="atLeast"/>
        <w:rPr>
          <w:rFonts w:ascii="Arial" w:hAnsi="Arial" w:cs="Arial"/>
          <w:sz w:val="20"/>
        </w:rPr>
      </w:pPr>
    </w:p>
    <w:p w14:paraId="198A6D9D"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N.</w:t>
      </w:r>
      <w:r>
        <w:rPr>
          <w:rFonts w:ascii="Arial" w:eastAsia="Arial" w:hAnsi="Arial" w:cs="Arial"/>
          <w:b/>
          <w:color w:val="000000"/>
          <w:szCs w:val="28"/>
        </w:rPr>
        <w:t xml:space="preserve"> </w:t>
      </w:r>
      <w:r>
        <w:rPr>
          <w:rFonts w:ascii="Arial" w:hAnsi="Arial" w:cs="Arial"/>
          <w:b/>
          <w:color w:val="000000"/>
          <w:szCs w:val="28"/>
        </w:rPr>
        <w:t>Notification</w:t>
      </w:r>
      <w:r>
        <w:rPr>
          <w:rFonts w:ascii="Arial" w:eastAsia="Arial" w:hAnsi="Arial" w:cs="Arial"/>
          <w:b/>
          <w:color w:val="000000"/>
          <w:szCs w:val="28"/>
        </w:rPr>
        <w:t xml:space="preserve"> </w:t>
      </w:r>
      <w:r>
        <w:rPr>
          <w:rFonts w:ascii="Arial" w:hAnsi="Arial" w:cs="Arial"/>
          <w:b/>
          <w:color w:val="000000"/>
          <w:szCs w:val="28"/>
        </w:rPr>
        <w:t>of</w:t>
      </w:r>
      <w:r>
        <w:rPr>
          <w:rFonts w:ascii="Arial" w:eastAsia="Arial" w:hAnsi="Arial" w:cs="Arial"/>
          <w:b/>
          <w:color w:val="000000"/>
          <w:szCs w:val="28"/>
        </w:rPr>
        <w:t xml:space="preserve"> </w:t>
      </w: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Serious</w:t>
      </w:r>
      <w:r>
        <w:rPr>
          <w:rFonts w:ascii="Arial" w:eastAsia="Arial" w:hAnsi="Arial" w:cs="Arial"/>
          <w:b/>
          <w:color w:val="000000"/>
          <w:szCs w:val="28"/>
        </w:rPr>
        <w:t xml:space="preserve"> </w:t>
      </w:r>
      <w:r>
        <w:rPr>
          <w:rFonts w:ascii="Arial" w:hAnsi="Arial" w:cs="Arial"/>
          <w:b/>
          <w:color w:val="000000"/>
          <w:szCs w:val="28"/>
        </w:rPr>
        <w:t>Further</w:t>
      </w:r>
      <w:r>
        <w:rPr>
          <w:rFonts w:ascii="Arial" w:eastAsia="Arial" w:hAnsi="Arial" w:cs="Arial"/>
          <w:b/>
          <w:color w:val="000000"/>
          <w:szCs w:val="28"/>
        </w:rPr>
        <w:t xml:space="preserve"> </w:t>
      </w:r>
      <w:r>
        <w:rPr>
          <w:rFonts w:ascii="Arial" w:hAnsi="Arial" w:cs="Arial"/>
          <w:b/>
          <w:color w:val="000000"/>
          <w:szCs w:val="28"/>
        </w:rPr>
        <w:t>Offence</w:t>
      </w:r>
    </w:p>
    <w:p w14:paraId="198A6D9E" w14:textId="518FD962" w:rsidR="00F2123B" w:rsidRDefault="00200CFB">
      <w:pPr>
        <w:spacing w:line="280" w:lineRule="atLeast"/>
      </w:pPr>
      <w:r>
        <w:rPr>
          <w:rFonts w:ascii="Arial" w:hAnsi="Arial" w:cs="Arial"/>
          <w:sz w:val="20"/>
        </w:rPr>
        <w:t>14.22</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N,</w:t>
      </w:r>
      <w:r>
        <w:rPr>
          <w:rFonts w:ascii="Arial" w:eastAsia="Arial" w:hAnsi="Arial" w:cs="Arial"/>
          <w:sz w:val="20"/>
        </w:rPr>
        <w:t xml:space="preserve"> </w:t>
      </w:r>
      <w:r>
        <w:rPr>
          <w:rFonts w:ascii="Arial" w:hAnsi="Arial" w:cs="Arial"/>
          <w:sz w:val="20"/>
        </w:rPr>
        <w:t>notification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Serious</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Offence,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sent</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sidR="004563EA">
        <w:rPr>
          <w:rFonts w:ascii="Arial" w:eastAsia="Arial" w:hAnsi="Arial" w:cs="Arial"/>
          <w:sz w:val="20"/>
        </w:rPr>
        <w:t>Probation Practitioner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5</w:t>
      </w:r>
      <w:r>
        <w:rPr>
          <w:rFonts w:ascii="Arial" w:eastAsia="Arial" w:hAnsi="Arial" w:cs="Arial"/>
          <w:sz w:val="20"/>
        </w:rPr>
        <w:t xml:space="preserve"> </w:t>
      </w:r>
      <w:r>
        <w:rPr>
          <w:rFonts w:ascii="Arial" w:hAnsi="Arial" w:cs="Arial"/>
          <w:sz w:val="20"/>
        </w:rPr>
        <w:t>working</w:t>
      </w:r>
      <w:r>
        <w:rPr>
          <w:rFonts w:ascii="Arial" w:eastAsia="Arial" w:hAnsi="Arial" w:cs="Arial"/>
          <w:sz w:val="20"/>
        </w:rPr>
        <w:t xml:space="preserve"> </w:t>
      </w:r>
      <w:r>
        <w:rPr>
          <w:rFonts w:ascii="Arial" w:hAnsi="Arial" w:cs="Arial"/>
          <w:sz w:val="20"/>
        </w:rPr>
        <w:t>days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charged.</w:t>
      </w:r>
      <w:r>
        <w:rPr>
          <w:rFonts w:ascii="Arial" w:eastAsia="Arial" w:hAnsi="Arial" w:cs="Arial"/>
          <w:sz w:val="20"/>
        </w:rPr>
        <w:t xml:space="preserve"> </w:t>
      </w:r>
    </w:p>
    <w:p w14:paraId="198A6D9F" w14:textId="77777777" w:rsidR="00F2123B" w:rsidRDefault="00F2123B">
      <w:pPr>
        <w:spacing w:line="280" w:lineRule="atLeast"/>
        <w:rPr>
          <w:rFonts w:ascii="Arial" w:hAnsi="Arial" w:cs="Arial"/>
          <w:b/>
          <w:color w:val="800080"/>
          <w:sz w:val="20"/>
          <w:szCs w:val="28"/>
        </w:rPr>
      </w:pPr>
    </w:p>
    <w:p w14:paraId="198A6DA0" w14:textId="77777777" w:rsidR="00F2123B" w:rsidRDefault="00200CFB">
      <w:pPr>
        <w:spacing w:line="280" w:lineRule="atLeast"/>
      </w:pP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O.</w:t>
      </w:r>
      <w:r>
        <w:rPr>
          <w:rFonts w:ascii="Arial" w:eastAsia="Arial" w:hAnsi="Arial" w:cs="Arial"/>
          <w:b/>
          <w:color w:val="000000"/>
          <w:szCs w:val="28"/>
        </w:rPr>
        <w:t xml:space="preserve"> </w:t>
      </w:r>
      <w:r>
        <w:rPr>
          <w:rFonts w:ascii="Arial" w:hAnsi="Arial" w:cs="Arial"/>
          <w:b/>
          <w:color w:val="000000"/>
          <w:szCs w:val="28"/>
        </w:rPr>
        <w:t>MAPPA</w:t>
      </w:r>
      <w:r>
        <w:rPr>
          <w:rFonts w:ascii="Arial" w:eastAsia="Arial" w:hAnsi="Arial" w:cs="Arial"/>
          <w:b/>
          <w:color w:val="000000"/>
          <w:szCs w:val="28"/>
        </w:rPr>
        <w:t xml:space="preserve"> </w:t>
      </w:r>
      <w:r>
        <w:rPr>
          <w:rFonts w:ascii="Arial" w:hAnsi="Arial" w:cs="Arial"/>
          <w:b/>
          <w:color w:val="000000"/>
          <w:szCs w:val="28"/>
        </w:rPr>
        <w:t>Serious</w:t>
      </w:r>
      <w:r>
        <w:rPr>
          <w:rFonts w:ascii="Arial" w:eastAsia="Arial" w:hAnsi="Arial" w:cs="Arial"/>
          <w:b/>
          <w:color w:val="000000"/>
          <w:szCs w:val="28"/>
        </w:rPr>
        <w:t xml:space="preserve"> </w:t>
      </w:r>
      <w:r>
        <w:rPr>
          <w:rFonts w:ascii="Arial" w:hAnsi="Arial" w:cs="Arial"/>
          <w:b/>
          <w:color w:val="000000"/>
          <w:szCs w:val="28"/>
        </w:rPr>
        <w:t>Case</w:t>
      </w:r>
      <w:r>
        <w:rPr>
          <w:rFonts w:ascii="Arial" w:eastAsia="Arial" w:hAnsi="Arial" w:cs="Arial"/>
          <w:b/>
          <w:color w:val="000000"/>
          <w:szCs w:val="28"/>
        </w:rPr>
        <w:t xml:space="preserve"> </w:t>
      </w:r>
      <w:r>
        <w:rPr>
          <w:rFonts w:ascii="Arial" w:hAnsi="Arial" w:cs="Arial"/>
          <w:b/>
          <w:color w:val="000000"/>
          <w:szCs w:val="28"/>
        </w:rPr>
        <w:t>Review</w:t>
      </w:r>
      <w:r>
        <w:rPr>
          <w:rFonts w:ascii="Arial" w:eastAsia="Arial" w:hAnsi="Arial" w:cs="Arial"/>
          <w:b/>
          <w:color w:val="000000"/>
          <w:szCs w:val="28"/>
        </w:rPr>
        <w:t xml:space="preserve"> </w:t>
      </w:r>
      <w:r>
        <w:rPr>
          <w:rFonts w:ascii="Arial" w:hAnsi="Arial" w:cs="Arial"/>
          <w:b/>
          <w:color w:val="000000"/>
          <w:szCs w:val="28"/>
        </w:rPr>
        <w:t>report</w:t>
      </w:r>
    </w:p>
    <w:p w14:paraId="198A6DA1" w14:textId="77777777" w:rsidR="00F2123B" w:rsidRDefault="00200CFB">
      <w:pPr>
        <w:spacing w:line="280" w:lineRule="atLeast"/>
      </w:pPr>
      <w:r>
        <w:rPr>
          <w:rFonts w:ascii="Arial" w:hAnsi="Arial" w:cs="Arial"/>
          <w:sz w:val="20"/>
        </w:rPr>
        <w:t>14.23</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template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completing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serious</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offence.</w:t>
      </w:r>
    </w:p>
    <w:p w14:paraId="198A6DA2" w14:textId="77777777" w:rsidR="00F2123B" w:rsidRDefault="00F2123B">
      <w:pPr>
        <w:spacing w:line="280" w:lineRule="atLeast"/>
        <w:rPr>
          <w:rFonts w:ascii="Arial" w:hAnsi="Arial" w:cs="Arial"/>
          <w:sz w:val="20"/>
        </w:rPr>
      </w:pPr>
    </w:p>
    <w:p w14:paraId="198A6DA3" w14:textId="77777777" w:rsidR="00F2123B" w:rsidRDefault="00200CFB">
      <w:pPr>
        <w:spacing w:line="280" w:lineRule="atLeast"/>
        <w:rPr>
          <w:rFonts w:ascii="Arial" w:hAnsi="Arial" w:cs="Arial"/>
          <w:b/>
        </w:rPr>
      </w:pPr>
      <w:r>
        <w:rPr>
          <w:rFonts w:ascii="Arial" w:hAnsi="Arial" w:cs="Arial"/>
          <w:b/>
        </w:rPr>
        <w:t xml:space="preserve">MAPPA P. Notification to Housing Benefit SPOC </w:t>
      </w:r>
    </w:p>
    <w:p w14:paraId="198A6DA4" w14:textId="77777777" w:rsidR="00F2123B" w:rsidRDefault="00200CFB">
      <w:pPr>
        <w:spacing w:line="280" w:lineRule="atLeast"/>
        <w:rPr>
          <w:rFonts w:ascii="Arial" w:hAnsi="Arial" w:cs="Arial"/>
          <w:sz w:val="20"/>
          <w:szCs w:val="20"/>
        </w:rPr>
      </w:pPr>
      <w:r>
        <w:rPr>
          <w:rFonts w:ascii="Arial" w:hAnsi="Arial" w:cs="Arial"/>
          <w:sz w:val="20"/>
          <w:szCs w:val="20"/>
        </w:rPr>
        <w:t>14.24</w:t>
      </w:r>
      <w:r>
        <w:rPr>
          <w:rFonts w:ascii="Arial" w:hAnsi="Arial" w:cs="Arial"/>
          <w:sz w:val="20"/>
          <w:szCs w:val="20"/>
        </w:rPr>
        <w:tab/>
        <w:t>The lead agency should send MAPPA P to the Single Point of Contact for housing benefit in the area. This is in relation to MAPPA offenders at level 2 or 3 who are aged 25 to 34 and are therefore exempt from the shared accommodation rate.</w:t>
      </w:r>
    </w:p>
    <w:p w14:paraId="198A6DA5" w14:textId="77777777" w:rsidR="00F2123B" w:rsidRDefault="00F2123B">
      <w:pPr>
        <w:spacing w:line="280" w:lineRule="atLeast"/>
        <w:rPr>
          <w:rFonts w:ascii="Arial" w:hAnsi="Arial" w:cs="Arial"/>
          <w:sz w:val="20"/>
          <w:szCs w:val="28"/>
        </w:rPr>
      </w:pPr>
    </w:p>
    <w:p w14:paraId="198A6DA6"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pPr>
      <w:r>
        <w:rPr>
          <w:iCs/>
          <w:sz w:val="28"/>
          <w:szCs w:val="28"/>
        </w:rPr>
        <w:t>Information</w:t>
      </w:r>
      <w:r>
        <w:rPr>
          <w:rFonts w:eastAsia="Arial"/>
          <w:iCs/>
          <w:sz w:val="28"/>
          <w:szCs w:val="28"/>
        </w:rPr>
        <w:t xml:space="preserve"> </w:t>
      </w:r>
      <w:r>
        <w:rPr>
          <w:iCs/>
          <w:sz w:val="28"/>
          <w:szCs w:val="28"/>
        </w:rPr>
        <w:t>required</w:t>
      </w:r>
      <w:r>
        <w:rPr>
          <w:rFonts w:eastAsia="Arial"/>
          <w:iCs/>
          <w:sz w:val="28"/>
          <w:szCs w:val="28"/>
        </w:rPr>
        <w:t xml:space="preserve"> </w:t>
      </w:r>
      <w:r>
        <w:rPr>
          <w:iCs/>
          <w:sz w:val="28"/>
          <w:szCs w:val="28"/>
        </w:rPr>
        <w:t>if</w:t>
      </w:r>
      <w:r>
        <w:rPr>
          <w:rFonts w:eastAsia="Arial"/>
          <w:iCs/>
          <w:sz w:val="28"/>
          <w:szCs w:val="28"/>
        </w:rPr>
        <w:t xml:space="preserve"> </w:t>
      </w:r>
      <w:r>
        <w:rPr>
          <w:iCs/>
          <w:sz w:val="28"/>
          <w:szCs w:val="28"/>
        </w:rPr>
        <w:t>MAPPA</w:t>
      </w:r>
      <w:r>
        <w:rPr>
          <w:rFonts w:eastAsia="Arial"/>
          <w:iCs/>
          <w:sz w:val="28"/>
          <w:szCs w:val="28"/>
        </w:rPr>
        <w:t xml:space="preserve"> </w:t>
      </w:r>
      <w:r>
        <w:rPr>
          <w:iCs/>
          <w:sz w:val="28"/>
          <w:szCs w:val="28"/>
        </w:rPr>
        <w:t>A</w:t>
      </w:r>
      <w:r>
        <w:rPr>
          <w:rFonts w:eastAsia="Arial"/>
          <w:iCs/>
          <w:sz w:val="28"/>
          <w:szCs w:val="28"/>
        </w:rPr>
        <w:t xml:space="preserve"> </w:t>
      </w:r>
      <w:r>
        <w:rPr>
          <w:iCs/>
          <w:sz w:val="28"/>
          <w:szCs w:val="28"/>
        </w:rPr>
        <w:t>and</w:t>
      </w:r>
      <w:r>
        <w:rPr>
          <w:rFonts w:eastAsia="Arial"/>
          <w:iCs/>
          <w:sz w:val="28"/>
          <w:szCs w:val="28"/>
        </w:rPr>
        <w:t xml:space="preserve"> </w:t>
      </w:r>
      <w:r>
        <w:rPr>
          <w:iCs/>
          <w:sz w:val="28"/>
          <w:szCs w:val="28"/>
        </w:rPr>
        <w:t>MAPPA</w:t>
      </w:r>
      <w:r>
        <w:rPr>
          <w:rFonts w:eastAsia="Arial"/>
          <w:iCs/>
          <w:sz w:val="28"/>
          <w:szCs w:val="28"/>
        </w:rPr>
        <w:t xml:space="preserve"> </w:t>
      </w:r>
      <w:r>
        <w:rPr>
          <w:iCs/>
          <w:sz w:val="28"/>
          <w:szCs w:val="28"/>
        </w:rPr>
        <w:t>B</w:t>
      </w:r>
      <w:r>
        <w:rPr>
          <w:rFonts w:eastAsia="Arial"/>
          <w:iCs/>
          <w:sz w:val="28"/>
          <w:szCs w:val="28"/>
        </w:rPr>
        <w:t xml:space="preserve"> </w:t>
      </w:r>
      <w:r>
        <w:rPr>
          <w:iCs/>
          <w:sz w:val="28"/>
          <w:szCs w:val="28"/>
        </w:rPr>
        <w:t>are</w:t>
      </w:r>
      <w:r>
        <w:rPr>
          <w:rFonts w:eastAsia="Arial"/>
          <w:iCs/>
          <w:sz w:val="28"/>
          <w:szCs w:val="28"/>
        </w:rPr>
        <w:t xml:space="preserve"> </w:t>
      </w:r>
      <w:r>
        <w:rPr>
          <w:iCs/>
          <w:sz w:val="28"/>
          <w:szCs w:val="28"/>
        </w:rPr>
        <w:t>not</w:t>
      </w:r>
      <w:r>
        <w:rPr>
          <w:rFonts w:eastAsia="Arial"/>
          <w:iCs/>
          <w:sz w:val="28"/>
          <w:szCs w:val="28"/>
        </w:rPr>
        <w:t xml:space="preserve"> </w:t>
      </w:r>
      <w:r>
        <w:rPr>
          <w:iCs/>
          <w:sz w:val="28"/>
          <w:szCs w:val="28"/>
        </w:rPr>
        <w:t>used</w:t>
      </w:r>
    </w:p>
    <w:p w14:paraId="198A6DA7" w14:textId="77777777" w:rsidR="00F2123B" w:rsidRDefault="00F2123B">
      <w:pPr>
        <w:spacing w:line="280" w:lineRule="atLeast"/>
        <w:rPr>
          <w:rFonts w:ascii="Arial" w:hAnsi="Arial" w:cs="Arial"/>
          <w:sz w:val="20"/>
          <w:szCs w:val="28"/>
        </w:rPr>
      </w:pPr>
    </w:p>
    <w:p w14:paraId="198A6DA8" w14:textId="77777777" w:rsidR="00F2123B" w:rsidRDefault="00200CFB">
      <w:pPr>
        <w:spacing w:line="280" w:lineRule="atLeast"/>
      </w:pPr>
      <w:r>
        <w:rPr>
          <w:rFonts w:ascii="Arial" w:hAnsi="Arial" w:cs="Arial"/>
          <w:sz w:val="20"/>
          <w:szCs w:val="20"/>
        </w:rPr>
        <w:t>14.25</w:t>
      </w:r>
      <w:r>
        <w:rPr>
          <w:rFonts w:ascii="Arial" w:hAnsi="Arial" w:cs="Arial"/>
          <w:sz w:val="20"/>
          <w:szCs w:val="20"/>
        </w:rPr>
        <w:tab/>
        <w:t>When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SMB</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decided</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(Referral)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B</w:t>
      </w:r>
      <w:r>
        <w:rPr>
          <w:rFonts w:ascii="Arial" w:eastAsia="Arial" w:hAnsi="Arial" w:cs="Arial"/>
          <w:sz w:val="20"/>
          <w:szCs w:val="20"/>
        </w:rPr>
        <w:t xml:space="preserve"> </w:t>
      </w:r>
      <w:r>
        <w:rPr>
          <w:rFonts w:ascii="Arial" w:hAnsi="Arial" w:cs="Arial"/>
          <w:sz w:val="20"/>
          <w:szCs w:val="20"/>
        </w:rPr>
        <w:t>(Minutes)</w:t>
      </w:r>
      <w:r>
        <w:rPr>
          <w:rFonts w:ascii="Arial" w:eastAsia="Arial" w:hAnsi="Arial" w:cs="Arial"/>
          <w:sz w:val="20"/>
          <w:szCs w:val="20"/>
        </w:rPr>
        <w:t xml:space="preserve"> </w:t>
      </w:r>
      <w:r>
        <w:rPr>
          <w:rFonts w:ascii="Arial" w:hAnsi="Arial" w:cs="Arial"/>
          <w:sz w:val="20"/>
          <w:szCs w:val="20"/>
        </w:rPr>
        <w:t>are</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going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area,</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documents</w:t>
      </w:r>
      <w:r>
        <w:rPr>
          <w:rFonts w:ascii="Arial" w:eastAsia="Arial" w:hAnsi="Arial" w:cs="Arial"/>
          <w:sz w:val="20"/>
          <w:szCs w:val="20"/>
        </w:rPr>
        <w:t xml:space="preserve"> </w:t>
      </w:r>
      <w:r>
        <w:rPr>
          <w:rFonts w:ascii="Arial" w:hAnsi="Arial" w:cs="Arial"/>
          <w:sz w:val="20"/>
          <w:szCs w:val="20"/>
        </w:rPr>
        <w:t>used</w:t>
      </w:r>
      <w:r>
        <w:rPr>
          <w:rFonts w:ascii="Arial" w:eastAsia="Arial" w:hAnsi="Arial" w:cs="Arial"/>
          <w:sz w:val="20"/>
          <w:szCs w:val="20"/>
        </w:rPr>
        <w:t xml:space="preserve"> </w:t>
      </w:r>
      <w:r>
        <w:rPr>
          <w:rFonts w:ascii="Arial" w:hAnsi="Arial" w:cs="Arial"/>
          <w:sz w:val="20"/>
          <w:szCs w:val="20"/>
        </w:rPr>
        <w:t>instead</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contain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following</w:t>
      </w:r>
      <w:r>
        <w:rPr>
          <w:rFonts w:ascii="Arial" w:eastAsia="Arial" w:hAnsi="Arial" w:cs="Arial"/>
          <w:sz w:val="20"/>
          <w:szCs w:val="20"/>
        </w:rPr>
        <w:t xml:space="preserve"> </w:t>
      </w:r>
      <w:r>
        <w:rPr>
          <w:rFonts w:ascii="Arial" w:hAnsi="Arial" w:cs="Arial"/>
          <w:sz w:val="20"/>
          <w:szCs w:val="20"/>
        </w:rPr>
        <w:t>information.</w:t>
      </w:r>
    </w:p>
    <w:p w14:paraId="198A6DA9" w14:textId="77777777" w:rsidR="00F2123B" w:rsidRDefault="00F2123B">
      <w:pPr>
        <w:spacing w:line="280" w:lineRule="atLeast"/>
        <w:rPr>
          <w:rFonts w:ascii="Arial" w:hAnsi="Arial" w:cs="Arial"/>
          <w:sz w:val="20"/>
          <w:szCs w:val="20"/>
        </w:rPr>
      </w:pPr>
    </w:p>
    <w:p w14:paraId="198A6DAA" w14:textId="77777777" w:rsidR="00F2123B" w:rsidRDefault="00200CFB">
      <w:pPr>
        <w:spacing w:line="280" w:lineRule="atLeast"/>
        <w:rPr>
          <w:rFonts w:ascii="Arial" w:hAnsi="Arial" w:cs="Arial"/>
          <w:b/>
        </w:rPr>
      </w:pPr>
      <w:r>
        <w:rPr>
          <w:rFonts w:ascii="Arial" w:hAnsi="Arial" w:cs="Arial"/>
          <w:b/>
        </w:rPr>
        <w:t>Referral</w:t>
      </w:r>
    </w:p>
    <w:p w14:paraId="198A6DAB"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identification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category</w:t>
      </w:r>
    </w:p>
    <w:p w14:paraId="198A6DAC"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p>
    <w:p w14:paraId="198A6DAD"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name,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name</w:t>
      </w:r>
    </w:p>
    <w:p w14:paraId="198A6DAE"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birth</w:t>
      </w:r>
    </w:p>
    <w:p w14:paraId="198A6DAF"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Aliases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nicknames</w:t>
      </w:r>
    </w:p>
    <w:p w14:paraId="198A6DB0"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number</w:t>
      </w:r>
    </w:p>
    <w:p w14:paraId="198A6DB1"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imprisonment</w:t>
      </w:r>
    </w:p>
    <w:p w14:paraId="198A6DB2"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Proposed</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address</w:t>
      </w:r>
    </w:p>
    <w:p w14:paraId="198A6DB3"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p>
    <w:p w14:paraId="198A6DB4" w14:textId="77777777" w:rsidR="00F2123B" w:rsidRDefault="00200CFB" w:rsidP="00AD2BEF">
      <w:pPr>
        <w:pStyle w:val="ListParagraph"/>
        <w:numPr>
          <w:ilvl w:val="1"/>
          <w:numId w:val="38"/>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Gender</w:t>
      </w:r>
    </w:p>
    <w:p w14:paraId="198A6DB5" w14:textId="77777777" w:rsidR="00F2123B" w:rsidRDefault="00200CFB" w:rsidP="00AD2BEF">
      <w:pPr>
        <w:pStyle w:val="ListParagraph"/>
        <w:numPr>
          <w:ilvl w:val="1"/>
          <w:numId w:val="38"/>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Ethnicity</w:t>
      </w:r>
    </w:p>
    <w:p w14:paraId="198A6DB6"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PNC</w:t>
      </w:r>
      <w:r>
        <w:rPr>
          <w:rFonts w:ascii="Arial" w:eastAsia="Arial" w:hAnsi="Arial" w:cs="Arial"/>
          <w:sz w:val="20"/>
          <w:szCs w:val="20"/>
        </w:rPr>
        <w:t xml:space="preserve"> </w:t>
      </w:r>
      <w:r>
        <w:rPr>
          <w:rFonts w:ascii="Arial" w:hAnsi="Arial" w:cs="Arial"/>
          <w:sz w:val="20"/>
          <w:szCs w:val="20"/>
        </w:rPr>
        <w:t>ID</w:t>
      </w:r>
    </w:p>
    <w:p w14:paraId="198A6DB7"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reference</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p>
    <w:p w14:paraId="198A6DB8"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unique</w:t>
      </w:r>
      <w:r>
        <w:rPr>
          <w:rFonts w:ascii="Arial" w:eastAsia="Arial" w:hAnsi="Arial" w:cs="Arial"/>
          <w:sz w:val="20"/>
          <w:szCs w:val="20"/>
        </w:rPr>
        <w:t xml:space="preserve"> </w:t>
      </w:r>
      <w:r>
        <w:rPr>
          <w:rFonts w:ascii="Arial" w:hAnsi="Arial" w:cs="Arial"/>
          <w:sz w:val="20"/>
          <w:szCs w:val="20"/>
        </w:rPr>
        <w:t>identifier</w:t>
      </w:r>
    </w:p>
    <w:p w14:paraId="198A6DB9"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r>
        <w:rPr>
          <w:rFonts w:ascii="Arial" w:eastAsia="Arial" w:hAnsi="Arial" w:cs="Arial"/>
          <w:sz w:val="20"/>
          <w:szCs w:val="20"/>
        </w:rPr>
        <w:t xml:space="preserve"> </w:t>
      </w:r>
      <w:r>
        <w:rPr>
          <w:rFonts w:ascii="Arial" w:hAnsi="Arial" w:cs="Arial"/>
          <w:sz w:val="20"/>
          <w:szCs w:val="20"/>
        </w:rPr>
        <w:t>information</w:t>
      </w:r>
    </w:p>
    <w:p w14:paraId="198A6DBA"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caution</w:t>
      </w:r>
    </w:p>
    <w:p w14:paraId="198A6DBB"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p>
    <w:p w14:paraId="198A6DBC" w14:textId="77777777" w:rsidR="00F2123B" w:rsidRDefault="00200CFB" w:rsidP="00AD2BEF">
      <w:pPr>
        <w:pStyle w:val="ListParagraph"/>
        <w:numPr>
          <w:ilvl w:val="1"/>
          <w:numId w:val="38"/>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Sentence</w:t>
      </w:r>
    </w:p>
    <w:p w14:paraId="198A6DBD"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Brief</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offences</w:t>
      </w:r>
    </w:p>
    <w:p w14:paraId="198A6DBE"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dates</w:t>
      </w:r>
    </w:p>
    <w:p w14:paraId="198A6DBF"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earliest</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p>
    <w:p w14:paraId="198A6DC0"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end</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order</w:t>
      </w:r>
    </w:p>
    <w:p w14:paraId="198A6DC1"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C2"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Scores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used</w:t>
      </w:r>
    </w:p>
    <w:p w14:paraId="198A6DC3"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C4"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Summary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DC5"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Reason</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referral,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added</w:t>
      </w:r>
      <w:r>
        <w:rPr>
          <w:rFonts w:ascii="Arial" w:eastAsia="Arial" w:hAnsi="Arial" w:cs="Arial"/>
          <w:sz w:val="20"/>
          <w:szCs w:val="20"/>
        </w:rPr>
        <w:t xml:space="preserve"> </w:t>
      </w:r>
      <w:r>
        <w:rPr>
          <w:rFonts w:ascii="Arial" w:hAnsi="Arial" w:cs="Arial"/>
          <w:sz w:val="20"/>
          <w:szCs w:val="20"/>
        </w:rPr>
        <w:t>value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2</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3</w:t>
      </w:r>
      <w:r>
        <w:rPr>
          <w:rFonts w:ascii="Arial" w:eastAsia="Arial" w:hAnsi="Arial" w:cs="Arial"/>
          <w:sz w:val="20"/>
          <w:szCs w:val="20"/>
        </w:rPr>
        <w:t xml:space="preserve"> </w:t>
      </w:r>
    </w:p>
    <w:p w14:paraId="198A6DC6"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Concerns</w:t>
      </w:r>
    </w:p>
    <w:p w14:paraId="198A6DC7"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potential</w:t>
      </w:r>
      <w:r>
        <w:rPr>
          <w:rFonts w:ascii="Arial" w:eastAsia="Arial" w:hAnsi="Arial" w:cs="Arial"/>
          <w:sz w:val="20"/>
          <w:szCs w:val="20"/>
        </w:rPr>
        <w:t xml:space="preserve"> </w:t>
      </w:r>
      <w:r>
        <w:rPr>
          <w:rFonts w:ascii="Arial" w:hAnsi="Arial" w:cs="Arial"/>
          <w:sz w:val="20"/>
          <w:szCs w:val="20"/>
        </w:rPr>
        <w:t>victims</w:t>
      </w:r>
    </w:p>
    <w:p w14:paraId="198A6DC8"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MARAC</w:t>
      </w:r>
      <w:r>
        <w:rPr>
          <w:rFonts w:ascii="Arial" w:eastAsia="Arial" w:hAnsi="Arial" w:cs="Arial"/>
          <w:sz w:val="20"/>
          <w:szCs w:val="20"/>
        </w:rPr>
        <w:t xml:space="preserve"> </w:t>
      </w:r>
      <w:r>
        <w:rPr>
          <w:rFonts w:ascii="Arial" w:hAnsi="Arial" w:cs="Arial"/>
          <w:sz w:val="20"/>
          <w:szCs w:val="20"/>
        </w:rPr>
        <w:t>involvement</w:t>
      </w:r>
    </w:p>
    <w:p w14:paraId="198A6DC9" w14:textId="77777777" w:rsidR="00F2123B" w:rsidRDefault="00200CFB" w:rsidP="00AD2BEF">
      <w:pPr>
        <w:pStyle w:val="ListParagraph"/>
        <w:numPr>
          <w:ilvl w:val="0"/>
          <w:numId w:val="37"/>
        </w:numPr>
        <w:tabs>
          <w:tab w:val="left" w:pos="0"/>
        </w:tabs>
        <w:spacing w:after="0" w:line="280" w:lineRule="atLeast"/>
        <w:ind w:left="720"/>
        <w:rPr>
          <w:rFonts w:ascii="Arial" w:hAnsi="Arial" w:cs="Arial"/>
          <w:sz w:val="20"/>
          <w:szCs w:val="20"/>
        </w:rPr>
      </w:pPr>
      <w:r>
        <w:rPr>
          <w:rFonts w:ascii="Arial" w:hAnsi="Arial" w:cs="Arial"/>
          <w:sz w:val="20"/>
          <w:szCs w:val="20"/>
        </w:rPr>
        <w:t>Safeguarding</w:t>
      </w:r>
    </w:p>
    <w:p w14:paraId="198A6DCA"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concerns</w:t>
      </w:r>
    </w:p>
    <w:p w14:paraId="198A6DCB"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vulnerable</w:t>
      </w:r>
      <w:r>
        <w:rPr>
          <w:rFonts w:ascii="Arial" w:eastAsia="Arial" w:hAnsi="Arial" w:cs="Arial"/>
          <w:sz w:val="20"/>
          <w:szCs w:val="20"/>
        </w:rPr>
        <w:t xml:space="preserve"> </w:t>
      </w:r>
      <w:r>
        <w:rPr>
          <w:rFonts w:ascii="Arial" w:hAnsi="Arial" w:cs="Arial"/>
          <w:sz w:val="20"/>
          <w:szCs w:val="20"/>
        </w:rPr>
        <w:t>adult</w:t>
      </w:r>
      <w:r>
        <w:rPr>
          <w:rFonts w:ascii="Arial" w:eastAsia="Arial" w:hAnsi="Arial" w:cs="Arial"/>
          <w:sz w:val="20"/>
          <w:szCs w:val="20"/>
        </w:rPr>
        <w:t xml:space="preserve"> </w:t>
      </w:r>
      <w:r>
        <w:rPr>
          <w:rFonts w:ascii="Arial" w:hAnsi="Arial" w:cs="Arial"/>
          <w:sz w:val="20"/>
          <w:szCs w:val="20"/>
        </w:rPr>
        <w:t>concerns</w:t>
      </w:r>
    </w:p>
    <w:p w14:paraId="198A6DCC"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Referring</w:t>
      </w:r>
      <w:r>
        <w:rPr>
          <w:rFonts w:ascii="Arial" w:eastAsia="Arial" w:hAnsi="Arial" w:cs="Arial"/>
          <w:sz w:val="20"/>
          <w:szCs w:val="20"/>
        </w:rPr>
        <w:t xml:space="preserve"> </w:t>
      </w:r>
      <w:r>
        <w:rPr>
          <w:rFonts w:ascii="Arial" w:hAnsi="Arial" w:cs="Arial"/>
          <w:sz w:val="20"/>
          <w:szCs w:val="20"/>
        </w:rPr>
        <w:t>Agency</w:t>
      </w:r>
    </w:p>
    <w:p w14:paraId="198A6DCD"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Identification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person</w:t>
      </w:r>
      <w:r>
        <w:rPr>
          <w:rFonts w:ascii="Arial" w:eastAsia="Arial" w:hAnsi="Arial" w:cs="Arial"/>
          <w:sz w:val="20"/>
          <w:szCs w:val="20"/>
        </w:rPr>
        <w:t xml:space="preserve"> </w:t>
      </w:r>
      <w:r>
        <w:rPr>
          <w:rFonts w:ascii="Arial" w:hAnsi="Arial" w:cs="Arial"/>
          <w:sz w:val="20"/>
          <w:szCs w:val="20"/>
        </w:rPr>
        <w:t>referring</w:t>
      </w:r>
    </w:p>
    <w:p w14:paraId="198A6DCE"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sign-off</w:t>
      </w:r>
      <w:r>
        <w:rPr>
          <w:rFonts w:ascii="Arial" w:eastAsia="Arial" w:hAnsi="Arial" w:cs="Arial"/>
          <w:sz w:val="20"/>
          <w:szCs w:val="20"/>
        </w:rPr>
        <w:t xml:space="preserve"> </w:t>
      </w:r>
      <w:r>
        <w:rPr>
          <w:rFonts w:ascii="Arial" w:hAnsi="Arial" w:cs="Arial"/>
          <w:sz w:val="20"/>
          <w:szCs w:val="20"/>
        </w:rPr>
        <w:t>when</w:t>
      </w:r>
      <w:r>
        <w:rPr>
          <w:rFonts w:ascii="Arial" w:eastAsia="Arial" w:hAnsi="Arial" w:cs="Arial"/>
          <w:sz w:val="20"/>
          <w:szCs w:val="20"/>
        </w:rPr>
        <w:t xml:space="preserve"> </w:t>
      </w:r>
      <w:r>
        <w:rPr>
          <w:rFonts w:ascii="Arial" w:hAnsi="Arial" w:cs="Arial"/>
          <w:sz w:val="20"/>
          <w:szCs w:val="20"/>
        </w:rPr>
        <w:t>required</w:t>
      </w:r>
      <w:r>
        <w:rPr>
          <w:rFonts w:ascii="Arial" w:eastAsia="Arial" w:hAnsi="Arial" w:cs="Arial"/>
          <w:sz w:val="20"/>
          <w:szCs w:val="20"/>
        </w:rPr>
        <w:t xml:space="preserve"> </w:t>
      </w:r>
      <w:r>
        <w:rPr>
          <w:rFonts w:ascii="Arial" w:hAnsi="Arial" w:cs="Arial"/>
          <w:sz w:val="20"/>
          <w:szCs w:val="20"/>
        </w:rPr>
        <w:t>by</w:t>
      </w:r>
      <w:r>
        <w:rPr>
          <w:rFonts w:ascii="Arial" w:eastAsia="Arial" w:hAnsi="Arial" w:cs="Arial"/>
          <w:sz w:val="20"/>
          <w:szCs w:val="20"/>
        </w:rPr>
        <w:t xml:space="preserve"> </w:t>
      </w:r>
      <w:r>
        <w:rPr>
          <w:rFonts w:ascii="Arial" w:hAnsi="Arial" w:cs="Arial"/>
          <w:sz w:val="20"/>
          <w:szCs w:val="20"/>
        </w:rPr>
        <w:t>that</w:t>
      </w:r>
      <w:r>
        <w:rPr>
          <w:rFonts w:ascii="Arial" w:eastAsia="Arial" w:hAnsi="Arial" w:cs="Arial"/>
          <w:sz w:val="20"/>
          <w:szCs w:val="20"/>
        </w:rPr>
        <w:t xml:space="preserve"> </w:t>
      </w:r>
      <w:r>
        <w:rPr>
          <w:rFonts w:ascii="Arial" w:hAnsi="Arial" w:cs="Arial"/>
          <w:sz w:val="20"/>
          <w:szCs w:val="20"/>
        </w:rPr>
        <w:t>agency</w:t>
      </w:r>
    </w:p>
    <w:p w14:paraId="198A6DCF"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Additional</w:t>
      </w:r>
      <w:r>
        <w:rPr>
          <w:rFonts w:ascii="Arial" w:eastAsia="Arial" w:hAnsi="Arial" w:cs="Arial"/>
          <w:sz w:val="20"/>
          <w:szCs w:val="20"/>
        </w:rPr>
        <w:t xml:space="preserve"> </w:t>
      </w:r>
      <w:r>
        <w:rPr>
          <w:rFonts w:ascii="Arial" w:hAnsi="Arial" w:cs="Arial"/>
          <w:sz w:val="20"/>
          <w:szCs w:val="20"/>
        </w:rPr>
        <w:t>invitees</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MAPP meeting</w:t>
      </w:r>
    </w:p>
    <w:p w14:paraId="198A6DD0" w14:textId="77777777" w:rsidR="00F2123B" w:rsidRDefault="00F2123B">
      <w:pPr>
        <w:spacing w:line="280" w:lineRule="atLeast"/>
        <w:rPr>
          <w:rFonts w:ascii="Arial" w:hAnsi="Arial" w:cs="Arial"/>
          <w:sz w:val="20"/>
          <w:szCs w:val="20"/>
        </w:rPr>
      </w:pPr>
    </w:p>
    <w:p w14:paraId="198A6DD1" w14:textId="77777777" w:rsidR="00F2123B" w:rsidRDefault="00200CFB">
      <w:pPr>
        <w:spacing w:line="280" w:lineRule="atLeast"/>
        <w:rPr>
          <w:rFonts w:ascii="Arial" w:hAnsi="Arial" w:cs="Arial"/>
          <w:b/>
        </w:rPr>
      </w:pPr>
      <w:r>
        <w:rPr>
          <w:rFonts w:ascii="Arial" w:hAnsi="Arial" w:cs="Arial"/>
          <w:b/>
        </w:rPr>
        <w:t>Minutes</w:t>
      </w:r>
    </w:p>
    <w:p w14:paraId="198A6DD2"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identification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one</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category</w:t>
      </w:r>
    </w:p>
    <w:p w14:paraId="198A6DD3"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p>
    <w:p w14:paraId="198A6DD4"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name,</w:t>
      </w:r>
      <w:r>
        <w:rPr>
          <w:rFonts w:ascii="Arial" w:eastAsia="Arial" w:hAnsi="Arial" w:cs="Arial"/>
          <w:sz w:val="20"/>
          <w:szCs w:val="20"/>
        </w:rPr>
        <w:t xml:space="preserve"> </w:t>
      </w:r>
      <w:r>
        <w:rPr>
          <w:rFonts w:ascii="Arial" w:hAnsi="Arial" w:cs="Arial"/>
          <w:sz w:val="20"/>
          <w:szCs w:val="20"/>
        </w:rPr>
        <w:t>First</w:t>
      </w:r>
      <w:r>
        <w:rPr>
          <w:rFonts w:ascii="Arial" w:eastAsia="Arial" w:hAnsi="Arial" w:cs="Arial"/>
          <w:sz w:val="20"/>
          <w:szCs w:val="20"/>
        </w:rPr>
        <w:t xml:space="preserve"> </w:t>
      </w:r>
      <w:r>
        <w:rPr>
          <w:rFonts w:ascii="Arial" w:hAnsi="Arial" w:cs="Arial"/>
          <w:sz w:val="20"/>
          <w:szCs w:val="20"/>
        </w:rPr>
        <w:t>name</w:t>
      </w:r>
    </w:p>
    <w:p w14:paraId="198A6DD5"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birth</w:t>
      </w:r>
    </w:p>
    <w:p w14:paraId="198A6DD6"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Aliases</w:t>
      </w:r>
      <w:r>
        <w:rPr>
          <w:rFonts w:ascii="Arial" w:eastAsia="Arial" w:hAnsi="Arial" w:cs="Arial"/>
          <w:sz w:val="20"/>
          <w:szCs w:val="20"/>
        </w:rPr>
        <w:t xml:space="preserve"> </w:t>
      </w:r>
      <w:r>
        <w:rPr>
          <w:rFonts w:ascii="Arial" w:hAnsi="Arial" w:cs="Arial"/>
          <w:sz w:val="20"/>
          <w:szCs w:val="20"/>
        </w:rPr>
        <w:t>including</w:t>
      </w:r>
      <w:r>
        <w:rPr>
          <w:rFonts w:ascii="Arial" w:eastAsia="Arial" w:hAnsi="Arial" w:cs="Arial"/>
          <w:sz w:val="20"/>
          <w:szCs w:val="20"/>
        </w:rPr>
        <w:t xml:space="preserve"> </w:t>
      </w:r>
      <w:r>
        <w:rPr>
          <w:rFonts w:ascii="Arial" w:hAnsi="Arial" w:cs="Arial"/>
          <w:sz w:val="20"/>
          <w:szCs w:val="20"/>
        </w:rPr>
        <w:t>nicknames</w:t>
      </w:r>
    </w:p>
    <w:p w14:paraId="198A6DD7"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number</w:t>
      </w:r>
    </w:p>
    <w:p w14:paraId="198A6DD8"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Last</w:t>
      </w:r>
      <w:r>
        <w:rPr>
          <w:rFonts w:ascii="Arial" w:eastAsia="Arial" w:hAnsi="Arial" w:cs="Arial"/>
          <w:sz w:val="20"/>
          <w:szCs w:val="20"/>
        </w:rPr>
        <w:t xml:space="preserve"> </w:t>
      </w:r>
      <w:r>
        <w:rPr>
          <w:rFonts w:ascii="Arial" w:hAnsi="Arial" w:cs="Arial"/>
          <w:sz w:val="20"/>
          <w:szCs w:val="20"/>
        </w:rPr>
        <w:t>known</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before</w:t>
      </w:r>
      <w:r>
        <w:rPr>
          <w:rFonts w:ascii="Arial" w:eastAsia="Arial" w:hAnsi="Arial" w:cs="Arial"/>
          <w:sz w:val="20"/>
          <w:szCs w:val="20"/>
        </w:rPr>
        <w:t xml:space="preserve"> </w:t>
      </w:r>
      <w:r>
        <w:rPr>
          <w:rFonts w:ascii="Arial" w:hAnsi="Arial" w:cs="Arial"/>
          <w:sz w:val="20"/>
          <w:szCs w:val="20"/>
        </w:rPr>
        <w:t>imprisonment</w:t>
      </w:r>
    </w:p>
    <w:p w14:paraId="198A6DD9"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Proposed</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address</w:t>
      </w:r>
    </w:p>
    <w:p w14:paraId="198A6DDA"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Current</w:t>
      </w:r>
      <w:r>
        <w:rPr>
          <w:rFonts w:ascii="Arial" w:eastAsia="Arial" w:hAnsi="Arial" w:cs="Arial"/>
          <w:sz w:val="20"/>
          <w:szCs w:val="20"/>
        </w:rPr>
        <w:t xml:space="preserve"> </w:t>
      </w:r>
      <w:r>
        <w:rPr>
          <w:rFonts w:ascii="Arial" w:hAnsi="Arial" w:cs="Arial"/>
          <w:sz w:val="20"/>
          <w:szCs w:val="20"/>
        </w:rPr>
        <w:t>address</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community</w:t>
      </w:r>
    </w:p>
    <w:p w14:paraId="198A6DDB" w14:textId="77777777" w:rsidR="00F2123B" w:rsidRDefault="00200CFB" w:rsidP="00AD2BEF">
      <w:pPr>
        <w:pStyle w:val="ListParagraph"/>
        <w:numPr>
          <w:ilvl w:val="1"/>
          <w:numId w:val="38"/>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Gender</w:t>
      </w:r>
    </w:p>
    <w:p w14:paraId="198A6DDC" w14:textId="77777777" w:rsidR="00F2123B" w:rsidRDefault="00200CFB" w:rsidP="00AD2BEF">
      <w:pPr>
        <w:pStyle w:val="ListParagraph"/>
        <w:numPr>
          <w:ilvl w:val="1"/>
          <w:numId w:val="38"/>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Ethnicity</w:t>
      </w:r>
    </w:p>
    <w:p w14:paraId="198A6DDD"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PNC</w:t>
      </w:r>
      <w:r>
        <w:rPr>
          <w:rFonts w:ascii="Arial" w:eastAsia="Arial" w:hAnsi="Arial" w:cs="Arial"/>
          <w:sz w:val="20"/>
          <w:szCs w:val="20"/>
        </w:rPr>
        <w:t xml:space="preserve"> </w:t>
      </w:r>
      <w:r>
        <w:rPr>
          <w:rFonts w:ascii="Arial" w:hAnsi="Arial" w:cs="Arial"/>
          <w:sz w:val="20"/>
          <w:szCs w:val="20"/>
        </w:rPr>
        <w:t>ID</w:t>
      </w:r>
    </w:p>
    <w:p w14:paraId="198A6DDE"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ViSOR</w:t>
      </w:r>
      <w:r>
        <w:rPr>
          <w:rFonts w:ascii="Arial" w:eastAsia="Arial" w:hAnsi="Arial" w:cs="Arial"/>
          <w:sz w:val="20"/>
          <w:szCs w:val="20"/>
        </w:rPr>
        <w:t xml:space="preserve"> </w:t>
      </w:r>
      <w:r>
        <w:rPr>
          <w:rFonts w:ascii="Arial" w:hAnsi="Arial" w:cs="Arial"/>
          <w:sz w:val="20"/>
          <w:szCs w:val="20"/>
        </w:rPr>
        <w:t>reference</w:t>
      </w:r>
      <w:r>
        <w:rPr>
          <w:rFonts w:ascii="Arial" w:eastAsia="Arial" w:hAnsi="Arial" w:cs="Arial"/>
          <w:sz w:val="20"/>
          <w:szCs w:val="20"/>
        </w:rPr>
        <w:t xml:space="preserve"> </w:t>
      </w:r>
      <w:r>
        <w:rPr>
          <w:rFonts w:ascii="Arial" w:hAnsi="Arial" w:cs="Arial"/>
          <w:sz w:val="20"/>
          <w:szCs w:val="20"/>
        </w:rPr>
        <w:t>(must</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all</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offenders)</w:t>
      </w:r>
    </w:p>
    <w:p w14:paraId="198A6DDF"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unique</w:t>
      </w:r>
      <w:r>
        <w:rPr>
          <w:rFonts w:ascii="Arial" w:eastAsia="Arial" w:hAnsi="Arial" w:cs="Arial"/>
          <w:sz w:val="20"/>
          <w:szCs w:val="20"/>
        </w:rPr>
        <w:t xml:space="preserve"> </w:t>
      </w:r>
      <w:r>
        <w:rPr>
          <w:rFonts w:ascii="Arial" w:hAnsi="Arial" w:cs="Arial"/>
          <w:sz w:val="20"/>
          <w:szCs w:val="20"/>
        </w:rPr>
        <w:t>identifier</w:t>
      </w:r>
    </w:p>
    <w:p w14:paraId="198A6DE0"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r>
        <w:rPr>
          <w:rFonts w:ascii="Arial" w:eastAsia="Arial" w:hAnsi="Arial" w:cs="Arial"/>
          <w:sz w:val="20"/>
          <w:szCs w:val="20"/>
        </w:rPr>
        <w:t xml:space="preserve"> </w:t>
      </w:r>
      <w:r>
        <w:rPr>
          <w:rFonts w:ascii="Arial" w:hAnsi="Arial" w:cs="Arial"/>
          <w:sz w:val="20"/>
          <w:szCs w:val="20"/>
        </w:rPr>
        <w:t>information</w:t>
      </w:r>
    </w:p>
    <w:p w14:paraId="198A6DE1"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relevant</w:t>
      </w:r>
      <w:r>
        <w:rPr>
          <w:rFonts w:ascii="Arial" w:eastAsia="Arial" w:hAnsi="Arial" w:cs="Arial"/>
          <w:sz w:val="20"/>
          <w:szCs w:val="20"/>
        </w:rPr>
        <w:t xml:space="preserve"> </w:t>
      </w:r>
      <w:r>
        <w:rPr>
          <w:rFonts w:ascii="Arial" w:hAnsi="Arial" w:cs="Arial"/>
          <w:sz w:val="20"/>
          <w:szCs w:val="20"/>
        </w:rPr>
        <w:t>caution</w:t>
      </w:r>
    </w:p>
    <w:p w14:paraId="198A6DE2"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conviction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caution</w:t>
      </w:r>
    </w:p>
    <w:p w14:paraId="198A6DE3" w14:textId="77777777" w:rsidR="00F2123B" w:rsidRDefault="00200CFB" w:rsidP="00AD2BEF">
      <w:pPr>
        <w:pStyle w:val="ListParagraph"/>
        <w:numPr>
          <w:ilvl w:val="1"/>
          <w:numId w:val="38"/>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Sentence</w:t>
      </w:r>
    </w:p>
    <w:p w14:paraId="198A6DE4"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Brief</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offences</w:t>
      </w:r>
    </w:p>
    <w:p w14:paraId="198A6DE5"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dates</w:t>
      </w:r>
    </w:p>
    <w:p w14:paraId="198A6DE6"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earliest</w:t>
      </w:r>
      <w:r>
        <w:rPr>
          <w:rFonts w:ascii="Arial" w:eastAsia="Arial" w:hAnsi="Arial" w:cs="Arial"/>
          <w:sz w:val="20"/>
          <w:szCs w:val="20"/>
        </w:rPr>
        <w:t xml:space="preserve"> </w:t>
      </w: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date</w:t>
      </w:r>
    </w:p>
    <w:p w14:paraId="198A6DE7"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start</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end</w:t>
      </w:r>
      <w:r>
        <w:rPr>
          <w:rFonts w:ascii="Arial" w:eastAsia="Arial" w:hAnsi="Arial" w:cs="Arial"/>
          <w:sz w:val="20"/>
          <w:szCs w:val="20"/>
        </w:rPr>
        <w:t xml:space="preserve"> </w:t>
      </w:r>
      <w:r>
        <w:rPr>
          <w:rFonts w:ascii="Arial" w:hAnsi="Arial" w:cs="Arial"/>
          <w:sz w:val="20"/>
          <w:szCs w:val="20"/>
        </w:rPr>
        <w:t>date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order</w:t>
      </w:r>
    </w:p>
    <w:p w14:paraId="198A6DE8" w14:textId="77777777" w:rsidR="00F2123B" w:rsidRDefault="00200CFB" w:rsidP="00AD2BEF">
      <w:pPr>
        <w:pStyle w:val="ListParagraph"/>
        <w:numPr>
          <w:ilvl w:val="0"/>
          <w:numId w:val="37"/>
        </w:numPr>
        <w:tabs>
          <w:tab w:val="left" w:pos="0"/>
        </w:tabs>
        <w:spacing w:after="0" w:line="280" w:lineRule="atLeast"/>
        <w:ind w:left="720"/>
      </w:pPr>
      <w:r>
        <w:rPr>
          <w:rFonts w:ascii="Arial" w:eastAsia="Arial" w:hAnsi="Arial" w:cs="Arial"/>
          <w:sz w:val="20"/>
          <w:szCs w:val="20"/>
        </w:rPr>
        <w:t xml:space="preserve"> </w:t>
      </w: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E9"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Scores</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tools</w:t>
      </w:r>
      <w:r>
        <w:rPr>
          <w:rFonts w:ascii="Arial" w:eastAsia="Arial" w:hAnsi="Arial" w:cs="Arial"/>
          <w:sz w:val="20"/>
          <w:szCs w:val="20"/>
        </w:rPr>
        <w:t xml:space="preserve"> </w:t>
      </w:r>
      <w:r>
        <w:rPr>
          <w:rFonts w:ascii="Arial" w:hAnsi="Arial" w:cs="Arial"/>
          <w:sz w:val="20"/>
          <w:szCs w:val="20"/>
        </w:rPr>
        <w:t>used</w:t>
      </w:r>
    </w:p>
    <w:p w14:paraId="198A6DEA"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EB"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Summary</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Lead</w:t>
      </w:r>
      <w:r>
        <w:rPr>
          <w:rFonts w:ascii="Arial" w:eastAsia="Arial" w:hAnsi="Arial" w:cs="Arial"/>
          <w:sz w:val="20"/>
          <w:szCs w:val="20"/>
        </w:rPr>
        <w:t xml:space="preserve"> </w:t>
      </w:r>
      <w:r>
        <w:rPr>
          <w:rFonts w:ascii="Arial" w:hAnsi="Arial" w:cs="Arial"/>
          <w:sz w:val="20"/>
          <w:szCs w:val="20"/>
        </w:rPr>
        <w:t>Agency</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DEC"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Concerns</w:t>
      </w:r>
    </w:p>
    <w:p w14:paraId="198A6DED"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index</w:t>
      </w:r>
      <w:r>
        <w:rPr>
          <w:rFonts w:ascii="Arial" w:eastAsia="Arial" w:hAnsi="Arial" w:cs="Arial"/>
          <w:sz w:val="20"/>
          <w:szCs w:val="20"/>
        </w:rPr>
        <w:t xml:space="preserve"> </w:t>
      </w:r>
      <w:r>
        <w:rPr>
          <w:rFonts w:ascii="Arial" w:hAnsi="Arial" w:cs="Arial"/>
          <w:sz w:val="20"/>
          <w:szCs w:val="20"/>
        </w:rPr>
        <w:t>offence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potential</w:t>
      </w:r>
      <w:r>
        <w:rPr>
          <w:rFonts w:ascii="Arial" w:eastAsia="Arial" w:hAnsi="Arial" w:cs="Arial"/>
          <w:sz w:val="20"/>
          <w:szCs w:val="20"/>
        </w:rPr>
        <w:t xml:space="preserve"> </w:t>
      </w:r>
      <w:r>
        <w:rPr>
          <w:rFonts w:ascii="Arial" w:hAnsi="Arial" w:cs="Arial"/>
          <w:sz w:val="20"/>
          <w:szCs w:val="20"/>
        </w:rPr>
        <w:t>victims</w:t>
      </w:r>
    </w:p>
    <w:p w14:paraId="198A6DEE" w14:textId="77777777" w:rsidR="00F2123B" w:rsidRDefault="00200CFB" w:rsidP="00AD2BEF">
      <w:pPr>
        <w:pStyle w:val="ListParagraph"/>
        <w:numPr>
          <w:ilvl w:val="1"/>
          <w:numId w:val="38"/>
        </w:numPr>
        <w:tabs>
          <w:tab w:val="left" w:pos="903"/>
          <w:tab w:val="left" w:pos="1263"/>
        </w:tabs>
        <w:spacing w:after="0" w:line="280" w:lineRule="atLeast"/>
        <w:ind w:left="1263"/>
        <w:rPr>
          <w:rFonts w:ascii="Arial" w:hAnsi="Arial" w:cs="Arial"/>
          <w:sz w:val="20"/>
          <w:szCs w:val="20"/>
        </w:rPr>
      </w:pPr>
      <w:r>
        <w:rPr>
          <w:rFonts w:ascii="Arial" w:hAnsi="Arial" w:cs="Arial"/>
          <w:sz w:val="20"/>
          <w:szCs w:val="20"/>
        </w:rPr>
        <w:t>MARAC involvement</w:t>
      </w:r>
    </w:p>
    <w:p w14:paraId="198A6DEF" w14:textId="77777777" w:rsidR="00F2123B" w:rsidRDefault="00200CFB" w:rsidP="00AD2BEF">
      <w:pPr>
        <w:pStyle w:val="ListParagraph"/>
        <w:numPr>
          <w:ilvl w:val="0"/>
          <w:numId w:val="37"/>
        </w:numPr>
        <w:tabs>
          <w:tab w:val="left" w:pos="0"/>
        </w:tabs>
        <w:spacing w:after="0" w:line="280" w:lineRule="atLeast"/>
        <w:ind w:left="720"/>
        <w:rPr>
          <w:rFonts w:ascii="Arial" w:hAnsi="Arial" w:cs="Arial"/>
          <w:sz w:val="20"/>
          <w:szCs w:val="20"/>
        </w:rPr>
      </w:pPr>
      <w:r>
        <w:rPr>
          <w:rFonts w:ascii="Arial" w:hAnsi="Arial" w:cs="Arial"/>
          <w:sz w:val="20"/>
          <w:szCs w:val="20"/>
        </w:rPr>
        <w:t>Safeguarding</w:t>
      </w:r>
    </w:p>
    <w:p w14:paraId="198A6DF0"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child</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concerns</w:t>
      </w:r>
    </w:p>
    <w:p w14:paraId="198A6DF1"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Identify</w:t>
      </w:r>
      <w:r>
        <w:rPr>
          <w:rFonts w:ascii="Arial" w:eastAsia="Arial" w:hAnsi="Arial" w:cs="Arial"/>
          <w:sz w:val="20"/>
          <w:szCs w:val="20"/>
        </w:rPr>
        <w:t xml:space="preserve"> </w:t>
      </w:r>
      <w:r>
        <w:rPr>
          <w:rFonts w:ascii="Arial" w:hAnsi="Arial" w:cs="Arial"/>
          <w:sz w:val="20"/>
          <w:szCs w:val="20"/>
        </w:rPr>
        <w:t>any</w:t>
      </w:r>
      <w:r>
        <w:rPr>
          <w:rFonts w:ascii="Arial" w:eastAsia="Arial" w:hAnsi="Arial" w:cs="Arial"/>
          <w:sz w:val="20"/>
          <w:szCs w:val="20"/>
        </w:rPr>
        <w:t xml:space="preserve"> </w:t>
      </w:r>
      <w:r>
        <w:rPr>
          <w:rFonts w:ascii="Arial" w:hAnsi="Arial" w:cs="Arial"/>
          <w:sz w:val="20"/>
          <w:szCs w:val="20"/>
        </w:rPr>
        <w:t>vulnerable</w:t>
      </w:r>
      <w:r>
        <w:rPr>
          <w:rFonts w:ascii="Arial" w:eastAsia="Arial" w:hAnsi="Arial" w:cs="Arial"/>
          <w:sz w:val="20"/>
          <w:szCs w:val="20"/>
        </w:rPr>
        <w:t xml:space="preserve"> </w:t>
      </w:r>
      <w:r>
        <w:rPr>
          <w:rFonts w:ascii="Arial" w:hAnsi="Arial" w:cs="Arial"/>
          <w:sz w:val="20"/>
          <w:szCs w:val="20"/>
        </w:rPr>
        <w:t>adult</w:t>
      </w:r>
      <w:r>
        <w:rPr>
          <w:rFonts w:ascii="Arial" w:eastAsia="Arial" w:hAnsi="Arial" w:cs="Arial"/>
          <w:sz w:val="20"/>
          <w:szCs w:val="20"/>
        </w:rPr>
        <w:t xml:space="preserve"> </w:t>
      </w:r>
      <w:r>
        <w:rPr>
          <w:rFonts w:ascii="Arial" w:hAnsi="Arial" w:cs="Arial"/>
          <w:sz w:val="20"/>
          <w:szCs w:val="20"/>
        </w:rPr>
        <w:t>concerns</w:t>
      </w:r>
      <w:r>
        <w:rPr>
          <w:rFonts w:ascii="Arial" w:eastAsia="Arial" w:hAnsi="Arial" w:cs="Arial"/>
          <w:sz w:val="20"/>
          <w:szCs w:val="20"/>
        </w:rPr>
        <w:t xml:space="preserve"> </w:t>
      </w:r>
    </w:p>
    <w:p w14:paraId="198A6DF2"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actions</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if</w:t>
      </w:r>
      <w:r>
        <w:rPr>
          <w:rFonts w:ascii="Arial" w:eastAsia="Arial" w:hAnsi="Arial" w:cs="Arial"/>
          <w:sz w:val="20"/>
          <w:szCs w:val="20"/>
        </w:rPr>
        <w:t xml:space="preserve"> </w:t>
      </w:r>
      <w:r>
        <w:rPr>
          <w:rFonts w:ascii="Arial" w:hAnsi="Arial" w:cs="Arial"/>
          <w:sz w:val="20"/>
          <w:szCs w:val="20"/>
        </w:rPr>
        <w:t>not</w:t>
      </w:r>
      <w:r>
        <w:rPr>
          <w:rFonts w:ascii="Arial" w:eastAsia="Arial" w:hAnsi="Arial" w:cs="Arial"/>
          <w:sz w:val="20"/>
          <w:szCs w:val="20"/>
        </w:rPr>
        <w:t xml:space="preserve"> </w:t>
      </w:r>
      <w:r>
        <w:rPr>
          <w:rFonts w:ascii="Arial" w:hAnsi="Arial" w:cs="Arial"/>
          <w:sz w:val="20"/>
          <w:szCs w:val="20"/>
        </w:rPr>
        <w:t>completed</w:t>
      </w:r>
      <w:r>
        <w:rPr>
          <w:rFonts w:ascii="Arial" w:eastAsia="Arial" w:hAnsi="Arial" w:cs="Arial"/>
          <w:sz w:val="20"/>
          <w:szCs w:val="20"/>
        </w:rPr>
        <w:t xml:space="preserve"> </w:t>
      </w:r>
      <w:r>
        <w:rPr>
          <w:rFonts w:ascii="Arial" w:hAnsi="Arial" w:cs="Arial"/>
          <w:sz w:val="20"/>
          <w:szCs w:val="20"/>
        </w:rPr>
        <w:t>then</w:t>
      </w:r>
      <w:r>
        <w:rPr>
          <w:rFonts w:ascii="Arial" w:eastAsia="Arial" w:hAnsi="Arial" w:cs="Arial"/>
          <w:sz w:val="20"/>
          <w:szCs w:val="20"/>
        </w:rPr>
        <w:t xml:space="preserve"> </w:t>
      </w:r>
      <w:r>
        <w:rPr>
          <w:rFonts w:ascii="Arial" w:hAnsi="Arial" w:cs="Arial"/>
          <w:sz w:val="20"/>
          <w:szCs w:val="20"/>
        </w:rPr>
        <w:t>give</w:t>
      </w:r>
      <w:r>
        <w:rPr>
          <w:rFonts w:ascii="Arial" w:eastAsia="Arial" w:hAnsi="Arial" w:cs="Arial"/>
          <w:sz w:val="20"/>
          <w:szCs w:val="20"/>
        </w:rPr>
        <w:t xml:space="preserve"> </w:t>
      </w:r>
      <w:r>
        <w:rPr>
          <w:rFonts w:ascii="Arial" w:hAnsi="Arial" w:cs="Arial"/>
          <w:sz w:val="20"/>
          <w:szCs w:val="20"/>
        </w:rPr>
        <w:t>reason)</w:t>
      </w:r>
    </w:p>
    <w:p w14:paraId="198A6DF3"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from</w:t>
      </w:r>
      <w:r>
        <w:rPr>
          <w:rFonts w:ascii="Arial" w:eastAsia="Arial" w:hAnsi="Arial" w:cs="Arial"/>
          <w:sz w:val="20"/>
          <w:szCs w:val="20"/>
        </w:rPr>
        <w:t xml:space="preserve"> </w:t>
      </w:r>
      <w:r>
        <w:rPr>
          <w:rFonts w:ascii="Arial" w:hAnsi="Arial" w:cs="Arial"/>
          <w:sz w:val="20"/>
          <w:szCs w:val="20"/>
        </w:rPr>
        <w:t>agencies</w:t>
      </w:r>
    </w:p>
    <w:p w14:paraId="198A6DF4"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p w14:paraId="198A6DF5"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agreed</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p>
    <w:p w14:paraId="198A6DF6"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revision</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harm</w:t>
      </w:r>
      <w:r>
        <w:rPr>
          <w:rFonts w:ascii="Arial" w:eastAsia="Arial" w:hAnsi="Arial" w:cs="Arial"/>
          <w:sz w:val="20"/>
          <w:szCs w:val="20"/>
        </w:rPr>
        <w:t xml:space="preserve"> </w:t>
      </w:r>
      <w:r>
        <w:rPr>
          <w:rFonts w:ascii="Arial" w:hAnsi="Arial" w:cs="Arial"/>
          <w:sz w:val="20"/>
          <w:szCs w:val="20"/>
        </w:rPr>
        <w:t>posed</w:t>
      </w:r>
    </w:p>
    <w:p w14:paraId="198A6DF7" w14:textId="77777777" w:rsidR="00F2123B" w:rsidRDefault="00200CFB" w:rsidP="00AD2BEF">
      <w:pPr>
        <w:pStyle w:val="ListParagraph"/>
        <w:numPr>
          <w:ilvl w:val="0"/>
          <w:numId w:val="37"/>
        </w:numPr>
        <w:tabs>
          <w:tab w:val="left" w:pos="0"/>
        </w:tabs>
        <w:spacing w:after="0" w:line="280" w:lineRule="atLeast"/>
        <w:ind w:left="720"/>
        <w:rPr>
          <w:rFonts w:ascii="Arial" w:hAnsi="Arial" w:cs="Arial"/>
          <w:sz w:val="20"/>
          <w:szCs w:val="20"/>
        </w:rPr>
      </w:pPr>
      <w:r>
        <w:rPr>
          <w:rFonts w:ascii="Arial" w:hAnsi="Arial" w:cs="Arial"/>
          <w:sz w:val="20"/>
          <w:szCs w:val="20"/>
        </w:rPr>
        <w:t>Disclosure</w:t>
      </w:r>
    </w:p>
    <w:p w14:paraId="198A6DF8"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a</w:t>
      </w:r>
      <w:r>
        <w:rPr>
          <w:rFonts w:ascii="Arial" w:eastAsia="Arial" w:hAnsi="Arial" w:cs="Arial"/>
          <w:sz w:val="20"/>
          <w:szCs w:val="20"/>
        </w:rPr>
        <w:t xml:space="preserve"> </w:t>
      </w:r>
      <w:r>
        <w:rPr>
          <w:rFonts w:ascii="Arial" w:hAnsi="Arial" w:cs="Arial"/>
          <w:sz w:val="20"/>
          <w:szCs w:val="20"/>
        </w:rPr>
        <w:t>disclosure</w:t>
      </w:r>
      <w:r>
        <w:rPr>
          <w:rFonts w:ascii="Arial" w:eastAsia="Arial" w:hAnsi="Arial" w:cs="Arial"/>
          <w:sz w:val="20"/>
          <w:szCs w:val="20"/>
        </w:rPr>
        <w:t xml:space="preserve"> </w:t>
      </w:r>
      <w:r>
        <w:rPr>
          <w:rFonts w:ascii="Arial" w:hAnsi="Arial" w:cs="Arial"/>
          <w:sz w:val="20"/>
          <w:szCs w:val="20"/>
        </w:rPr>
        <w:t>going</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made.</w:t>
      </w:r>
      <w:r>
        <w:rPr>
          <w:rFonts w:ascii="Arial" w:eastAsia="Arial" w:hAnsi="Arial" w:cs="Arial"/>
          <w:sz w:val="20"/>
          <w:szCs w:val="20"/>
        </w:rPr>
        <w:t xml:space="preserve">  </w:t>
      </w:r>
      <w:r>
        <w:rPr>
          <w:rFonts w:ascii="Arial" w:hAnsi="Arial" w:cs="Arial"/>
          <w:sz w:val="20"/>
          <w:szCs w:val="20"/>
        </w:rPr>
        <w:t>Yes,</w:t>
      </w:r>
      <w:r>
        <w:rPr>
          <w:rFonts w:ascii="Arial" w:eastAsia="Arial" w:hAnsi="Arial" w:cs="Arial"/>
          <w:sz w:val="20"/>
          <w:szCs w:val="20"/>
        </w:rPr>
        <w:t xml:space="preserve"> </w:t>
      </w:r>
      <w:r>
        <w:rPr>
          <w:rFonts w:ascii="Arial" w:hAnsi="Arial" w:cs="Arial"/>
          <w:sz w:val="20"/>
          <w:szCs w:val="20"/>
        </w:rPr>
        <w:t>give</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No,</w:t>
      </w:r>
      <w:r>
        <w:rPr>
          <w:rFonts w:ascii="Arial" w:eastAsia="Arial" w:hAnsi="Arial" w:cs="Arial"/>
          <w:sz w:val="20"/>
          <w:szCs w:val="20"/>
        </w:rPr>
        <w:t xml:space="preserve"> </w:t>
      </w:r>
      <w:r>
        <w:rPr>
          <w:rFonts w:ascii="Arial" w:hAnsi="Arial" w:cs="Arial"/>
          <w:sz w:val="20"/>
          <w:szCs w:val="20"/>
        </w:rPr>
        <w:t>give</w:t>
      </w:r>
      <w:r>
        <w:rPr>
          <w:rFonts w:ascii="Arial" w:eastAsia="Arial" w:hAnsi="Arial" w:cs="Arial"/>
          <w:sz w:val="20"/>
          <w:szCs w:val="20"/>
        </w:rPr>
        <w:t xml:space="preserve"> </w:t>
      </w:r>
      <w:r>
        <w:rPr>
          <w:rFonts w:ascii="Arial" w:hAnsi="Arial" w:cs="Arial"/>
          <w:sz w:val="20"/>
          <w:szCs w:val="20"/>
        </w:rPr>
        <w:t>details</w:t>
      </w:r>
      <w:r>
        <w:rPr>
          <w:rFonts w:ascii="Arial" w:eastAsia="Arial" w:hAnsi="Arial" w:cs="Arial"/>
          <w:sz w:val="20"/>
          <w:szCs w:val="20"/>
        </w:rPr>
        <w:t xml:space="preserve"> </w:t>
      </w:r>
    </w:p>
    <w:p w14:paraId="198A6DF9"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How</w:t>
      </w:r>
      <w:r>
        <w:rPr>
          <w:rFonts w:ascii="Arial" w:eastAsia="Arial" w:hAnsi="Arial" w:cs="Arial"/>
          <w:sz w:val="20"/>
          <w:szCs w:val="20"/>
        </w:rPr>
        <w:t xml:space="preserve"> </w:t>
      </w:r>
      <w:r>
        <w:rPr>
          <w:rFonts w:ascii="Arial" w:hAnsi="Arial" w:cs="Arial"/>
          <w:sz w:val="20"/>
          <w:szCs w:val="20"/>
        </w:rPr>
        <w:t>will</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be</w:t>
      </w:r>
      <w:r>
        <w:rPr>
          <w:rFonts w:ascii="Arial" w:eastAsia="Arial" w:hAnsi="Arial" w:cs="Arial"/>
          <w:sz w:val="20"/>
          <w:szCs w:val="20"/>
        </w:rPr>
        <w:t xml:space="preserve"> </w:t>
      </w:r>
      <w:r>
        <w:rPr>
          <w:rFonts w:ascii="Arial" w:hAnsi="Arial" w:cs="Arial"/>
          <w:sz w:val="20"/>
          <w:szCs w:val="20"/>
        </w:rPr>
        <w:t>done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the</w:t>
      </w:r>
      <w:r>
        <w:rPr>
          <w:rFonts w:ascii="Arial" w:eastAsia="Arial" w:hAnsi="Arial" w:cs="Arial"/>
          <w:sz w:val="20"/>
          <w:szCs w:val="20"/>
        </w:rPr>
        <w:t xml:space="preserve"> </w:t>
      </w:r>
      <w:r>
        <w:rPr>
          <w:rFonts w:ascii="Arial" w:hAnsi="Arial" w:cs="Arial"/>
          <w:sz w:val="20"/>
          <w:szCs w:val="20"/>
        </w:rPr>
        <w:t>date</w:t>
      </w:r>
    </w:p>
    <w:p w14:paraId="198A6DFA"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Press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Media</w:t>
      </w:r>
      <w:r>
        <w:rPr>
          <w:rFonts w:ascii="Arial" w:eastAsia="Arial" w:hAnsi="Arial" w:cs="Arial"/>
          <w:sz w:val="20"/>
          <w:szCs w:val="20"/>
        </w:rPr>
        <w:t xml:space="preserve"> </w:t>
      </w:r>
      <w:r>
        <w:rPr>
          <w:rFonts w:ascii="Arial" w:hAnsi="Arial" w:cs="Arial"/>
          <w:sz w:val="20"/>
          <w:szCs w:val="20"/>
        </w:rPr>
        <w:t>Handling</w:t>
      </w:r>
    </w:p>
    <w:p w14:paraId="198A6DFB"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Press</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media</w:t>
      </w:r>
      <w:r>
        <w:rPr>
          <w:rFonts w:ascii="Arial" w:eastAsia="Arial" w:hAnsi="Arial" w:cs="Arial"/>
          <w:sz w:val="20"/>
          <w:szCs w:val="20"/>
        </w:rPr>
        <w:t xml:space="preserve"> </w:t>
      </w:r>
      <w:r>
        <w:rPr>
          <w:rFonts w:ascii="Arial" w:hAnsi="Arial" w:cs="Arial"/>
          <w:sz w:val="20"/>
          <w:szCs w:val="20"/>
        </w:rPr>
        <w:t>handling</w:t>
      </w:r>
    </w:p>
    <w:p w14:paraId="198A6DFC"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Record</w:t>
      </w:r>
      <w:r>
        <w:rPr>
          <w:rFonts w:ascii="Arial" w:eastAsia="Arial" w:hAnsi="Arial" w:cs="Arial"/>
          <w:sz w:val="20"/>
          <w:szCs w:val="20"/>
        </w:rPr>
        <w:t xml:space="preserve"> </w:t>
      </w:r>
      <w:r>
        <w:rPr>
          <w:rFonts w:ascii="Arial" w:hAnsi="Arial" w:cs="Arial"/>
          <w:sz w:val="20"/>
          <w:szCs w:val="20"/>
        </w:rPr>
        <w:t>details</w:t>
      </w:r>
    </w:p>
    <w:p w14:paraId="198A6DFD"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MAPP meeting</w:t>
      </w:r>
      <w:r>
        <w:rPr>
          <w:rFonts w:ascii="Arial" w:eastAsia="Arial" w:hAnsi="Arial" w:cs="Arial"/>
          <w:sz w:val="20"/>
          <w:szCs w:val="20"/>
        </w:rPr>
        <w:t xml:space="preserve"> </w:t>
      </w:r>
      <w:r>
        <w:rPr>
          <w:rFonts w:ascii="Arial" w:hAnsi="Arial" w:cs="Arial"/>
          <w:sz w:val="20"/>
          <w:szCs w:val="20"/>
        </w:rPr>
        <w:t>actions</w:t>
      </w:r>
    </w:p>
    <w:p w14:paraId="198A6DFE"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Agency</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specific</w:t>
      </w:r>
      <w:r>
        <w:rPr>
          <w:rFonts w:ascii="Arial" w:eastAsia="Arial" w:hAnsi="Arial" w:cs="Arial"/>
          <w:sz w:val="20"/>
          <w:szCs w:val="20"/>
        </w:rPr>
        <w:t xml:space="preserve"> </w:t>
      </w:r>
      <w:r>
        <w:rPr>
          <w:rFonts w:ascii="Arial" w:hAnsi="Arial" w:cs="Arial"/>
          <w:sz w:val="20"/>
          <w:szCs w:val="20"/>
        </w:rPr>
        <w:t>deadline</w:t>
      </w:r>
    </w:p>
    <w:p w14:paraId="198A6DFF" w14:textId="77777777" w:rsidR="00F2123B" w:rsidRDefault="00200CFB" w:rsidP="00AD2BEF">
      <w:pPr>
        <w:pStyle w:val="ListParagraph"/>
        <w:numPr>
          <w:ilvl w:val="0"/>
          <w:numId w:val="37"/>
        </w:numPr>
        <w:tabs>
          <w:tab w:val="left" w:pos="0"/>
        </w:tabs>
        <w:spacing w:after="0" w:line="280" w:lineRule="atLeast"/>
        <w:ind w:left="720"/>
        <w:rPr>
          <w:rFonts w:ascii="Arial" w:hAnsi="Arial" w:cs="Arial"/>
          <w:sz w:val="20"/>
          <w:szCs w:val="20"/>
        </w:rPr>
      </w:pPr>
      <w:r>
        <w:rPr>
          <w:rFonts w:ascii="Arial" w:hAnsi="Arial" w:cs="Arial"/>
          <w:sz w:val="20"/>
          <w:szCs w:val="20"/>
        </w:rPr>
        <w:t>Conclusion</w:t>
      </w:r>
    </w:p>
    <w:p w14:paraId="198A6E00" w14:textId="77777777" w:rsidR="00F2123B" w:rsidRDefault="00200CFB" w:rsidP="00AD2BEF">
      <w:pPr>
        <w:pStyle w:val="ListParagraph"/>
        <w:numPr>
          <w:ilvl w:val="1"/>
          <w:numId w:val="38"/>
        </w:numPr>
        <w:tabs>
          <w:tab w:val="left" w:pos="903"/>
          <w:tab w:val="left" w:pos="1263"/>
        </w:tabs>
        <w:spacing w:after="0" w:line="280" w:lineRule="atLeast"/>
        <w:ind w:left="1263"/>
      </w:pPr>
      <w:r>
        <w:rPr>
          <w:rFonts w:ascii="Arial" w:hAnsi="Arial" w:cs="Arial"/>
          <w:sz w:val="20"/>
          <w:szCs w:val="20"/>
        </w:rPr>
        <w:t>What</w:t>
      </w:r>
      <w:r>
        <w:rPr>
          <w:rFonts w:ascii="Arial" w:eastAsia="Arial" w:hAnsi="Arial" w:cs="Arial"/>
          <w:sz w:val="20"/>
          <w:szCs w:val="20"/>
        </w:rPr>
        <w:t xml:space="preserve"> </w:t>
      </w:r>
      <w:r>
        <w:rPr>
          <w:rFonts w:ascii="Arial" w:hAnsi="Arial" w:cs="Arial"/>
          <w:sz w:val="20"/>
          <w:szCs w:val="20"/>
        </w:rPr>
        <w:t>level</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MAPPA</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is</w:t>
      </w:r>
      <w:r>
        <w:rPr>
          <w:rFonts w:ascii="Arial" w:eastAsia="Arial" w:hAnsi="Arial" w:cs="Arial"/>
          <w:sz w:val="20"/>
          <w:szCs w:val="20"/>
        </w:rPr>
        <w:t xml:space="preserve"> </w:t>
      </w:r>
      <w:r>
        <w:rPr>
          <w:rFonts w:ascii="Arial" w:hAnsi="Arial" w:cs="Arial"/>
          <w:sz w:val="20"/>
          <w:szCs w:val="20"/>
        </w:rPr>
        <w:t>recommended</w:t>
      </w:r>
      <w:r>
        <w:rPr>
          <w:rFonts w:ascii="Arial" w:eastAsia="Arial" w:hAnsi="Arial" w:cs="Arial"/>
          <w:sz w:val="20"/>
          <w:szCs w:val="20"/>
        </w:rPr>
        <w:t xml:space="preserve"> </w:t>
      </w:r>
      <w:r>
        <w:rPr>
          <w:rFonts w:ascii="Arial" w:hAnsi="Arial" w:cs="Arial"/>
          <w:sz w:val="20"/>
          <w:szCs w:val="20"/>
        </w:rPr>
        <w:t>in</w:t>
      </w:r>
      <w:r>
        <w:rPr>
          <w:rFonts w:ascii="Arial" w:eastAsia="Arial" w:hAnsi="Arial" w:cs="Arial"/>
          <w:sz w:val="20"/>
          <w:szCs w:val="20"/>
        </w:rPr>
        <w:t xml:space="preserve"> </w:t>
      </w:r>
      <w:r>
        <w:rPr>
          <w:rFonts w:ascii="Arial" w:hAnsi="Arial" w:cs="Arial"/>
          <w:sz w:val="20"/>
          <w:szCs w:val="20"/>
        </w:rPr>
        <w:t>this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why</w:t>
      </w:r>
    </w:p>
    <w:p w14:paraId="198A6E01" w14:textId="77777777" w:rsidR="00F2123B" w:rsidRDefault="00200CFB" w:rsidP="00AD2BEF">
      <w:pPr>
        <w:pStyle w:val="ListParagraph"/>
        <w:numPr>
          <w:ilvl w:val="0"/>
          <w:numId w:val="37"/>
        </w:numPr>
        <w:tabs>
          <w:tab w:val="left" w:pos="0"/>
        </w:tabs>
        <w:spacing w:after="0" w:line="280" w:lineRule="atLeast"/>
        <w:ind w:left="720"/>
      </w:pPr>
      <w:r>
        <w:rPr>
          <w:rFonts w:ascii="Arial" w:hAnsi="Arial" w:cs="Arial"/>
          <w:sz w:val="20"/>
          <w:szCs w:val="20"/>
        </w:rPr>
        <w:t>Human</w:t>
      </w:r>
      <w:r>
        <w:rPr>
          <w:rFonts w:ascii="Arial" w:eastAsia="Arial" w:hAnsi="Arial" w:cs="Arial"/>
          <w:sz w:val="20"/>
          <w:szCs w:val="20"/>
        </w:rPr>
        <w:t xml:space="preserve"> </w:t>
      </w:r>
      <w:r>
        <w:rPr>
          <w:rFonts w:ascii="Arial" w:hAnsi="Arial" w:cs="Arial"/>
          <w:sz w:val="20"/>
          <w:szCs w:val="20"/>
        </w:rPr>
        <w:t>Rights</w:t>
      </w:r>
      <w:r>
        <w:rPr>
          <w:rFonts w:ascii="Arial" w:eastAsia="Arial" w:hAnsi="Arial" w:cs="Arial"/>
          <w:sz w:val="20"/>
          <w:szCs w:val="20"/>
        </w:rPr>
        <w:t xml:space="preserve"> </w:t>
      </w:r>
      <w:r>
        <w:rPr>
          <w:rFonts w:ascii="Arial" w:hAnsi="Arial" w:cs="Arial"/>
          <w:sz w:val="20"/>
          <w:szCs w:val="20"/>
        </w:rPr>
        <w:t>Validation.</w:t>
      </w:r>
    </w:p>
    <w:p w14:paraId="198A6E02" w14:textId="77777777" w:rsidR="00F2123B" w:rsidRDefault="00F2123B">
      <w:pPr>
        <w:spacing w:line="280" w:lineRule="atLeast"/>
        <w:ind w:left="543"/>
        <w:rPr>
          <w:rFonts w:ascii="Arial" w:hAnsi="Arial" w:cs="Arial"/>
          <w:sz w:val="20"/>
          <w:szCs w:val="20"/>
        </w:rPr>
      </w:pPr>
    </w:p>
    <w:p w14:paraId="198A6E03" w14:textId="77777777" w:rsidR="00F2123B" w:rsidRDefault="00200CFB">
      <w:pPr>
        <w:spacing w:line="280" w:lineRule="atLeast"/>
        <w:ind w:left="1440"/>
        <w:rPr>
          <w:rFonts w:ascii="Arial" w:eastAsia="Arial" w:hAnsi="Arial" w:cs="Arial"/>
          <w:sz w:val="20"/>
          <w:szCs w:val="20"/>
        </w:rPr>
      </w:pPr>
      <w:r>
        <w:rPr>
          <w:rFonts w:ascii="Arial" w:eastAsia="Arial" w:hAnsi="Arial" w:cs="Arial"/>
          <w:sz w:val="20"/>
          <w:szCs w:val="20"/>
        </w:rPr>
        <w:t xml:space="preserve"> </w:t>
      </w:r>
    </w:p>
    <w:p w14:paraId="198A6E04" w14:textId="77777777" w:rsidR="00F2123B" w:rsidRDefault="00200CFB">
      <w:pPr>
        <w:pageBreakBefore/>
        <w:spacing w:before="240" w:after="240" w:line="280" w:lineRule="atLeast"/>
      </w:pPr>
      <w:r>
        <w:rPr>
          <w:rFonts w:ascii="Arial" w:hAnsi="Arial" w:cs="Arial"/>
          <w:b/>
          <w:sz w:val="36"/>
          <w:szCs w:val="36"/>
        </w:rPr>
        <w:t xml:space="preserve">15 Custody </w:t>
      </w:r>
    </w:p>
    <w:p w14:paraId="6DD01C3A" w14:textId="77777777" w:rsidR="00F13D29" w:rsidRPr="002867CD" w:rsidRDefault="00F13D29" w:rsidP="00AB3C3F">
      <w:pPr>
        <w:pStyle w:val="Heading1"/>
      </w:pPr>
      <w:bookmarkStart w:id="9" w:name="7122228"/>
      <w:bookmarkEnd w:id="9"/>
      <w:r w:rsidRPr="002867CD">
        <w:t>Introduction</w:t>
      </w:r>
    </w:p>
    <w:p w14:paraId="63D7BCD4" w14:textId="77777777" w:rsidR="00F13D29" w:rsidRPr="002867CD" w:rsidRDefault="00F13D29" w:rsidP="00AB3C3F">
      <w:pPr>
        <w:pStyle w:val="Text"/>
      </w:pPr>
      <w:bookmarkStart w:id="10" w:name="7122260"/>
      <w:bookmarkEnd w:id="10"/>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6673F03F" w14:textId="77777777" w:rsidR="00F13D29" w:rsidRPr="002867CD" w:rsidRDefault="00F13D29" w:rsidP="00AB3C3F">
      <w:pPr>
        <w:pStyle w:val="Heading1"/>
      </w:pPr>
      <w:r w:rsidRPr="002867CD">
        <w:t xml:space="preserve">Offender Management in Custody (OMiC) </w:t>
      </w:r>
    </w:p>
    <w:p w14:paraId="08D49BEC" w14:textId="77777777" w:rsidR="00F13D29" w:rsidRPr="002867CD" w:rsidRDefault="00F13D29" w:rsidP="00AB3C3F">
      <w:pPr>
        <w:pStyle w:val="Text"/>
      </w:pPr>
      <w:r w:rsidRPr="002867CD">
        <w:t xml:space="preserve">15.2 Under the Offender Management in Custody (OMiC)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8"/>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29"/>
      </w:r>
      <w:r w:rsidRPr="002867CD">
        <w:t xml:space="preserve">. The Prison Service must provide information about MAPPA offenders at key OMiC handover dates and in early allocation referrals. The COM will complete the MAPPA Level setting during the handover phase. </w:t>
      </w:r>
    </w:p>
    <w:p w14:paraId="5F6E69F3" w14:textId="77777777" w:rsidR="00F13D29" w:rsidRPr="002867CD" w:rsidRDefault="00F13D29" w:rsidP="00AB3C3F">
      <w:pPr>
        <w:pStyle w:val="Heading2"/>
      </w:pPr>
      <w:r w:rsidRPr="002867CD">
        <w:t>OMiC Early Allocation</w:t>
      </w:r>
    </w:p>
    <w:p w14:paraId="29E3787A" w14:textId="77777777" w:rsidR="00F13D29" w:rsidRPr="002867CD" w:rsidRDefault="00F13D29" w:rsidP="00AB3C3F">
      <w:pPr>
        <w:pStyle w:val="Text"/>
      </w:pPr>
      <w:r w:rsidRPr="002867CD">
        <w:t>15.3 Under OMiC some cases will be allocated to a COM earlier than the majority of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1691BB10" w14:textId="77777777" w:rsidR="00F13D29" w:rsidRPr="002867CD" w:rsidRDefault="00F13D29" w:rsidP="00AB3C3F">
      <w:pPr>
        <w:pStyle w:val="Text"/>
      </w:pPr>
      <w:r w:rsidRPr="002867CD">
        <w:t xml:space="preserve">15.4 Early allocation is not a specific MAPPA process. </w:t>
      </w:r>
      <w:r w:rsidRPr="002867CD">
        <w:rPr>
          <w:lang w:eastAsia="en-US"/>
        </w:rPr>
        <w:t xml:space="preserve">The majority of </w:t>
      </w:r>
      <w:r w:rsidRPr="002867CD">
        <w:t>early allocation cases will be mandatory MAPPA cases.  COMs will consider referral for discretionary MAPPA cases as appropriate. MAPPA cases subject to early allocation can also be subject to Level 1 MAPPA management.</w:t>
      </w:r>
    </w:p>
    <w:p w14:paraId="6FC20703" w14:textId="77777777" w:rsidR="00F13D29" w:rsidRPr="002867CD" w:rsidRDefault="00F13D29" w:rsidP="00AB3C3F">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0193F2C2" w14:textId="77777777" w:rsidR="00F13D29" w:rsidRPr="002867CD" w:rsidRDefault="00F13D29" w:rsidP="00AB3C3F">
      <w:pPr>
        <w:pStyle w:val="Heading1"/>
      </w:pPr>
      <w:r w:rsidRPr="002867CD">
        <w:t>Identification of MAPPA offenders</w:t>
      </w:r>
    </w:p>
    <w:p w14:paraId="23D4A8E9" w14:textId="77777777" w:rsidR="00F13D29" w:rsidRPr="002867CD" w:rsidRDefault="00F13D29" w:rsidP="00AB3C3F">
      <w:pPr>
        <w:pStyle w:val="Standards"/>
      </w:pPr>
      <w:bookmarkStart w:id="11" w:name="7122324"/>
      <w:bookmarkEnd w:id="11"/>
      <w:r w:rsidRPr="002867CD">
        <w:t>Standard - MAPPA offenders are identified on entering custody</w:t>
      </w:r>
    </w:p>
    <w:p w14:paraId="3060C179" w14:textId="77777777" w:rsidR="00F13D29" w:rsidRPr="002867CD" w:rsidRDefault="00F13D29" w:rsidP="00AB3C3F">
      <w:pPr>
        <w:pStyle w:val="Text"/>
      </w:pPr>
      <w:r w:rsidRPr="002867CD">
        <w:t>15.6 Prisons must have processes in place to identify all MAPPA prisoners during reception procedures and to place the appropriate alerts</w:t>
      </w:r>
      <w:r w:rsidRPr="002867CD">
        <w:rPr>
          <w:rStyle w:val="FootnoteReference"/>
          <w:rFonts w:cs="Arial"/>
          <w:sz w:val="22"/>
          <w:szCs w:val="22"/>
        </w:rPr>
        <w:footnoteReference w:id="30"/>
      </w:r>
      <w:r w:rsidRPr="002867CD">
        <w:t xml:space="preserve"> on their Prison-NOMIS record.  Prison staff should also ensure that they identify the correct offenders from their population as ViSOR nominals, and request partnership to their ViSOR record, as directed by the National ViSOR Standards.   </w:t>
      </w:r>
    </w:p>
    <w:p w14:paraId="0AEB013C" w14:textId="77777777" w:rsidR="00F13D29" w:rsidRPr="002867CD" w:rsidRDefault="00F13D29" w:rsidP="00AB3C3F">
      <w:pPr>
        <w:pStyle w:val="Heading1"/>
      </w:pPr>
      <w:r w:rsidRPr="002867CD">
        <w:rPr>
          <w:rStyle w:val="incmpparttitle"/>
        </w:rPr>
        <w:t>Release dates</w:t>
      </w:r>
    </w:p>
    <w:p w14:paraId="749B1474" w14:textId="77777777" w:rsidR="00F13D29" w:rsidRPr="00AB3C3F" w:rsidRDefault="00F13D29" w:rsidP="00AB3C3F">
      <w:pPr>
        <w:pStyle w:val="Standards"/>
        <w:rPr>
          <w:b w:val="0"/>
          <w:bCs/>
        </w:rPr>
      </w:pPr>
      <w:bookmarkStart w:id="12" w:name="7122388"/>
      <w:bookmarkEnd w:id="12"/>
      <w:r w:rsidRPr="00AB3C3F">
        <w:rPr>
          <w:rStyle w:val="Strong"/>
          <w:b/>
          <w:bCs w:val="0"/>
          <w:lang w:val="en"/>
        </w:rPr>
        <w:t>Standard - The prison confirms release dates for determinate sentence prisoners subject to MAPPA no later than eight months before release</w:t>
      </w:r>
    </w:p>
    <w:p w14:paraId="7C6C8A6E" w14:textId="77777777" w:rsidR="00F13D29" w:rsidRPr="002867CD" w:rsidRDefault="00F13D29" w:rsidP="00AB3C3F">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ViSOR record, where one exists. </w:t>
      </w:r>
    </w:p>
    <w:p w14:paraId="6B078FED" w14:textId="77777777" w:rsidR="00F13D29" w:rsidRPr="002867CD" w:rsidRDefault="00F13D29" w:rsidP="00AB3C3F">
      <w:pPr>
        <w:pStyle w:val="Text"/>
      </w:pPr>
      <w:r w:rsidRPr="002867CD">
        <w:t>15.8 The Prison Service will confirm release information as a matter of urgency when MAPPA Level 2 and 3 offenders are released at short notice following a change in their release date.</w:t>
      </w:r>
    </w:p>
    <w:p w14:paraId="1C295B94" w14:textId="77777777" w:rsidR="00F13D29" w:rsidRPr="002867CD" w:rsidRDefault="00F13D29" w:rsidP="00AB3C3F">
      <w:pPr>
        <w:pStyle w:val="Text"/>
      </w:pPr>
      <w:r w:rsidRPr="002867CD">
        <w:t>15.9 Although sentence calculations are completed shortly after sentence, the initial release dates may be adjusted in certain circumstances, such as:</w:t>
      </w:r>
    </w:p>
    <w:p w14:paraId="79AB0691" w14:textId="77777777" w:rsidR="00F13D29" w:rsidRPr="002867CD" w:rsidRDefault="00F13D29" w:rsidP="00AD2BEF">
      <w:pPr>
        <w:pStyle w:val="Text"/>
        <w:numPr>
          <w:ilvl w:val="0"/>
          <w:numId w:val="107"/>
        </w:numPr>
        <w:spacing w:before="120" w:after="120"/>
        <w:ind w:left="714" w:hanging="357"/>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1"/>
      </w:r>
      <w:r w:rsidRPr="002867CD">
        <w:t>.</w:t>
      </w:r>
    </w:p>
    <w:p w14:paraId="3127E5A8" w14:textId="77777777" w:rsidR="00F13D29" w:rsidRPr="002867CD" w:rsidRDefault="00F13D29" w:rsidP="00AD2BEF">
      <w:pPr>
        <w:pStyle w:val="Text"/>
        <w:numPr>
          <w:ilvl w:val="0"/>
          <w:numId w:val="107"/>
        </w:numPr>
        <w:spacing w:before="120" w:after="120"/>
        <w:ind w:left="714" w:hanging="357"/>
      </w:pPr>
      <w:r w:rsidRPr="002867CD">
        <w:t>The deduction of days spent on remand by offenders before they were sentenced.</w:t>
      </w:r>
    </w:p>
    <w:p w14:paraId="62A236F8" w14:textId="77777777" w:rsidR="00F13D29" w:rsidRPr="002867CD" w:rsidRDefault="00F13D29" w:rsidP="00AD2BEF">
      <w:pPr>
        <w:pStyle w:val="Text"/>
        <w:numPr>
          <w:ilvl w:val="0"/>
          <w:numId w:val="107"/>
        </w:numPr>
        <w:spacing w:before="120" w:after="120"/>
        <w:ind w:left="714" w:hanging="357"/>
      </w:pPr>
      <w:r w:rsidRPr="002867CD">
        <w:t>The addition of the days an offender has spent unlawfully at large, following an escape or abscond from custody or after recall.</w:t>
      </w:r>
    </w:p>
    <w:p w14:paraId="0423B93D" w14:textId="77777777" w:rsidR="00F13D29" w:rsidRPr="002867CD" w:rsidRDefault="00F13D29" w:rsidP="00AD2BEF">
      <w:pPr>
        <w:pStyle w:val="Text"/>
        <w:numPr>
          <w:ilvl w:val="0"/>
          <w:numId w:val="107"/>
        </w:numPr>
        <w:spacing w:before="120" w:after="120"/>
        <w:ind w:left="714" w:hanging="357"/>
      </w:pPr>
      <w:r w:rsidRPr="002867CD">
        <w:t>The imposition of a further sentence.</w:t>
      </w:r>
    </w:p>
    <w:p w14:paraId="69861746" w14:textId="77777777" w:rsidR="00F13D29" w:rsidRPr="002867CD" w:rsidRDefault="00F13D29" w:rsidP="00AD2BEF">
      <w:pPr>
        <w:pStyle w:val="Text"/>
        <w:numPr>
          <w:ilvl w:val="0"/>
          <w:numId w:val="107"/>
        </w:numPr>
        <w:spacing w:before="120" w:after="120"/>
        <w:ind w:left="714" w:hanging="357"/>
      </w:pPr>
      <w:r w:rsidRPr="002867CD">
        <w:t>Variation of the sentence following appeal or judicial review</w:t>
      </w:r>
    </w:p>
    <w:p w14:paraId="5837C885" w14:textId="77777777" w:rsidR="00F13D29" w:rsidRPr="002867CD" w:rsidRDefault="00F13D29" w:rsidP="00AB3C3F">
      <w:pPr>
        <w:pStyle w:val="Text"/>
        <w:rPr>
          <w:rStyle w:val="Strong"/>
          <w:rFonts w:cs="Arial"/>
          <w:b w:val="0"/>
          <w:bCs w:val="0"/>
          <w:szCs w:val="22"/>
          <w:lang w:val="en"/>
        </w:rPr>
      </w:pPr>
      <w:r w:rsidRPr="002867CD">
        <w:t xml:space="preserve">15.10 It is essential that prison staff responsible for sentence calculation ensure that all relevant factors have been taken into account at the point when the sentence is first calculated and that this is checked and confirmed each time the offender is transferred to minimise the likelihood of any last-minute changes in release dates. </w:t>
      </w:r>
    </w:p>
    <w:p w14:paraId="6F148C53" w14:textId="77777777" w:rsidR="00F13D29" w:rsidRPr="00603B6F" w:rsidRDefault="00F13D29" w:rsidP="00603B6F">
      <w:pPr>
        <w:pStyle w:val="Standards"/>
        <w:rPr>
          <w:bCs/>
        </w:rPr>
      </w:pPr>
      <w:r w:rsidRPr="00603B6F">
        <w:rPr>
          <w:rStyle w:val="Strong"/>
          <w:b/>
          <w:bCs w:val="0"/>
          <w:lang w:val="en"/>
        </w:rPr>
        <w:t xml:space="preserve">Standard - The Prison Service informs the </w:t>
      </w:r>
      <w:r w:rsidRPr="00603B6F">
        <w:rPr>
          <w:sz w:val="22"/>
          <w:szCs w:val="22"/>
        </w:rPr>
        <w:t>COM,</w:t>
      </w:r>
      <w:r w:rsidRPr="00603B6F">
        <w:rPr>
          <w:rStyle w:val="Strong"/>
          <w:b/>
          <w:bCs w:val="0"/>
          <w:lang w:val="en"/>
        </w:rPr>
        <w:t xml:space="preserve"> and where relevant the police, at the earliest opportunity of any potential release at short notice</w:t>
      </w:r>
      <w:r w:rsidRPr="00603B6F" w:rsidDel="00CC66FC">
        <w:rPr>
          <w:rStyle w:val="Strong"/>
          <w:b/>
          <w:bCs w:val="0"/>
          <w:lang w:val="en"/>
        </w:rPr>
        <w:t xml:space="preserve"> </w:t>
      </w:r>
    </w:p>
    <w:p w14:paraId="02584F95" w14:textId="77777777" w:rsidR="00F13D29" w:rsidRPr="00603B6F" w:rsidRDefault="00F13D29" w:rsidP="00603B6F">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must be notified immediately when MAPPA offenders are released as a consequence of appeal or judicial review proceedings to allow them to review the offender's MAPPA status and put arrangements in place to manage their release.</w:t>
      </w:r>
    </w:p>
    <w:p w14:paraId="10F1AB53" w14:textId="77777777" w:rsidR="00F13D29" w:rsidRPr="002867CD" w:rsidRDefault="00F13D29" w:rsidP="00603B6F">
      <w:pPr>
        <w:pStyle w:val="Text"/>
      </w:pPr>
      <w:r w:rsidRPr="002867CD">
        <w:t xml:space="preserve">15.12 Prison staff should ensure that the Police in the release area are informed in all cases of a release at short notice at the earliest possible opportunity. </w:t>
      </w:r>
    </w:p>
    <w:p w14:paraId="2246385E" w14:textId="77777777" w:rsidR="00F13D29" w:rsidRPr="002867CD" w:rsidRDefault="00F13D29" w:rsidP="00603B6F">
      <w:pPr>
        <w:pStyle w:val="Text"/>
      </w:pPr>
      <w:r w:rsidRPr="002867CD">
        <w:t>15.13 Parole Board decisions to release prisoners following the parole process will be communicated to the prison and the COM via the Public Protection Casework Section (PPCS). The prison must liaise with the 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2"/>
      </w:r>
      <w:r w:rsidRPr="002867CD">
        <w:t>.</w:t>
      </w:r>
    </w:p>
    <w:p w14:paraId="7AED34E1" w14:textId="77777777" w:rsidR="00F13D29" w:rsidRPr="004A1C56" w:rsidRDefault="00F13D29" w:rsidP="004A1C56">
      <w:pPr>
        <w:pStyle w:val="Heading1"/>
      </w:pPr>
      <w:r w:rsidRPr="004A1C56">
        <w:rPr>
          <w:rStyle w:val="Strong"/>
          <w:b/>
          <w:bCs w:val="0"/>
        </w:rPr>
        <w:t xml:space="preserve">Prison Interdepartmental Risk Management Meetings (IRMM) </w:t>
      </w:r>
    </w:p>
    <w:p w14:paraId="7912878F" w14:textId="77777777" w:rsidR="00F13D29" w:rsidRPr="004A1C56" w:rsidRDefault="00F13D29" w:rsidP="004A1C56">
      <w:pPr>
        <w:pStyle w:val="Standards"/>
        <w:rPr>
          <w:b w:val="0"/>
          <w:bCs/>
        </w:rPr>
      </w:pPr>
      <w:r w:rsidRPr="004A1C56">
        <w:rPr>
          <w:rStyle w:val="Strong"/>
          <w:b/>
          <w:bCs w:val="0"/>
          <w:lang w:val="en"/>
        </w:rPr>
        <w:t xml:space="preserve">Standard – The Prison has an established Interdepartmental Risk Management Meeting (IRMM) to manage high risk of harm MAPPA offenders in custody </w:t>
      </w:r>
    </w:p>
    <w:p w14:paraId="56E76179" w14:textId="77777777" w:rsidR="00F13D29" w:rsidRPr="002867CD" w:rsidRDefault="00F13D29" w:rsidP="004A1C56">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059347C9" w14:textId="77777777" w:rsidR="00F13D29" w:rsidRPr="002867CD" w:rsidRDefault="00F13D29" w:rsidP="00AD2BEF">
      <w:pPr>
        <w:pStyle w:val="Text"/>
        <w:numPr>
          <w:ilvl w:val="0"/>
          <w:numId w:val="108"/>
        </w:numPr>
        <w:spacing w:before="120" w:after="120"/>
        <w:ind w:left="714" w:hanging="357"/>
      </w:pPr>
      <w:r w:rsidRPr="002867CD">
        <w:t xml:space="preserve">OMiC early allocation referrals </w:t>
      </w:r>
    </w:p>
    <w:p w14:paraId="7E35A1EA" w14:textId="77777777" w:rsidR="00F13D29" w:rsidRPr="002867CD" w:rsidRDefault="00F13D29" w:rsidP="00AD2BEF">
      <w:pPr>
        <w:pStyle w:val="Text"/>
        <w:numPr>
          <w:ilvl w:val="0"/>
          <w:numId w:val="108"/>
        </w:numPr>
        <w:spacing w:before="120" w:after="120"/>
        <w:ind w:left="714" w:hanging="357"/>
      </w:pPr>
      <w:r w:rsidRPr="002867CD">
        <w:t xml:space="preserve">OMiC handovers </w:t>
      </w:r>
    </w:p>
    <w:p w14:paraId="6A917B2D" w14:textId="77777777" w:rsidR="00F13D29" w:rsidRPr="002867CD" w:rsidRDefault="00F13D29" w:rsidP="00AD2BEF">
      <w:pPr>
        <w:pStyle w:val="Text"/>
        <w:numPr>
          <w:ilvl w:val="0"/>
          <w:numId w:val="108"/>
        </w:numPr>
        <w:spacing w:before="120" w:after="120"/>
        <w:ind w:left="714" w:hanging="357"/>
      </w:pPr>
      <w:r w:rsidRPr="002867CD">
        <w:t xml:space="preserve">Pre-release discussions and meetings (including release planning for prisoners not managed under OMiC arrangements) </w:t>
      </w:r>
    </w:p>
    <w:p w14:paraId="6A2F6036" w14:textId="77777777" w:rsidR="00F13D29" w:rsidRPr="002867CD" w:rsidRDefault="00F13D29" w:rsidP="00AD2BEF">
      <w:pPr>
        <w:pStyle w:val="Text"/>
        <w:numPr>
          <w:ilvl w:val="0"/>
          <w:numId w:val="108"/>
        </w:numPr>
        <w:spacing w:before="120" w:after="120"/>
        <w:ind w:left="714" w:hanging="357"/>
      </w:pPr>
      <w:r w:rsidRPr="002867CD">
        <w:t>MAPPA level setting (completed by the COM in consultation with the prison)</w:t>
      </w:r>
    </w:p>
    <w:p w14:paraId="368AE2EA" w14:textId="77777777" w:rsidR="00F13D29" w:rsidRPr="002867CD" w:rsidRDefault="00F13D29" w:rsidP="00AD2BEF">
      <w:pPr>
        <w:pStyle w:val="Text"/>
        <w:numPr>
          <w:ilvl w:val="0"/>
          <w:numId w:val="108"/>
        </w:numPr>
        <w:spacing w:before="120" w:after="120"/>
        <w:ind w:left="714" w:hanging="357"/>
      </w:pPr>
      <w:r w:rsidRPr="002867CD">
        <w:t>MAPPA F reports for Level 2 and 3 meetings</w:t>
      </w:r>
    </w:p>
    <w:p w14:paraId="0930090C" w14:textId="77777777" w:rsidR="00F13D29" w:rsidRPr="002867CD" w:rsidRDefault="00F13D29" w:rsidP="004A1C56">
      <w:pPr>
        <w:pStyle w:val="Text"/>
      </w:pPr>
      <w:r w:rsidRPr="002867CD">
        <w:t>15.15 The COM may be invited</w:t>
      </w:r>
      <w:r w:rsidRPr="002867CD">
        <w:rPr>
          <w:rStyle w:val="FootnoteReference"/>
          <w:rFonts w:cs="Arial"/>
          <w:sz w:val="22"/>
          <w:szCs w:val="22"/>
        </w:rPr>
        <w:footnoteReference w:id="33"/>
      </w:r>
      <w:r w:rsidRPr="002867CD">
        <w:t xml:space="preserve"> to the IRMM and should be provided with relevant minutes of the IRMM whether or not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12D7C344" w14:textId="77777777" w:rsidR="00F13D29" w:rsidRPr="002867CD" w:rsidRDefault="00F13D29" w:rsidP="004A1C56">
      <w:pPr>
        <w:pStyle w:val="Heading1"/>
      </w:pPr>
      <w:r w:rsidRPr="002867CD">
        <w:t>MAPPA Level</w:t>
      </w:r>
    </w:p>
    <w:p w14:paraId="7A6ABA20" w14:textId="77777777" w:rsidR="00F13D29" w:rsidRPr="004A1C56" w:rsidRDefault="00F13D29" w:rsidP="004A1C56">
      <w:pPr>
        <w:pStyle w:val="Standards"/>
        <w:rPr>
          <w:b w:val="0"/>
          <w:bCs/>
        </w:rPr>
      </w:pPr>
      <w:r w:rsidRPr="004A1C56">
        <w:rPr>
          <w:rStyle w:val="Strong"/>
          <w:b/>
          <w:bCs w:val="0"/>
          <w:lang w:val="en"/>
        </w:rPr>
        <w:t>Standard - The prison contributes to the MAPPA level setting and the COM communicates the confirmed MAPPA level to the prison at least six months before release</w:t>
      </w:r>
    </w:p>
    <w:p w14:paraId="6B736731" w14:textId="63D22E07" w:rsidR="00F13D29" w:rsidRPr="002867CD" w:rsidRDefault="00F13D29" w:rsidP="004A1C56">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w:t>
      </w:r>
      <w:r w:rsidR="00645703" w:rsidRPr="002867CD">
        <w:t>parole,</w:t>
      </w:r>
      <w:r w:rsidRPr="002867CD">
        <w:t xml:space="preserv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54AAF86" w14:textId="77777777" w:rsidR="00F13D29" w:rsidRPr="002867CD" w:rsidRDefault="00F13D29" w:rsidP="004A1C56">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management. If the prison identify concerns after the MAPPA level has been set the POM must report them to the COM immediately to enable the COM to reconsider the MAPPA level. </w:t>
      </w:r>
    </w:p>
    <w:p w14:paraId="5D3C70BC" w14:textId="77777777" w:rsidR="00F13D29" w:rsidRPr="002867CD" w:rsidRDefault="00F13D29" w:rsidP="004A1C56">
      <w:pPr>
        <w:pStyle w:val="Text"/>
      </w:pPr>
      <w:r w:rsidRPr="002867CD">
        <w:t xml:space="preserve">15.18 The COM should contact the prison using the prison functional mailbox (see 15.25).  The prison should record information about the level of management by updating the Prison-NOMIS alert when confirmation is received from the lead agency. </w:t>
      </w:r>
    </w:p>
    <w:p w14:paraId="72BDB9F4" w14:textId="77777777" w:rsidR="00F13D29" w:rsidRPr="002867CD" w:rsidRDefault="00F13D29" w:rsidP="004A1C56">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7393C7CA" w14:textId="77777777" w:rsidR="00F13D29" w:rsidRPr="002867CD" w:rsidRDefault="00F13D29" w:rsidP="004A1C56">
      <w:pPr>
        <w:pStyle w:val="Text"/>
      </w:pPr>
      <w:r w:rsidRPr="002867CD">
        <w:t xml:space="preserve">15.20 When a MAPPA offender is recalled to prison on a fixed term recall, their MAPPA management level will be reviewed by the COM before their release.  </w:t>
      </w:r>
    </w:p>
    <w:p w14:paraId="07647DDB" w14:textId="77777777" w:rsidR="00F13D29" w:rsidRPr="002867CD" w:rsidRDefault="00F13D29" w:rsidP="004A1C56">
      <w:pPr>
        <w:pStyle w:val="Text"/>
      </w:pPr>
      <w:r w:rsidRPr="002867CD">
        <w:t>15.21 When a MAPPA offender is recalled on a standard recall, their MAPPA management level will be reviewed:</w:t>
      </w:r>
    </w:p>
    <w:p w14:paraId="353CFC92" w14:textId="113CB5F0" w:rsidR="00F13D29" w:rsidRPr="002867CD" w:rsidRDefault="00F13D29" w:rsidP="00AD2BEF">
      <w:pPr>
        <w:pStyle w:val="Text"/>
        <w:numPr>
          <w:ilvl w:val="0"/>
          <w:numId w:val="109"/>
        </w:numPr>
        <w:spacing w:before="120" w:after="120"/>
        <w:ind w:left="714" w:hanging="357"/>
      </w:pPr>
      <w:r w:rsidRPr="002867CD">
        <w:t>before the 28day Parole Board review</w:t>
      </w:r>
    </w:p>
    <w:p w14:paraId="7FB247D9" w14:textId="77777777" w:rsidR="00F13D29" w:rsidRPr="002867CD" w:rsidRDefault="00F13D29" w:rsidP="00AD2BEF">
      <w:pPr>
        <w:pStyle w:val="Text"/>
        <w:numPr>
          <w:ilvl w:val="0"/>
          <w:numId w:val="109"/>
        </w:numPr>
        <w:spacing w:before="120" w:after="120"/>
        <w:ind w:left="714" w:hanging="357"/>
      </w:pPr>
      <w:r w:rsidRPr="002867CD">
        <w:t>6 months before any subsequent Parole Board review, and</w:t>
      </w:r>
    </w:p>
    <w:p w14:paraId="757B55BA" w14:textId="77777777" w:rsidR="00F13D29" w:rsidRPr="002867CD" w:rsidRDefault="00F13D29" w:rsidP="00AD2BEF">
      <w:pPr>
        <w:pStyle w:val="Text"/>
        <w:numPr>
          <w:ilvl w:val="0"/>
          <w:numId w:val="109"/>
        </w:numPr>
        <w:spacing w:before="120" w:after="120"/>
        <w:ind w:left="714" w:hanging="357"/>
        <w:rPr>
          <w:rStyle w:val="Strong"/>
          <w:rFonts w:cs="Arial"/>
          <w:b w:val="0"/>
          <w:bCs w:val="0"/>
          <w:szCs w:val="22"/>
        </w:rPr>
      </w:pPr>
      <w:r w:rsidRPr="002867CD">
        <w:t>prior to any consideration for executive re-release.</w:t>
      </w:r>
    </w:p>
    <w:p w14:paraId="1794B131" w14:textId="77777777" w:rsidR="00F13D29" w:rsidRPr="002867CD" w:rsidRDefault="00F13D29" w:rsidP="00F13D29">
      <w:pPr>
        <w:pStyle w:val="Heading2"/>
        <w:rPr>
          <w:rStyle w:val="incmpparttitle"/>
        </w:rPr>
      </w:pPr>
      <w:r w:rsidRPr="002867CD">
        <w:rPr>
          <w:rStyle w:val="incmpparttitle"/>
        </w:rPr>
        <w:t>MAPPA Level 1 management</w:t>
      </w:r>
    </w:p>
    <w:p w14:paraId="3E5E5894" w14:textId="77777777" w:rsidR="00F13D29" w:rsidRPr="004A1C56" w:rsidRDefault="00F13D29" w:rsidP="004A1C56">
      <w:pPr>
        <w:pStyle w:val="Standards"/>
        <w:rPr>
          <w:b w:val="0"/>
          <w:bCs/>
          <w:sz w:val="22"/>
          <w:szCs w:val="22"/>
        </w:rPr>
      </w:pPr>
      <w:r w:rsidRPr="004A1C56">
        <w:rPr>
          <w:rStyle w:val="Strong"/>
          <w:b/>
          <w:bCs w:val="0"/>
          <w:lang w:val="en"/>
        </w:rPr>
        <w:t>Standard – The prison will share information with the COM to support release planning for prisoners managed at Level 1.</w:t>
      </w:r>
    </w:p>
    <w:p w14:paraId="4478ECF3" w14:textId="77777777" w:rsidR="00F13D29" w:rsidRPr="002867CD" w:rsidRDefault="00F13D29" w:rsidP="004A1C56">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6E26EF2E" w14:textId="77777777" w:rsidR="00F13D29" w:rsidRPr="002867CD" w:rsidRDefault="00F13D29" w:rsidP="004A1C56">
      <w:pPr>
        <w:pStyle w:val="Text"/>
      </w:pPr>
      <w:r w:rsidRPr="002867CD">
        <w:t>15.23 Prisoners managed at Level 1 will not be subject to formal MAPPA meetings and there is no mandatory report template (such as the MAPPA F) for sharing information relating to prisoners manage at MAPPA Level 1. Information will be shared via OMiC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4"/>
      </w:r>
      <w:r w:rsidRPr="002867CD">
        <w:t xml:space="preserve"> provides further information on Level 1 MAPPA management.  </w:t>
      </w:r>
    </w:p>
    <w:p w14:paraId="66B2ADCC" w14:textId="77777777" w:rsidR="00F13D29" w:rsidRPr="004A1C56" w:rsidRDefault="00F13D29" w:rsidP="004A1C56">
      <w:pPr>
        <w:pStyle w:val="Heading2"/>
        <w:rPr>
          <w:rStyle w:val="incmpparttitle"/>
        </w:rPr>
      </w:pPr>
      <w:r w:rsidRPr="004A1C56">
        <w:rPr>
          <w:rStyle w:val="incmpparttitle"/>
        </w:rPr>
        <w:t>MAPPA Level 2 and 3 management: meetings, invitations, attendance and reports</w:t>
      </w:r>
    </w:p>
    <w:p w14:paraId="6FC24F23" w14:textId="77777777" w:rsidR="00F13D29" w:rsidRPr="004A1C56" w:rsidRDefault="00F13D29" w:rsidP="004A1C56">
      <w:pPr>
        <w:pStyle w:val="Standards"/>
        <w:rPr>
          <w:rStyle w:val="Strong"/>
          <w:b/>
          <w:bCs w:val="0"/>
          <w:lang w:val="en"/>
        </w:rPr>
      </w:pPr>
      <w:bookmarkStart w:id="13" w:name="7122452"/>
      <w:bookmarkEnd w:id="13"/>
      <w:r w:rsidRPr="004A1C56">
        <w:rPr>
          <w:rStyle w:val="Strong"/>
          <w:b/>
          <w:bCs w:val="0"/>
          <w:lang w:val="en"/>
        </w:rPr>
        <w:t>Standard - Timely MAPPA invitations are sent to the functional mailbox of the holding prison</w:t>
      </w:r>
    </w:p>
    <w:p w14:paraId="0C62DE5D" w14:textId="77777777" w:rsidR="00F13D29" w:rsidRPr="002867CD" w:rsidRDefault="00F13D29" w:rsidP="004A201E">
      <w:pPr>
        <w:pStyle w:val="Text"/>
      </w:pPr>
      <w:r w:rsidRPr="002867CD">
        <w:t>15.24 As a Responsible Authority agency, the Prison Service must be invited to all pre-release Level 2 and 3 MAPPA meetings for all prisoners.  The MAPPA area responsible should</w:t>
      </w:r>
      <w:r w:rsidRPr="002867CD" w:rsidDel="007941AF">
        <w:t xml:space="preserve"> </w:t>
      </w:r>
      <w:r w:rsidRPr="002867CD">
        <w:t>send</w:t>
      </w:r>
      <w:r w:rsidRPr="002867CD" w:rsidDel="007941AF">
        <w:t xml:space="preserve"> </w:t>
      </w:r>
      <w:r w:rsidRPr="002867CD">
        <w:t>invitations in a timely manner, no later than 14 days in advance of the MAPPA meeting unless it is an emergency meeting, allowing sufficient time for the different departments within a prison to contribute effectively to the meeting.</w:t>
      </w:r>
    </w:p>
    <w:p w14:paraId="47F957F2" w14:textId="77777777" w:rsidR="00F13D29" w:rsidRPr="002867CD" w:rsidRDefault="00F13D29" w:rsidP="004A201E">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5"/>
      </w:r>
      <w:r w:rsidRPr="002867CD">
        <w:t>.</w:t>
      </w:r>
    </w:p>
    <w:p w14:paraId="43AFC7AA" w14:textId="77777777" w:rsidR="00F13D29" w:rsidRPr="00BF1959" w:rsidRDefault="00F13D29" w:rsidP="004A201E">
      <w:pPr>
        <w:pStyle w:val="Standards"/>
        <w:rPr>
          <w:b w:val="0"/>
          <w:bCs/>
        </w:rPr>
      </w:pPr>
      <w:r w:rsidRPr="00BF1959">
        <w:rPr>
          <w:rStyle w:val="Strong"/>
          <w:b/>
          <w:bCs w:val="0"/>
          <w:lang w:val="en"/>
        </w:rPr>
        <w:t xml:space="preserve">Standard - The Prison Service provides a report (MAPPA F) to all MAPPA Level 2 and 3 meetings for all serving prisoners within their establishment </w:t>
      </w:r>
    </w:p>
    <w:p w14:paraId="498B9C0D" w14:textId="77777777" w:rsidR="00F13D29" w:rsidRPr="002867CD" w:rsidRDefault="00F13D29" w:rsidP="00BF1959">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6"/>
      </w:r>
      <w:r w:rsidRPr="002867CD">
        <w:t xml:space="preserve"> must countersign all MAPPA F reports providing a level of quality assurance. Prison security departments must provide an intelligence assessment to be included within the MAPPA F.</w:t>
      </w:r>
    </w:p>
    <w:p w14:paraId="0BEE69A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5457F7B8" w14:textId="77777777" w:rsidR="00F13D29" w:rsidRPr="002867CD" w:rsidRDefault="00F13D29" w:rsidP="00F13D29">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4DC735B2" w14:textId="77777777" w:rsidR="00F13D29" w:rsidRPr="00BF1959" w:rsidRDefault="00F13D29" w:rsidP="00BF1959">
      <w:pPr>
        <w:pStyle w:val="Standards"/>
        <w:rPr>
          <w:b w:val="0"/>
          <w:bCs/>
          <w:sz w:val="22"/>
          <w:szCs w:val="22"/>
        </w:rPr>
      </w:pPr>
      <w:r w:rsidRPr="00BF1959">
        <w:rPr>
          <w:rStyle w:val="Strong"/>
          <w:b/>
          <w:bCs w:val="0"/>
          <w:lang w:val="en"/>
        </w:rPr>
        <w:t>Standard – Prisons are represented at all pre-release MAPPA Level 2 and 3 meetings</w:t>
      </w:r>
    </w:p>
    <w:p w14:paraId="6E63BE0F" w14:textId="77777777" w:rsidR="00F13D29" w:rsidRPr="00BF1959" w:rsidRDefault="00F13D29" w:rsidP="00BF1959">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vertAlign w:val="baseline"/>
        </w:rPr>
        <w:footnoteReference w:id="37"/>
      </w:r>
      <w:r w:rsidRPr="00BF1959">
        <w:t xml:space="preserve"> required by the prison. </w:t>
      </w:r>
    </w:p>
    <w:p w14:paraId="037F41D6" w14:textId="77777777" w:rsidR="00F13D29" w:rsidRPr="002867CD" w:rsidRDefault="00F13D29" w:rsidP="00BF1959">
      <w:pPr>
        <w:pStyle w:val="Text"/>
      </w:pPr>
      <w:r w:rsidRPr="002867CD">
        <w:t xml:space="preserve">15.30 The HOMD should attend all MAPPA Level 3 meetings. If the HOMD is not able to attend a Level 3 meeting, they should provide the reason to the MAPPA Coordinator and the POM should attend as deputy. Any actions or decisions requiring more senior authority will be delegated to the POM to communicate with the relevant prison managers. </w:t>
      </w:r>
    </w:p>
    <w:p w14:paraId="440D4FEF" w14:textId="77777777" w:rsidR="00F13D29" w:rsidRPr="002867CD" w:rsidRDefault="00F13D29" w:rsidP="00BF1959">
      <w:pPr>
        <w:pStyle w:val="Text"/>
      </w:pPr>
      <w:r w:rsidRPr="002867CD">
        <w:t xml:space="preserve">15.31 Representatives from other prison departments should be invited to attend MAPPA meetings as appropriate. The POM, or HOMD, should advise the MAPPA Coordinator when this would be necessary, 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13a – MAPPA Meetings. </w:t>
      </w:r>
    </w:p>
    <w:p w14:paraId="4DC06F92" w14:textId="77777777" w:rsidR="00F13D29" w:rsidRPr="002867CD" w:rsidRDefault="00F13D29" w:rsidP="00BF1959">
      <w:pPr>
        <w:pStyle w:val="Text"/>
      </w:pPr>
      <w:r w:rsidRPr="002867CD">
        <w:t>15.32 Attendance at MAPPA meetings can be in person or remotely via video or telephone conferencing</w:t>
      </w:r>
      <w:r w:rsidRPr="002867CD">
        <w:rPr>
          <w:rStyle w:val="FootnoteReference"/>
          <w:rFonts w:cs="Arial"/>
          <w:sz w:val="22"/>
          <w:szCs w:val="22"/>
        </w:rPr>
        <w:footnoteReference w:id="38"/>
      </w:r>
      <w:r w:rsidRPr="002867CD">
        <w:t xml:space="preserve">. </w:t>
      </w:r>
    </w:p>
    <w:p w14:paraId="6A851585" w14:textId="77777777" w:rsidR="00F13D29" w:rsidRPr="002867CD" w:rsidRDefault="00F13D29" w:rsidP="00BF1959">
      <w:pPr>
        <w:pStyle w:val="Text"/>
      </w:pPr>
      <w:r w:rsidRPr="002867CD">
        <w:t xml:space="preserve">15.33 Prisons should read Chapters 13a - MAPPA Meetings and 13b - MAPPA Meeting Minutes for further information on attending meetings and accessing minutes. </w:t>
      </w:r>
    </w:p>
    <w:p w14:paraId="0E977539" w14:textId="77777777" w:rsidR="00F13D29" w:rsidRPr="002867CD" w:rsidRDefault="00F13D29" w:rsidP="00650542">
      <w:pPr>
        <w:pStyle w:val="Heading1"/>
      </w:pPr>
      <w:r w:rsidRPr="002867CD">
        <w:rPr>
          <w:rStyle w:val="incmpparttitle"/>
        </w:rPr>
        <w:t xml:space="preserve">Release on Temporary Licence (ROTL) &amp; Move to open conditions </w:t>
      </w:r>
    </w:p>
    <w:p w14:paraId="6378C061" w14:textId="67F5AEA8" w:rsidR="00F13D29" w:rsidRPr="002867CD" w:rsidRDefault="00F13D29" w:rsidP="00650542">
      <w:pPr>
        <w:pStyle w:val="Text"/>
      </w:pPr>
      <w:bookmarkStart w:id="14" w:name="7122516"/>
      <w:bookmarkEnd w:id="14"/>
      <w:r w:rsidRPr="002867CD">
        <w:t xml:space="preserve">15.34 The HMPPS Release on Temporary Licence Policy Framework </w:t>
      </w:r>
      <w:bookmarkStart w:id="15" w:name="_Hlk97035276"/>
      <w:r w:rsidRPr="002867CD">
        <w:t>(PF)</w:t>
      </w:r>
      <w:r w:rsidRPr="002867CD">
        <w:rPr>
          <w:rStyle w:val="FootnoteReference"/>
          <w:rFonts w:cs="Arial"/>
          <w:sz w:val="22"/>
          <w:szCs w:val="22"/>
          <w:lang w:val="en" w:eastAsia="en-GB"/>
        </w:rPr>
        <w:footnoteReference w:id="39"/>
      </w:r>
      <w:bookmarkEnd w:id="15"/>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w:t>
      </w:r>
      <w:r w:rsidR="00645703" w:rsidRPr="002867CD">
        <w:t>However,</w:t>
      </w:r>
      <w:r w:rsidRPr="002867CD">
        <w:t xml:space="preserve"> the ROTL procedure requires the </w:t>
      </w:r>
      <w:r w:rsidR="002E5321">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2A793DAE" w14:textId="77777777" w:rsidR="00F13D29" w:rsidRPr="002867CD" w:rsidRDefault="00F13D29" w:rsidP="00650542">
      <w:pPr>
        <w:pStyle w:val="Text"/>
      </w:pP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083FFA08" w14:textId="77777777" w:rsidR="00F13D29" w:rsidRPr="002867CD" w:rsidRDefault="00F13D29" w:rsidP="00650542">
      <w:pPr>
        <w:pStyle w:val="Text"/>
      </w:pPr>
      <w:r w:rsidRPr="002867CD">
        <w:t xml:space="preserve">15.35 Prison staff must ensure that all periods of ROTL are recorded on ViSOR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1967B2C4" w14:textId="77777777" w:rsidR="00F13D29" w:rsidRPr="002867CD" w:rsidRDefault="00F13D29" w:rsidP="00650542">
      <w:pPr>
        <w:pStyle w:val="Text"/>
      </w:pPr>
      <w:r w:rsidRPr="002867CD">
        <w:t xml:space="preserve">15.36 </w:t>
      </w:r>
      <w:r w:rsidRPr="002867CD" w:rsidDel="00093749">
        <w:t>The</w:t>
      </w:r>
      <w:r w:rsidRPr="002867CD">
        <w:t xml:space="preserve"> COM (where allocated) should also be consulted when an offender serving a determinate sentence is being considered for a move to open conditions.</w:t>
      </w:r>
    </w:p>
    <w:p w14:paraId="3A41C2F9" w14:textId="77777777" w:rsidR="00F13D29" w:rsidRPr="002867CD" w:rsidRDefault="00F13D29" w:rsidP="00650542">
      <w:pPr>
        <w:pStyle w:val="Heading1"/>
      </w:pPr>
      <w:r w:rsidRPr="002867CD">
        <w:t xml:space="preserve">Release at Sentence End Date </w:t>
      </w:r>
    </w:p>
    <w:p w14:paraId="07E1A606" w14:textId="77777777" w:rsidR="00F13D29" w:rsidRPr="002867CD" w:rsidRDefault="00F13D29" w:rsidP="00650542">
      <w:pPr>
        <w:pStyle w:val="Text"/>
      </w:pPr>
      <w:r w:rsidRPr="002867CD">
        <w:t>15.37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76AAE64E" w14:textId="77777777" w:rsidR="00F13D29" w:rsidRPr="002867CD" w:rsidRDefault="00F13D29" w:rsidP="00650542">
      <w:pPr>
        <w:pStyle w:val="Text"/>
      </w:pPr>
      <w:r w:rsidRPr="002867CD">
        <w:t xml:space="preserve">15.38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15522C09" w14:textId="77777777" w:rsidR="00F13D29" w:rsidRPr="002867CD" w:rsidRDefault="00F13D29" w:rsidP="00650542">
      <w:pPr>
        <w:pStyle w:val="Text"/>
      </w:pPr>
      <w:r w:rsidRPr="002867CD">
        <w:t>15.39 Chapter 6 of the MAPPA guidance (Identification and Notification) contains further information about the termination of MAPPA status.</w:t>
      </w:r>
    </w:p>
    <w:p w14:paraId="0C7005C0" w14:textId="77777777" w:rsidR="00F13D29" w:rsidRPr="002867CD" w:rsidRDefault="00F13D29" w:rsidP="00650542">
      <w:pPr>
        <w:pStyle w:val="Heading1"/>
      </w:pPr>
      <w:r w:rsidRPr="002867CD">
        <w:t xml:space="preserve">The Youth Custody Service (YCS) </w:t>
      </w:r>
    </w:p>
    <w:p w14:paraId="40995E3B" w14:textId="77777777" w:rsidR="00F13D29" w:rsidRPr="002867CD" w:rsidRDefault="00F13D29" w:rsidP="00650542">
      <w:pPr>
        <w:pStyle w:val="Text"/>
      </w:pPr>
      <w:r w:rsidRPr="002867CD">
        <w:t xml:space="preserve">The YCS should follow the processes set out in this chapter; however, these establishments operate under different arrangements to the adult prison service and use different language. Where the guidance 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the Youth Offending Team (YOT) case manager replaces the COM. The OMiC model does not apply to the YCS therefore sections 15.2 – 15.5 are not relevant to these prisons.  </w:t>
      </w:r>
    </w:p>
    <w:p w14:paraId="56C0E236" w14:textId="77777777" w:rsidR="00F13D29" w:rsidRPr="002867CD" w:rsidRDefault="00F13D29" w:rsidP="00650542">
      <w:pPr>
        <w:pStyle w:val="Text"/>
        <w:rPr>
          <w:i/>
          <w:iCs/>
        </w:rPr>
      </w:pPr>
      <w:r w:rsidRPr="002867CD">
        <w:t>Instructions on temporary release for children are given in PSO 6300</w:t>
      </w:r>
      <w:r w:rsidRPr="002867CD">
        <w:rPr>
          <w:rStyle w:val="FootnoteReference"/>
          <w:rFonts w:cs="Arial"/>
          <w:sz w:val="22"/>
          <w:szCs w:val="22"/>
        </w:rPr>
        <w:footnoteReference w:id="40"/>
      </w:r>
      <w:r w:rsidRPr="002867CD">
        <w:t>, in relation to children detained in Young Offender Institutions, and in separate “Mobilities” guidance for children detained in STCs and SCHs. PSO 6300 states; ‘</w:t>
      </w:r>
      <w:r w:rsidRPr="002867CD">
        <w:rPr>
          <w:i/>
          <w:iCs/>
        </w:rPr>
        <w:t>Any offender considered to present a high risk to public safety must not be granted temporary release. It is good practice for consultation with the MAPPA Co-ordinator/Chair to take place where the offender is being managed by MAPPA Level 2 or 3’.</w:t>
      </w:r>
    </w:p>
    <w:p w14:paraId="40B31738" w14:textId="77777777" w:rsidR="00F13D29" w:rsidRPr="002867CD" w:rsidRDefault="00F13D29" w:rsidP="00650542">
      <w:pPr>
        <w:pStyle w:val="Text"/>
      </w:pPr>
      <w:r w:rsidRPr="002867CD">
        <w:t xml:space="preserve">Chapter 23 - Children sets out the process for YOTs and general MAPPA guidance for working with children. </w:t>
      </w:r>
    </w:p>
    <w:p w14:paraId="318EA4DF" w14:textId="77777777" w:rsidR="00F13D29" w:rsidRPr="00650542" w:rsidRDefault="00F13D29" w:rsidP="00F13D29">
      <w:pPr>
        <w:rPr>
          <w:rFonts w:ascii="Arial" w:hAnsi="Arial" w:cs="Arial"/>
          <w:sz w:val="22"/>
          <w:szCs w:val="22"/>
        </w:rPr>
      </w:pPr>
    </w:p>
    <w:p w14:paraId="198A6E38" w14:textId="77777777" w:rsidR="00F2123B" w:rsidRDefault="00F2123B">
      <w:pPr>
        <w:pageBreakBefore/>
        <w:suppressAutoHyphens w:val="0"/>
        <w:rPr>
          <w:rFonts w:ascii="Arial" w:hAnsi="Arial" w:cs="Arial"/>
          <w:sz w:val="20"/>
          <w:szCs w:val="20"/>
        </w:rPr>
      </w:pPr>
    </w:p>
    <w:p w14:paraId="198A6E39" w14:textId="77777777" w:rsidR="00F2123B" w:rsidRDefault="00200CFB" w:rsidP="002664E7">
      <w:pPr>
        <w:pStyle w:val="Heading1"/>
        <w:ind w:left="0" w:firstLine="0"/>
        <w:rPr>
          <w:sz w:val="36"/>
          <w:szCs w:val="36"/>
        </w:rPr>
      </w:pPr>
      <w:r>
        <w:rPr>
          <w:sz w:val="36"/>
          <w:szCs w:val="36"/>
        </w:rPr>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1"/>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ViSOR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16.4 All MAPPA offenders should be identified during reception procedures and the appropriate alerts should be placed on the MCTC Detainee Management List. MCTC staff are to engage with the SPCB ViSOR team to ensure that they identify the correct offenders from their population as ViSOR nominals. SPCB will be responsible for partnering the identified offender to their ViSOR record as directed by the National ViSOR Standards. MCTC will confirm with SPCB that this has been completed.</w:t>
      </w:r>
    </w:p>
    <w:p w14:paraId="198A6E41" w14:textId="77777777" w:rsidR="00F2123B" w:rsidRDefault="00200CFB">
      <w:pPr>
        <w:pStyle w:val="Heading1"/>
      </w:pPr>
      <w:r>
        <w:rPr>
          <w:rStyle w:val="incmpparttitle"/>
          <w:szCs w:val="28"/>
        </w:rPr>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ViSOR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as a consequence of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ViSOR is the primary tool for communicating the release of ViSOR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r>
        <w:rPr>
          <w:rStyle w:val="Strong"/>
          <w:rFonts w:ascii="Arial" w:hAnsi="Arial" w:cs="Arial"/>
          <w:sz w:val="20"/>
          <w:szCs w:val="20"/>
        </w:rPr>
        <w:t>release, or as soon as possible depending on sentence length.</w:t>
      </w:r>
      <w:r>
        <w:rPr>
          <w:rFonts w:ascii="Arial" w:hAnsi="Arial" w:cs="Arial"/>
          <w:sz w:val="20"/>
          <w:szCs w:val="20"/>
        </w:rPr>
        <w:t xml:space="preserve">  There may be some cases where the 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16.13 MAPPA levels should be communicated to the MCTC at least six months, or as soon as possible if sentence length is less, before the release of a qualifying offender.  MCTC staff should make reasonable 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2"/>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3"/>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ViSOR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place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ViSOR.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in order to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77777777" w:rsidR="00F2123B" w:rsidRDefault="00200CFB">
      <w:pPr>
        <w:spacing w:before="120" w:after="240" w:line="280" w:lineRule="exact"/>
        <w:rPr>
          <w:rFonts w:ascii="Arial" w:hAnsi="Arial" w:cs="Arial"/>
          <w:sz w:val="20"/>
          <w:szCs w:val="20"/>
        </w:rPr>
      </w:pPr>
      <w:r>
        <w:rPr>
          <w:rFonts w:ascii="Arial" w:hAnsi="Arial" w:cs="Arial"/>
          <w:sz w:val="20"/>
          <w:szCs w:val="20"/>
        </w:rPr>
        <w:t>17.5 In Level 1 cases, the sending MAPPA area should complete the MAPPA G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do not think it is necessary. If case 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ViSOR protocols and standards must be followed at all times, with MAPPA areas being changed promptly and all contacts and partners being updated as required, including where offenders move to other jurisdictions in the UK. This will be done by the agency that owns the ViSOR record in the sending area prior to a change in MAPPA area. ViSOR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However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make contact with the equivalent Responsible Authority agency in the new jurisdiction and provide the relevant information. Thereafter, the new Responsible Authority agency will make arrangements for referral to MAPPA (or equivalent) in their jurisdiction.</w:t>
      </w:r>
    </w:p>
    <w:p w14:paraId="198A6E72" w14:textId="77777777" w:rsidR="00F2123B" w:rsidRDefault="00F2123B">
      <w:pPr>
        <w:pStyle w:val="MG4Text"/>
        <w:spacing w:before="0" w:after="0"/>
      </w:pPr>
    </w:p>
    <w:p w14:paraId="198A6E73" w14:textId="77777777" w:rsidR="00F2123B" w:rsidRDefault="00200CFB">
      <w:pPr>
        <w:pageBreakBefore/>
        <w:spacing w:line="280" w:lineRule="atLeast"/>
      </w:pPr>
      <w:r>
        <w:rPr>
          <w:rFonts w:ascii="Arial" w:hAnsi="Arial" w:cs="Arial"/>
          <w:b/>
          <w:sz w:val="36"/>
          <w:szCs w:val="36"/>
        </w:rPr>
        <w:t>19.</w:t>
      </w:r>
      <w:r>
        <w:rPr>
          <w:rFonts w:ascii="Arial" w:eastAsia="Arial" w:hAnsi="Arial" w:cs="Arial"/>
          <w:b/>
          <w:sz w:val="36"/>
          <w:szCs w:val="36"/>
        </w:rPr>
        <w:t xml:space="preserve"> </w:t>
      </w:r>
      <w:r>
        <w:rPr>
          <w:rFonts w:ascii="Arial" w:hAnsi="Arial" w:cs="Arial"/>
          <w:b/>
          <w:sz w:val="36"/>
          <w:szCs w:val="36"/>
        </w:rPr>
        <w:t>Critical</w:t>
      </w:r>
      <w:r>
        <w:rPr>
          <w:rFonts w:ascii="Arial" w:eastAsia="Arial" w:hAnsi="Arial" w:cs="Arial"/>
          <w:b/>
          <w:sz w:val="36"/>
          <w:szCs w:val="36"/>
        </w:rPr>
        <w:t xml:space="preserve"> </w:t>
      </w:r>
      <w:r>
        <w:rPr>
          <w:rFonts w:ascii="Arial" w:hAnsi="Arial" w:cs="Arial"/>
          <w:b/>
          <w:sz w:val="36"/>
          <w:szCs w:val="36"/>
        </w:rPr>
        <w:t>Public</w:t>
      </w:r>
      <w:r>
        <w:rPr>
          <w:rFonts w:ascii="Arial" w:eastAsia="Arial" w:hAnsi="Arial" w:cs="Arial"/>
          <w:b/>
          <w:sz w:val="36"/>
          <w:szCs w:val="36"/>
        </w:rPr>
        <w:t xml:space="preserve"> </w:t>
      </w:r>
      <w:r>
        <w:rPr>
          <w:rFonts w:ascii="Arial" w:hAnsi="Arial" w:cs="Arial"/>
          <w:b/>
          <w:sz w:val="36"/>
          <w:szCs w:val="36"/>
        </w:rPr>
        <w:t>Protection</w:t>
      </w:r>
      <w:r>
        <w:rPr>
          <w:rFonts w:ascii="Arial" w:eastAsia="Arial" w:hAnsi="Arial" w:cs="Arial"/>
          <w:b/>
          <w:sz w:val="36"/>
          <w:szCs w:val="36"/>
        </w:rPr>
        <w:t xml:space="preserve"> </w:t>
      </w:r>
      <w:r>
        <w:rPr>
          <w:rFonts w:ascii="Arial" w:hAnsi="Arial" w:cs="Arial"/>
          <w:b/>
          <w:sz w:val="36"/>
          <w:szCs w:val="36"/>
        </w:rPr>
        <w:t>Cases</w:t>
      </w:r>
    </w:p>
    <w:p w14:paraId="198A6E74"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E75" w14:textId="77777777" w:rsidR="00F2123B" w:rsidRDefault="00200CFB">
      <w:pPr>
        <w:spacing w:before="100" w:after="240" w:line="280" w:lineRule="exact"/>
      </w:pPr>
      <w:r>
        <w:rPr>
          <w:rFonts w:ascii="Arial" w:hAnsi="Arial" w:cs="Arial"/>
          <w:sz w:val="20"/>
          <w:szCs w:val="20"/>
          <w:lang w:eastAsia="en-GB"/>
        </w:rPr>
        <w:t xml:space="preserve">19.1 The Probation Service can refer cases, which present the highest risk of serious harm and where there are particularly complex issues to manage (e.g. national notoriety or significant media profile) for Critical Public Protection Case (CPPC) registration. The relevant Probation Instruction is </w:t>
      </w:r>
      <w:r>
        <w:rPr>
          <w:rFonts w:ascii="Arial" w:hAnsi="Arial" w:cs="Arial"/>
          <w:b/>
          <w:sz w:val="20"/>
          <w:szCs w:val="20"/>
          <w:lang w:eastAsia="en-GB"/>
        </w:rPr>
        <w:t>PI 06/2013 The Registration and Management of Critical Public Protection Cases.</w:t>
      </w:r>
    </w:p>
    <w:p w14:paraId="198A6E76" w14:textId="77777777" w:rsidR="00F2123B" w:rsidRDefault="00200CFB">
      <w:pPr>
        <w:spacing w:before="100" w:after="240" w:line="280" w:lineRule="exact"/>
      </w:pPr>
      <w:r>
        <w:rPr>
          <w:rFonts w:ascii="Arial" w:hAnsi="Arial" w:cs="Arial"/>
          <w:sz w:val="20"/>
          <w:szCs w:val="20"/>
          <w:lang w:val="en" w:eastAsia="en-GB"/>
        </w:rPr>
        <w:t>19.2 PI 06/2013</w:t>
      </w:r>
      <w:r>
        <w:rPr>
          <w:rFonts w:ascii="Arial" w:hAnsi="Arial" w:cs="Arial"/>
          <w:sz w:val="20"/>
          <w:szCs w:val="20"/>
          <w:vertAlign w:val="superscript"/>
          <w:lang w:val="en" w:eastAsia="en-GB"/>
        </w:rPr>
        <w:t xml:space="preserve"> </w:t>
      </w:r>
      <w:r>
        <w:rPr>
          <w:rFonts w:ascii="Arial" w:hAnsi="Arial" w:cs="Arial"/>
          <w:sz w:val="20"/>
          <w:szCs w:val="20"/>
          <w:lang w:val="en" w:eastAsia="en-GB"/>
        </w:rPr>
        <w:t xml:space="preserve">clarifies the purposes and criteria for registering CPPCs and sets out the process for referring a case to the CPPC Team for registration.  It defines the additional resources that may be available to assist with the management of the case and describes the roles and responsibilities of the </w:t>
      </w:r>
      <w:r>
        <w:rPr>
          <w:rFonts w:ascii="Arial" w:hAnsi="Arial" w:cs="Arial"/>
          <w:color w:val="333333"/>
          <w:sz w:val="20"/>
          <w:szCs w:val="20"/>
        </w:rPr>
        <w:t xml:space="preserve">Probation Service </w:t>
      </w:r>
      <w:r>
        <w:rPr>
          <w:rFonts w:ascii="Arial" w:hAnsi="Arial" w:cs="Arial"/>
          <w:sz w:val="20"/>
          <w:szCs w:val="20"/>
          <w:lang w:val="en" w:eastAsia="en-GB"/>
        </w:rPr>
        <w:t>and CPPC Team following registration.</w:t>
      </w:r>
    </w:p>
    <w:p w14:paraId="198A6E7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19.3 The Instruction also confirms the purpose, criteria and process for national co-ordination in the management of a very small number of violent or sexual offenders (National CPPCs) who present complex resettlement challenges, often because of their national notoriety.</w:t>
      </w:r>
    </w:p>
    <w:p w14:paraId="198A6E78"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CPPC Referral Criteria</w:t>
      </w:r>
    </w:p>
    <w:p w14:paraId="198A6E79" w14:textId="77777777" w:rsidR="00F2123B" w:rsidRDefault="00200CFB">
      <w:pPr>
        <w:spacing w:before="100" w:after="240" w:line="280" w:lineRule="exact"/>
      </w:pPr>
      <w:r>
        <w:rPr>
          <w:rFonts w:ascii="Arial" w:hAnsi="Arial" w:cs="Arial"/>
          <w:b/>
          <w:bCs/>
          <w:lang w:val="en" w:eastAsia="en-GB"/>
        </w:rPr>
        <w:t>Standard - All level 3 MAPPA offenders are considered for referral for CPPC Registration</w:t>
      </w:r>
    </w:p>
    <w:p w14:paraId="198A6E7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19.4 The referral criteria for CPPC registration is:</w:t>
      </w:r>
    </w:p>
    <w:p w14:paraId="198A6E7B" w14:textId="77777777" w:rsidR="00F2123B" w:rsidRDefault="00200CFB" w:rsidP="00AD2BEF">
      <w:pPr>
        <w:numPr>
          <w:ilvl w:val="0"/>
          <w:numId w:val="39"/>
        </w:numPr>
        <w:tabs>
          <w:tab w:val="left" w:pos="720"/>
        </w:tabs>
        <w:autoSpaceDE w:val="0"/>
        <w:spacing w:before="100" w:after="120" w:line="280" w:lineRule="exact"/>
        <w:ind w:left="357" w:hanging="357"/>
      </w:pPr>
      <w:r>
        <w:rPr>
          <w:rFonts w:ascii="Arial" w:hAnsi="Arial" w:cs="Arial"/>
          <w:sz w:val="20"/>
          <w:szCs w:val="20"/>
          <w:lang w:eastAsia="en-GB"/>
        </w:rPr>
        <w:t xml:space="preserve">the case is being managed at </w:t>
      </w:r>
      <w:r>
        <w:rPr>
          <w:rFonts w:ascii="Arial" w:hAnsi="Arial" w:cs="Arial"/>
          <w:b/>
          <w:sz w:val="20"/>
          <w:szCs w:val="20"/>
          <w:lang w:eastAsia="en-GB"/>
        </w:rPr>
        <w:t>MAPPA Level 3</w:t>
      </w:r>
      <w:r>
        <w:rPr>
          <w:rFonts w:ascii="Arial" w:hAnsi="Arial" w:cs="Arial"/>
          <w:sz w:val="20"/>
          <w:szCs w:val="20"/>
          <w:lang w:eastAsia="en-GB"/>
        </w:rPr>
        <w:t xml:space="preserve"> (MAPPA Level 3 Panels should routinely consider whether or not a case meets the criteria for CPPC referral);</w:t>
      </w:r>
    </w:p>
    <w:p w14:paraId="198A6E7C" w14:textId="77777777" w:rsidR="00F2123B" w:rsidRDefault="00200CFB">
      <w:pPr>
        <w:autoSpaceDE w:val="0"/>
        <w:spacing w:before="100" w:after="240" w:line="280" w:lineRule="exact"/>
        <w:ind w:firstLine="720"/>
      </w:pPr>
      <w:r>
        <w:rPr>
          <w:rFonts w:ascii="Arial" w:hAnsi="Arial" w:cs="Arial"/>
          <w:b/>
          <w:sz w:val="20"/>
          <w:szCs w:val="20"/>
          <w:lang w:eastAsia="en-GB"/>
        </w:rPr>
        <w:t>and</w:t>
      </w:r>
      <w:r>
        <w:rPr>
          <w:rFonts w:ascii="Arial" w:hAnsi="Arial" w:cs="Arial"/>
          <w:sz w:val="20"/>
          <w:szCs w:val="20"/>
          <w:lang w:eastAsia="en-GB"/>
        </w:rPr>
        <w:t xml:space="preserve"> one, or both, of the following applies:</w:t>
      </w:r>
    </w:p>
    <w:p w14:paraId="198A6E7D" w14:textId="77777777" w:rsidR="00F2123B" w:rsidRDefault="00200CFB" w:rsidP="00AD2BEF">
      <w:pPr>
        <w:numPr>
          <w:ilvl w:val="0"/>
          <w:numId w:val="39"/>
        </w:numPr>
        <w:tabs>
          <w:tab w:val="left" w:pos="720"/>
        </w:tabs>
        <w:autoSpaceDE w:val="0"/>
        <w:spacing w:before="100" w:after="120" w:line="280" w:lineRule="exact"/>
        <w:ind w:left="357" w:hanging="357"/>
        <w:rPr>
          <w:rFonts w:ascii="Arial" w:hAnsi="Arial" w:cs="Arial"/>
          <w:sz w:val="20"/>
          <w:szCs w:val="20"/>
          <w:lang w:eastAsia="en-GB"/>
        </w:rPr>
      </w:pPr>
      <w:r>
        <w:rPr>
          <w:rFonts w:ascii="Arial" w:hAnsi="Arial" w:cs="Arial"/>
          <w:sz w:val="20"/>
          <w:szCs w:val="20"/>
          <w:lang w:eastAsia="en-GB"/>
        </w:rPr>
        <w:t xml:space="preserve">the offender is assessed as presenting a very high risk of serious harm, and the likelihood of a sexual or violent offence is imminent when the offender is in the community; </w:t>
      </w:r>
    </w:p>
    <w:p w14:paraId="198A6E7E" w14:textId="77777777" w:rsidR="00F2123B" w:rsidRDefault="00200CFB" w:rsidP="00AD2BEF">
      <w:pPr>
        <w:numPr>
          <w:ilvl w:val="0"/>
          <w:numId w:val="39"/>
        </w:numPr>
        <w:tabs>
          <w:tab w:val="left" w:pos="720"/>
        </w:tabs>
        <w:autoSpaceDE w:val="0"/>
        <w:spacing w:before="100" w:after="240" w:line="280" w:lineRule="exact"/>
        <w:ind w:left="357"/>
        <w:rPr>
          <w:rFonts w:ascii="Arial" w:hAnsi="Arial" w:cs="Arial"/>
          <w:sz w:val="20"/>
          <w:szCs w:val="20"/>
          <w:lang w:eastAsia="en-GB"/>
        </w:rPr>
      </w:pPr>
      <w:r>
        <w:rPr>
          <w:rFonts w:ascii="Arial" w:hAnsi="Arial" w:cs="Arial"/>
          <w:sz w:val="20"/>
          <w:szCs w:val="20"/>
          <w:lang w:eastAsia="en-GB"/>
        </w:rPr>
        <w:t xml:space="preserve">the offender has a high public profile and attracts or is likely to attract significant national media interest. </w:t>
      </w:r>
    </w:p>
    <w:p w14:paraId="198A6E7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19.5 The registration of a case fulfils three main functions - to:</w:t>
      </w:r>
    </w:p>
    <w:p w14:paraId="198A6E80" w14:textId="77777777" w:rsidR="00F2123B" w:rsidRDefault="00200CFB" w:rsidP="00AD2BEF">
      <w:pPr>
        <w:numPr>
          <w:ilvl w:val="0"/>
          <w:numId w:val="40"/>
        </w:numPr>
        <w:spacing w:before="100" w:after="120" w:line="280" w:lineRule="exact"/>
        <w:ind w:hanging="601"/>
        <w:rPr>
          <w:rFonts w:ascii="Arial" w:hAnsi="Arial" w:cs="Arial"/>
          <w:sz w:val="20"/>
          <w:szCs w:val="20"/>
          <w:lang w:eastAsia="en-GB"/>
        </w:rPr>
      </w:pPr>
      <w:r>
        <w:rPr>
          <w:rFonts w:ascii="Arial" w:hAnsi="Arial" w:cs="Arial"/>
          <w:sz w:val="20"/>
          <w:szCs w:val="20"/>
          <w:lang w:eastAsia="en-GB"/>
        </w:rPr>
        <w:t>provide assurance to Ministers and MPs signed up to the notification scheme;</w:t>
      </w:r>
    </w:p>
    <w:p w14:paraId="198A6E81" w14:textId="77777777" w:rsidR="00F2123B" w:rsidRDefault="00200CFB" w:rsidP="00AD2BEF">
      <w:pPr>
        <w:numPr>
          <w:ilvl w:val="0"/>
          <w:numId w:val="40"/>
        </w:numPr>
        <w:spacing w:before="100" w:after="120" w:line="280" w:lineRule="exact"/>
        <w:ind w:hanging="601"/>
      </w:pPr>
      <w:r>
        <w:rPr>
          <w:rFonts w:ascii="Arial" w:hAnsi="Arial" w:cs="Arial"/>
          <w:sz w:val="20"/>
          <w:szCs w:val="20"/>
          <w:lang w:eastAsia="en-GB"/>
        </w:rPr>
        <w:t xml:space="preserve">offers </w:t>
      </w:r>
      <w:r>
        <w:rPr>
          <w:rFonts w:ascii="Arial" w:hAnsi="Arial" w:cs="Arial"/>
          <w:color w:val="333333"/>
          <w:sz w:val="20"/>
          <w:szCs w:val="20"/>
        </w:rPr>
        <w:t xml:space="preserve">Probation Service </w:t>
      </w:r>
      <w:r>
        <w:rPr>
          <w:rFonts w:ascii="Arial" w:hAnsi="Arial" w:cs="Arial"/>
          <w:sz w:val="20"/>
          <w:szCs w:val="20"/>
          <w:lang w:eastAsia="en-GB"/>
        </w:rPr>
        <w:t xml:space="preserve">and MAPPA meetings advice and guidance on the management of registered CPP cases; and </w:t>
      </w:r>
    </w:p>
    <w:p w14:paraId="198A6E82" w14:textId="77777777" w:rsidR="00F2123B" w:rsidRDefault="00200CFB" w:rsidP="00AD2BEF">
      <w:pPr>
        <w:numPr>
          <w:ilvl w:val="0"/>
          <w:numId w:val="40"/>
        </w:numPr>
        <w:spacing w:before="100" w:after="240" w:line="280" w:lineRule="exact"/>
      </w:pPr>
      <w:r>
        <w:rPr>
          <w:rFonts w:ascii="Arial" w:hAnsi="Arial" w:cs="Arial"/>
          <w:sz w:val="20"/>
          <w:szCs w:val="20"/>
          <w:lang w:eastAsia="en-GB"/>
        </w:rPr>
        <w:t xml:space="preserve">where relevant, provide additional limited financial resource to support the </w:t>
      </w:r>
      <w:r>
        <w:rPr>
          <w:rFonts w:ascii="Arial" w:hAnsi="Arial" w:cs="Arial"/>
          <w:color w:val="333333"/>
          <w:sz w:val="20"/>
          <w:szCs w:val="20"/>
        </w:rPr>
        <w:t xml:space="preserve">Probation Service </w:t>
      </w:r>
      <w:r>
        <w:rPr>
          <w:rFonts w:ascii="Arial" w:hAnsi="Arial" w:cs="Arial"/>
          <w:sz w:val="20"/>
          <w:szCs w:val="20"/>
          <w:lang w:eastAsia="en-GB"/>
        </w:rPr>
        <w:t xml:space="preserve">contribution to the risk management plan.  </w:t>
      </w:r>
      <w:r>
        <w:rPr>
          <w:rFonts w:ascii="Arial" w:hAnsi="Arial" w:cs="Arial"/>
          <w:b/>
          <w:sz w:val="20"/>
          <w:szCs w:val="20"/>
          <w:lang w:eastAsia="en-GB"/>
        </w:rPr>
        <w:t>It is only once a case is registered that the Probation Service can apply for limited funds to strengthen the Probation Service contribution to the risk management plan.</w:t>
      </w:r>
    </w:p>
    <w:p w14:paraId="198A6E83" w14:textId="77777777" w:rsidR="00F2123B" w:rsidRDefault="00200CFB">
      <w:pPr>
        <w:spacing w:before="100" w:after="240" w:line="280" w:lineRule="exact"/>
        <w:rPr>
          <w:rFonts w:ascii="Arial" w:hAnsi="Arial" w:cs="Arial"/>
          <w:b/>
          <w:sz w:val="28"/>
          <w:szCs w:val="28"/>
          <w:lang w:eastAsia="en-GB"/>
        </w:rPr>
      </w:pPr>
      <w:r>
        <w:rPr>
          <w:rFonts w:ascii="Arial" w:hAnsi="Arial" w:cs="Arial"/>
          <w:b/>
          <w:sz w:val="28"/>
          <w:szCs w:val="28"/>
          <w:lang w:eastAsia="en-GB"/>
        </w:rPr>
        <w:t>Assurance to Ministers and MP notification</w:t>
      </w:r>
    </w:p>
    <w:p w14:paraId="198A6E84" w14:textId="77777777" w:rsidR="00F2123B" w:rsidRDefault="00200CFB">
      <w:pPr>
        <w:spacing w:before="100" w:after="240" w:line="280" w:lineRule="exact"/>
      </w:pPr>
      <w:r>
        <w:rPr>
          <w:rFonts w:ascii="Arial" w:hAnsi="Arial" w:cs="Arial"/>
          <w:sz w:val="20"/>
          <w:szCs w:val="20"/>
          <w:lang w:eastAsia="en-GB"/>
        </w:rPr>
        <w:t xml:space="preserve">19.6 The CPPC registration process enables the CPPC Team to assure Ministers that appropriate risk management plans are in place for CPPC-registered offenders when they are released to live in the community. Additionally, following a General Election all MPs are given the opportunity to sign up to the CPPC notification scheme.  To be part of the scheme, MPs are required to enter into a confidentiality agreement.  When a CPPC-registered offender is released into the constituency of an MP who has signed up to the scheme, the Minister will write to the MP, giving details of the risk management arrangements and providing the contact details of the relevant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w:t>
      </w:r>
      <w:r>
        <w:rPr>
          <w:rFonts w:ascii="Arial" w:eastAsia="Calibri" w:hAnsi="Arial" w:cs="Arial"/>
          <w:sz w:val="20"/>
          <w:szCs w:val="20"/>
          <w:lang w:eastAsia="en-US"/>
        </w:rPr>
        <w:t xml:space="preserve"> A</w:t>
      </w:r>
      <w:r>
        <w:rPr>
          <w:rFonts w:ascii="Arial" w:hAnsi="Arial" w:cs="Arial"/>
          <w:sz w:val="20"/>
          <w:szCs w:val="20"/>
          <w:lang w:eastAsia="en-GB"/>
        </w:rPr>
        <w:t xml:space="preserve"> copy of the letter is sent to the Chief Constable and </w:t>
      </w:r>
      <w:r>
        <w:rPr>
          <w:rFonts w:ascii="Arial" w:hAnsi="Arial" w:cs="Arial"/>
          <w:color w:val="333333"/>
          <w:sz w:val="20"/>
          <w:szCs w:val="20"/>
        </w:rPr>
        <w:t xml:space="preserve">Probation Service </w:t>
      </w:r>
      <w:r>
        <w:rPr>
          <w:rFonts w:ascii="Arial" w:hAnsi="Arial" w:cs="Arial"/>
          <w:sz w:val="20"/>
          <w:szCs w:val="20"/>
          <w:lang w:eastAsia="en-GB"/>
        </w:rPr>
        <w:t>Divisional Director, who must ensure that a senior manager or another appropriate person is identified to respond to any resulting queries.</w:t>
      </w:r>
    </w:p>
    <w:p w14:paraId="198A6E85" w14:textId="77777777" w:rsidR="00F2123B" w:rsidRDefault="00200CFB">
      <w:pPr>
        <w:spacing w:before="100" w:after="240" w:line="280" w:lineRule="exact"/>
      </w:pPr>
      <w:r>
        <w:rPr>
          <w:rFonts w:ascii="Arial" w:hAnsi="Arial" w:cs="Arial"/>
          <w:sz w:val="20"/>
          <w:szCs w:val="20"/>
          <w:lang w:eastAsia="en-GB"/>
        </w:rPr>
        <w:t xml:space="preserve">19.7 The Head of CPPC is always willing to be contacted to discuss advice and guidance regarding the CPPC referral process, including whether a case meets the threshold for CPPC registration; and, more generally, the management of complex high risk offenders, including those with a high media profile.  Telephone number 020 3334 0550, mobile 07894489662, </w:t>
      </w:r>
      <w:hyperlink r:id="rId33" w:history="1">
        <w:r>
          <w:rPr>
            <w:rFonts w:ascii="Arial" w:hAnsi="Arial" w:cs="Arial"/>
            <w:color w:val="0563C1"/>
            <w:sz w:val="20"/>
            <w:szCs w:val="20"/>
            <w:u w:val="single"/>
            <w:lang w:eastAsia="en-GB"/>
          </w:rPr>
          <w:t>Nichola.Whiley@noms.gsi.gov.uk</w:t>
        </w:r>
      </w:hyperlink>
      <w:r>
        <w:rPr>
          <w:rFonts w:ascii="Arial" w:hAnsi="Arial" w:cs="Arial"/>
          <w:sz w:val="20"/>
          <w:szCs w:val="20"/>
          <w:lang w:eastAsia="en-GB"/>
        </w:rPr>
        <w:t xml:space="preserve"> or </w:t>
      </w:r>
      <w:hyperlink r:id="rId34" w:history="1">
        <w:r>
          <w:rPr>
            <w:rFonts w:ascii="Arial" w:hAnsi="Arial" w:cs="Arial"/>
            <w:color w:val="0563C1"/>
            <w:sz w:val="20"/>
            <w:szCs w:val="20"/>
            <w:u w:val="single"/>
            <w:lang w:eastAsia="en-GB"/>
          </w:rPr>
          <w:t>CPPC@noms.gsi.gov.uk</w:t>
        </w:r>
      </w:hyperlink>
      <w:r>
        <w:rPr>
          <w:rFonts w:ascii="Arial" w:hAnsi="Arial" w:cs="Arial"/>
          <w:color w:val="0563C1"/>
          <w:sz w:val="20"/>
          <w:szCs w:val="20"/>
          <w:u w:val="single"/>
          <w:lang w:eastAsia="en-GB"/>
        </w:rPr>
        <w:t>.</w:t>
      </w:r>
    </w:p>
    <w:p w14:paraId="198A6E86" w14:textId="77777777" w:rsidR="00F2123B" w:rsidRDefault="00200CFB">
      <w:pPr>
        <w:pStyle w:val="Heading1"/>
        <w:pageBreakBefore/>
        <w:spacing w:line="280" w:lineRule="atLeast"/>
      </w:pPr>
      <w:r>
        <w:rPr>
          <w:sz w:val="36"/>
          <w:szCs w:val="36"/>
        </w:rPr>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rsidP="00AD2BEF">
      <w:pPr>
        <w:numPr>
          <w:ilvl w:val="0"/>
          <w:numId w:val="110"/>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rsidP="00AD2BEF">
      <w:pPr>
        <w:numPr>
          <w:ilvl w:val="0"/>
          <w:numId w:val="111"/>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rsidP="00AD2BEF">
      <w:pPr>
        <w:pStyle w:val="NormalWeb"/>
        <w:numPr>
          <w:ilvl w:val="0"/>
          <w:numId w:val="114"/>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20.14 The person nominated by the SMB Chair will liaise with the police Family Liaison Officer (FLO) or probation Victim Liaison Officer (VLO), where appointed, or other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shd w:val="clear" w:color="auto" w:fill="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inform each of the agencies involved in managing the case, that an SCR will take place. The SMB Chair will require 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20.18 Each case will present different issues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review the ViSOR record, where one exists (the SMB will need to determine how the SCR author sees the ViSOR record);</w:t>
      </w:r>
    </w:p>
    <w:p w14:paraId="01F3943B"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rsidP="00AD2BEF">
      <w:pPr>
        <w:numPr>
          <w:ilvl w:val="0"/>
          <w:numId w:val="112"/>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rsidP="00AD2BEF">
      <w:pPr>
        <w:pStyle w:val="ListParagraph"/>
        <w:numPr>
          <w:ilvl w:val="0"/>
          <w:numId w:val="115"/>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provide an action plan showing how the SMB will implement recommendations, so as to improve the operation of MAPPA and inform the future development of MAPPA policies and procedures in order to protect the public more effectively;</w:t>
      </w:r>
    </w:p>
    <w:p w14:paraId="7F07087B" w14:textId="77777777" w:rsidR="00030FC4" w:rsidRPr="00FE0EB1" w:rsidRDefault="00030FC4" w:rsidP="00AD2BEF">
      <w:pPr>
        <w:pStyle w:val="ListParagraph"/>
        <w:numPr>
          <w:ilvl w:val="0"/>
          <w:numId w:val="115"/>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rsidP="00AD2BEF">
      <w:pPr>
        <w:pStyle w:val="NormalWeb"/>
        <w:numPr>
          <w:ilvl w:val="0"/>
          <w:numId w:val="115"/>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35"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SMB Chair should consult with the National MAPPA Team if any of the recommendations require national action. The National MAPPA Team will formally accept or reject such recommendations, taking action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20.26 Completing the review and devising an action plan is only the beginning of the process. Learning must be acted upon and should be disseminated to all of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MAPPA as a whole.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in order to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as a result of a serious further offence, for example: </w:t>
      </w:r>
    </w:p>
    <w:p w14:paraId="6BE55B6A"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36"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rsidP="00AD2BEF">
      <w:pPr>
        <w:numPr>
          <w:ilvl w:val="0"/>
          <w:numId w:val="113"/>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37"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rsidP="00AD2BEF">
      <w:pPr>
        <w:numPr>
          <w:ilvl w:val="0"/>
          <w:numId w:val="113"/>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38"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rsidP="00AD2BEF">
      <w:pPr>
        <w:pStyle w:val="ListParagraph"/>
        <w:numPr>
          <w:ilvl w:val="0"/>
          <w:numId w:val="113"/>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t>21</w:t>
      </w:r>
      <w:r w:rsidR="00EC770F">
        <w:t>.</w:t>
      </w:r>
      <w:r>
        <w:t xml:space="preserve"> </w:t>
      </w:r>
      <w:r w:rsidR="00817113" w:rsidRPr="000340DB">
        <w:t>Housing and Employment</w:t>
      </w:r>
    </w:p>
    <w:p w14:paraId="1D796F99" w14:textId="77777777" w:rsidR="00817113" w:rsidRPr="000340DB" w:rsidRDefault="00817113" w:rsidP="000340DB">
      <w:pPr>
        <w:spacing w:before="240" w:after="240" w:line="280" w:lineRule="exact"/>
        <w:rPr>
          <w:rFonts w:ascii="Arial" w:hAnsi="Arial" w:cs="Arial"/>
          <w:sz w:val="20"/>
          <w:szCs w:val="20"/>
        </w:rPr>
      </w:pPr>
      <w:r w:rsidRPr="000340DB">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to aid in rehabilitation and enables offenders to hold down a job, access healthcare, and reduces the likelihood of them reoffending. Evidence shows that there is a connection between homelessness and reoffending, with prison leavers released without stable accommodation being almost 50% more likely to reoffend (HMIP 2020). Having a job can be life changing for people leaving prison, it can provide a form of income and sense of self-worth and provide an opportunity for someone to move forward with their life. Having a job helps cut crime; ex-offenders with jobs are between 6 and 9 percentage points less likely to reoffend. However, employment levels for prison leavers are much lower than those of the general population - only one in five prison leavers have a job after six months. It is important that Duty to Co-operate (DTC) agencies involved in these areas are fully engaged in MAPPA and offer support and advice in line with their statutory responsibilities. </w:t>
      </w:r>
    </w:p>
    <w:p w14:paraId="56BAF8ED" w14:textId="77777777" w:rsidR="00817113" w:rsidRPr="000340DB" w:rsidRDefault="00817113" w:rsidP="000340DB">
      <w:pPr>
        <w:pStyle w:val="Heading1"/>
        <w:rPr>
          <w:szCs w:val="28"/>
        </w:rPr>
      </w:pPr>
      <w:r w:rsidRPr="000340DB">
        <w:rPr>
          <w:szCs w:val="28"/>
        </w:rPr>
        <w:t>Housing</w:t>
      </w:r>
    </w:p>
    <w:p w14:paraId="5DEC8CB7" w14:textId="77777777" w:rsidR="00817113" w:rsidRPr="000340DB" w:rsidRDefault="00817113" w:rsidP="000340DB">
      <w:pPr>
        <w:spacing w:before="240" w:after="240" w:line="280" w:lineRule="exact"/>
        <w:rPr>
          <w:rFonts w:ascii="Arial" w:hAnsi="Arial" w:cs="Arial"/>
          <w:bCs/>
        </w:rPr>
      </w:pPr>
      <w:r w:rsidRPr="000340DB">
        <w:rPr>
          <w:rFonts w:ascii="Arial" w:hAnsi="Arial" w:cs="Arial"/>
          <w:b/>
          <w:bCs/>
          <w:lang w:eastAsia="en-GB"/>
        </w:rPr>
        <w:t xml:space="preserve">Advice and Information </w:t>
      </w:r>
    </w:p>
    <w:p w14:paraId="56DF228B"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particular groups, including persons released from prison.  </w:t>
      </w:r>
    </w:p>
    <w:p w14:paraId="493D151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 LHAs must also take reasonable steps to try to prevent and relieve eligible applicants’ homelessness.  These new duties apply irrespective of whether a person has ‘priority need’ or may be regarded as being ‘intentionally homeless’.   </w:t>
      </w:r>
    </w:p>
    <w:p w14:paraId="475E46EE" w14:textId="77777777" w:rsidR="00817113" w:rsidRPr="000340DB" w:rsidRDefault="00817113" w:rsidP="000340DB">
      <w:pPr>
        <w:pStyle w:val="NormalWeb"/>
        <w:spacing w:before="240" w:after="240" w:line="280" w:lineRule="exact"/>
        <w:rPr>
          <w:rFonts w:ascii="Arial" w:hAnsi="Arial" w:cs="Arial"/>
          <w:sz w:val="20"/>
          <w:szCs w:val="20"/>
        </w:rPr>
      </w:pPr>
      <w:bookmarkStart w:id="16" w:name="_Hlk72750551"/>
      <w:r w:rsidRPr="000340DB">
        <w:rPr>
          <w:rFonts w:ascii="Arial" w:hAnsi="Arial" w:cs="Arial"/>
          <w:sz w:val="20"/>
          <w:szCs w:val="20"/>
        </w:rPr>
        <w:t>21.4 For all applicants that are eligible</w:t>
      </w:r>
      <w:r w:rsidRPr="000340DB">
        <w:rPr>
          <w:rStyle w:val="FootnoteReference"/>
          <w:rFonts w:ascii="Arial" w:hAnsi="Arial" w:cs="Arial"/>
          <w:sz w:val="20"/>
          <w:szCs w:val="20"/>
        </w:rPr>
        <w:footnoteReference w:id="44"/>
      </w:r>
      <w:r w:rsidRPr="000340DB">
        <w:rPr>
          <w:rFonts w:ascii="Arial" w:hAnsi="Arial" w:cs="Arial"/>
          <w:sz w:val="20"/>
          <w:szCs w:val="20"/>
        </w:rPr>
        <w:t xml:space="preserve"> and homeless or threatened with becoming homeless within 56 days, the LHA must assess: </w:t>
      </w:r>
    </w:p>
    <w:bookmarkEnd w:id="16"/>
    <w:p w14:paraId="06D3E7D0"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lang w:val="en-US"/>
        </w:rPr>
        <w:t>The circumstances that have caused their homelessness</w:t>
      </w:r>
      <w:r w:rsidRPr="000340DB">
        <w:rPr>
          <w:rFonts w:ascii="Arial" w:hAnsi="Arial" w:cs="Arial"/>
          <w:sz w:val="20"/>
          <w:szCs w:val="20"/>
        </w:rPr>
        <w:t xml:space="preserve">, </w:t>
      </w:r>
    </w:p>
    <w:p w14:paraId="0A70D7C1" w14:textId="77777777" w:rsidR="00817113" w:rsidRPr="000340DB" w:rsidRDefault="00817113" w:rsidP="00AD2BEF">
      <w:pPr>
        <w:pStyle w:val="NormalWeb"/>
        <w:numPr>
          <w:ilvl w:val="0"/>
          <w:numId w:val="73"/>
        </w:numPr>
        <w:suppressAutoHyphens w:val="0"/>
        <w:autoSpaceDN/>
        <w:spacing w:before="240" w:after="240" w:line="280" w:lineRule="exact"/>
        <w:ind w:left="714" w:hanging="357"/>
        <w:contextualSpacing/>
        <w:textAlignment w:val="auto"/>
        <w:rPr>
          <w:rFonts w:ascii="Arial" w:hAnsi="Arial" w:cs="Arial"/>
          <w:sz w:val="20"/>
          <w:szCs w:val="20"/>
          <w:lang w:val="en-US"/>
        </w:rPr>
      </w:pPr>
      <w:r w:rsidRPr="000340DB">
        <w:rPr>
          <w:rFonts w:ascii="Arial" w:hAnsi="Arial" w:cs="Arial"/>
          <w:sz w:val="20"/>
          <w:szCs w:val="20"/>
          <w:lang w:val="en-US"/>
        </w:rPr>
        <w:t>Their household’s housing needs,</w:t>
      </w:r>
    </w:p>
    <w:p w14:paraId="2611BBA4" w14:textId="77777777" w:rsidR="00817113" w:rsidRPr="000340DB" w:rsidRDefault="00817113" w:rsidP="00AD2BEF">
      <w:pPr>
        <w:pStyle w:val="NormalWeb"/>
        <w:numPr>
          <w:ilvl w:val="0"/>
          <w:numId w:val="73"/>
        </w:numPr>
        <w:suppressAutoHyphens w:val="0"/>
        <w:autoSpaceDN/>
        <w:spacing w:before="240" w:after="240" w:line="280" w:lineRule="exact"/>
        <w:ind w:left="714" w:hanging="357"/>
        <w:textAlignment w:val="auto"/>
        <w:rPr>
          <w:rFonts w:ascii="Arial" w:hAnsi="Arial" w:cs="Arial"/>
          <w:sz w:val="20"/>
          <w:szCs w:val="20"/>
        </w:rPr>
      </w:pPr>
      <w:r w:rsidRPr="000340DB">
        <w:rPr>
          <w:rFonts w:ascii="Arial" w:hAnsi="Arial" w:cs="Arial"/>
          <w:sz w:val="20"/>
          <w:szCs w:val="20"/>
          <w:lang w:val="en-US"/>
        </w:rPr>
        <w:t>The support they need to have and sustain accommodation.</w:t>
      </w:r>
    </w:p>
    <w:p w14:paraId="115842B8"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21.5 The result of the assessment has to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020452E8" w14:textId="77777777" w:rsidR="00817113" w:rsidRPr="000340DB" w:rsidRDefault="00817113" w:rsidP="000340DB">
      <w:pPr>
        <w:pStyle w:val="Heading1"/>
        <w:rPr>
          <w:sz w:val="24"/>
        </w:rPr>
      </w:pPr>
      <w:r w:rsidRPr="000340DB">
        <w:rPr>
          <w:sz w:val="24"/>
        </w:rPr>
        <w:t>The Main Homelessness Duty.</w:t>
      </w:r>
    </w:p>
    <w:p w14:paraId="7AED3B6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7" w:name="_Hlk78300347"/>
      <w:r w:rsidRPr="000340DB">
        <w:rPr>
          <w:rFonts w:ascii="Arial" w:hAnsi="Arial" w:cs="Arial"/>
          <w:sz w:val="20"/>
          <w:szCs w:val="20"/>
        </w:rPr>
        <w:t xml:space="preserve">the main homelessness duty". </w:t>
      </w:r>
      <w:bookmarkEnd w:id="17"/>
      <w:r w:rsidRPr="000340DB">
        <w:rPr>
          <w:rFonts w:ascii="Arial" w:hAnsi="Arial" w:cs="Arial"/>
          <w:sz w:val="20"/>
          <w:szCs w:val="20"/>
        </w:rPr>
        <w:t>Authorities must secure accommodation until a settled home becomes available, or some other circumstance brings the duty to an end.</w:t>
      </w:r>
      <w:r w:rsidRPr="000340DB">
        <w:rPr>
          <w:rStyle w:val="FootnoteReference"/>
          <w:rFonts w:ascii="Arial" w:hAnsi="Arial" w:cs="Arial"/>
          <w:sz w:val="20"/>
          <w:szCs w:val="20"/>
        </w:rPr>
        <w:footnoteReference w:id="45"/>
      </w:r>
    </w:p>
    <w:p w14:paraId="7A0C2C24"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21.7 Those with a priority need for housing include households which include pregnant women, dependent children, care leavers (aged 18-20), someone vulnerable as a result of old age, mental illness or learning disability or physical disability or other specified reason or someone homeless or threatened with homelessness as a result of an emergency, such as a flood, fire or other disaster</w:t>
      </w:r>
      <w:r w:rsidRPr="000340DB">
        <w:rPr>
          <w:rStyle w:val="FootnoteReference"/>
          <w:rFonts w:ascii="Arial" w:hAnsi="Arial" w:cs="Arial"/>
          <w:sz w:val="20"/>
          <w:szCs w:val="20"/>
          <w:lang w:eastAsia="en-GB"/>
        </w:rPr>
        <w:footnoteReference w:id="46"/>
      </w:r>
      <w:r w:rsidRPr="000340DB">
        <w:rPr>
          <w:rFonts w:ascii="Arial" w:hAnsi="Arial" w:cs="Arial"/>
          <w:sz w:val="20"/>
          <w:szCs w:val="20"/>
          <w:lang w:eastAsia="en-GB"/>
        </w:rPr>
        <w:t xml:space="preserve">. A homeless applicant may be assessed as being vulnerable due to having been in care (aged 21 or over) or having served in the armed forces. </w:t>
      </w:r>
    </w:p>
    <w:p w14:paraId="4006567E" w14:textId="002996D6"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21.8 A homeless applicant will also have priority need if they are vulnerable as a result of having served a custodial sentence, been committed for contempt of court or have been remanded in custody. In assessing whether a person is vulnerable due to having spent time in custody the local authority should take into account all relevant factors including the length of time they have spent in custody, the views of the </w:t>
      </w:r>
      <w:r w:rsidR="007C3463">
        <w:rPr>
          <w:rFonts w:ascii="Arial" w:hAnsi="Arial" w:cs="Arial"/>
          <w:sz w:val="20"/>
          <w:szCs w:val="20"/>
          <w:lang w:eastAsia="en-GB"/>
        </w:rPr>
        <w:t>probation practitioner</w:t>
      </w:r>
      <w:r w:rsidRPr="000340DB">
        <w:rPr>
          <w:rFonts w:ascii="Arial" w:hAnsi="Arial" w:cs="Arial"/>
          <w:sz w:val="20"/>
          <w:szCs w:val="20"/>
          <w:lang w:eastAsia="en-GB"/>
        </w:rPr>
        <w:t xml:space="preserve">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0340DB">
        <w:rPr>
          <w:rStyle w:val="FootnoteReference"/>
          <w:rFonts w:ascii="Arial" w:hAnsi="Arial" w:cs="Arial"/>
          <w:sz w:val="20"/>
          <w:szCs w:val="20"/>
          <w:lang w:eastAsia="en-GB"/>
        </w:rPr>
        <w:footnoteReference w:id="47"/>
      </w:r>
      <w:r w:rsidRPr="000340DB">
        <w:rPr>
          <w:rFonts w:ascii="Arial" w:hAnsi="Arial" w:cs="Arial"/>
          <w:sz w:val="20"/>
          <w:szCs w:val="20"/>
          <w:lang w:eastAsia="en-GB"/>
        </w:rPr>
        <w:t xml:space="preserve"> </w:t>
      </w:r>
    </w:p>
    <w:p w14:paraId="4E30EB87" w14:textId="77777777" w:rsidR="00817113" w:rsidRPr="000340DB" w:rsidRDefault="00817113" w:rsidP="000340DB">
      <w:pPr>
        <w:spacing w:before="240" w:after="240" w:line="280" w:lineRule="exact"/>
        <w:rPr>
          <w:rFonts w:ascii="Arial" w:hAnsi="Arial" w:cs="Arial"/>
          <w:sz w:val="20"/>
          <w:szCs w:val="20"/>
          <w:lang w:eastAsia="en-GB"/>
        </w:rPr>
      </w:pPr>
      <w:r w:rsidRPr="000340DB">
        <w:rPr>
          <w:rFonts w:ascii="Arial" w:hAnsi="Arial" w:cs="Arial"/>
          <w:sz w:val="20"/>
          <w:szCs w:val="20"/>
          <w:lang w:eastAsia="en-GB"/>
        </w:rPr>
        <w:t xml:space="preserve">21.9 The LHA duty to co-operate with the Responsible Authority does not create a new duty to accommodate offenders.  </w:t>
      </w:r>
    </w:p>
    <w:p w14:paraId="45C86605" w14:textId="77777777" w:rsidR="00817113" w:rsidRPr="000340DB" w:rsidRDefault="00817113" w:rsidP="000340DB">
      <w:pPr>
        <w:pStyle w:val="Heading1"/>
        <w:rPr>
          <w:sz w:val="24"/>
          <w:lang w:eastAsia="en-GB"/>
        </w:rPr>
      </w:pPr>
      <w:r w:rsidRPr="000340DB">
        <w:rPr>
          <w:sz w:val="24"/>
        </w:rPr>
        <w:t>The duty to refer</w:t>
      </w:r>
    </w:p>
    <w:p w14:paraId="33FEAEB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21.10 In addition, the Homelessness Reduction Act 2017 introduced the duty to refer, which requires various public authorities in England, such as Prisons, Probation Services and Jobcentres, to notify an LHA of service 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4C80DD8C" w14:textId="77777777" w:rsidR="00817113" w:rsidRPr="000340DB" w:rsidRDefault="00817113" w:rsidP="000340DB">
      <w:pPr>
        <w:pStyle w:val="Heading1"/>
        <w:rPr>
          <w:sz w:val="24"/>
        </w:rPr>
      </w:pPr>
      <w:r w:rsidRPr="000340DB">
        <w:rPr>
          <w:sz w:val="24"/>
        </w:rPr>
        <w:t xml:space="preserve">Allocation </w:t>
      </w:r>
    </w:p>
    <w:p w14:paraId="06C0198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0340DB">
        <w:rPr>
          <w:rStyle w:val="FootnoteReference"/>
          <w:rFonts w:ascii="Arial" w:hAnsi="Arial" w:cs="Arial"/>
          <w:sz w:val="20"/>
          <w:szCs w:val="20"/>
        </w:rPr>
        <w:footnoteReference w:id="48"/>
      </w:r>
      <w:r w:rsidRPr="000340DB">
        <w:rPr>
          <w:rFonts w:ascii="Arial" w:hAnsi="Arial" w:cs="Arial"/>
          <w:sz w:val="20"/>
          <w:szCs w:val="20"/>
        </w:rPr>
        <w:t xml:space="preserve">  </w:t>
      </w:r>
    </w:p>
    <w:p w14:paraId="129F34F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21.12 An allocation scheme must be framed in such a way that overall "reasonable preference" for an allocation goes to certain categories of persons. These are:</w:t>
      </w:r>
    </w:p>
    <w:p w14:paraId="00BEDB8B"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are homeless within the meaning of Part 7 of the HA 1996.</w:t>
      </w:r>
    </w:p>
    <w:p w14:paraId="34F91CBE"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living in unsanitary, overcrowded or unsatisfactory housing.</w:t>
      </w:r>
    </w:p>
    <w:p w14:paraId="53D0762C" w14:textId="77777777" w:rsidR="00817113" w:rsidRPr="000340DB" w:rsidRDefault="00817113" w:rsidP="00AD2BEF">
      <w:pPr>
        <w:numPr>
          <w:ilvl w:val="0"/>
          <w:numId w:val="74"/>
        </w:numPr>
        <w:suppressAutoHyphens w:val="0"/>
        <w:autoSpaceDN/>
        <w:spacing w:before="240" w:after="240" w:line="280" w:lineRule="exact"/>
        <w:ind w:left="714" w:hanging="357"/>
        <w:contextualSpacing/>
        <w:textAlignment w:val="auto"/>
        <w:rPr>
          <w:rFonts w:ascii="Arial" w:hAnsi="Arial" w:cs="Arial"/>
          <w:sz w:val="20"/>
          <w:szCs w:val="20"/>
        </w:rPr>
      </w:pPr>
      <w:r w:rsidRPr="000340DB">
        <w:rPr>
          <w:rFonts w:ascii="Arial" w:hAnsi="Arial" w:cs="Arial"/>
          <w:sz w:val="20"/>
          <w:szCs w:val="20"/>
        </w:rPr>
        <w:t>People who need to move on medical or welfare grounds, including grounds relating to a disability.</w:t>
      </w:r>
    </w:p>
    <w:p w14:paraId="7F525075" w14:textId="77777777" w:rsidR="00817113" w:rsidRPr="000340DB" w:rsidRDefault="00817113" w:rsidP="00AD2BEF">
      <w:pPr>
        <w:numPr>
          <w:ilvl w:val="0"/>
          <w:numId w:val="74"/>
        </w:numPr>
        <w:suppressAutoHyphens w:val="0"/>
        <w:autoSpaceDN/>
        <w:spacing w:before="240" w:after="240" w:line="280" w:lineRule="exact"/>
        <w:textAlignment w:val="auto"/>
        <w:rPr>
          <w:rFonts w:ascii="Arial" w:hAnsi="Arial" w:cs="Arial"/>
          <w:sz w:val="20"/>
          <w:szCs w:val="20"/>
        </w:rPr>
      </w:pPr>
      <w:r w:rsidRPr="000340DB">
        <w:rPr>
          <w:rFonts w:ascii="Arial" w:hAnsi="Arial" w:cs="Arial"/>
          <w:sz w:val="20"/>
          <w:szCs w:val="20"/>
        </w:rPr>
        <w:t>People who need to move to a particular locality in the district of the authority, where failure to meet that need would cause hardship to themselves or to others.</w:t>
      </w:r>
    </w:p>
    <w:p w14:paraId="13E59231" w14:textId="77777777" w:rsidR="00817113" w:rsidRPr="000340DB" w:rsidRDefault="00817113" w:rsidP="000340DB">
      <w:pPr>
        <w:pStyle w:val="Heading1"/>
        <w:rPr>
          <w:sz w:val="24"/>
        </w:rPr>
      </w:pPr>
      <w:r w:rsidRPr="000340DB">
        <w:rPr>
          <w:sz w:val="24"/>
        </w:rPr>
        <w:t xml:space="preserve">Mental Capacity </w:t>
      </w:r>
    </w:p>
    <w:p w14:paraId="692614AD"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particular decisions for themselves.  Where an offender lacks capacity, and has no family or friends to support them, the Responsible Authority agencies must make arrangements for an Independent Mental Capacity Advocate to be available and accessible.  </w:t>
      </w:r>
    </w:p>
    <w:p w14:paraId="74F4177F" w14:textId="77777777" w:rsidR="00817113" w:rsidRPr="000340DB" w:rsidRDefault="00817113" w:rsidP="000340DB">
      <w:pPr>
        <w:pStyle w:val="Heading1"/>
        <w:rPr>
          <w:rStyle w:val="Strong"/>
          <w:b/>
          <w:bCs w:val="0"/>
          <w:sz w:val="24"/>
        </w:rPr>
      </w:pPr>
      <w:r w:rsidRPr="000340DB">
        <w:rPr>
          <w:rStyle w:val="Strong"/>
          <w:b/>
          <w:bCs w:val="0"/>
          <w:sz w:val="24"/>
        </w:rPr>
        <w:t>Adult Social Care and Choice of Accommodation</w:t>
      </w:r>
    </w:p>
    <w:p w14:paraId="53365D7E" w14:textId="77777777" w:rsidR="00817113" w:rsidRPr="000340DB" w:rsidRDefault="00817113" w:rsidP="000340DB">
      <w:pPr>
        <w:spacing w:before="240" w:after="240" w:line="280" w:lineRule="exact"/>
        <w:rPr>
          <w:rStyle w:val="Strong"/>
          <w:rFonts w:ascii="Arial" w:hAnsi="Arial" w:cs="Arial"/>
          <w:b w:val="0"/>
          <w:sz w:val="20"/>
          <w:szCs w:val="20"/>
        </w:rPr>
      </w:pPr>
      <w:r w:rsidRPr="000340DB">
        <w:rPr>
          <w:rStyle w:val="Strong"/>
          <w:rFonts w:ascii="Arial" w:hAnsi="Arial" w:cs="Arial"/>
          <w:b w:val="0"/>
          <w:sz w:val="20"/>
          <w:szCs w:val="20"/>
        </w:rPr>
        <w:t xml:space="preserve">21.14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entered into. This avoids a breakdown in the agreement entered into, because if this occurs, the authority would need to review the person’s care and support arrangements where it may then be necessary for the person to move to alternative accommodation. </w:t>
      </w:r>
    </w:p>
    <w:p w14:paraId="67AD9C70" w14:textId="77777777" w:rsidR="00817113" w:rsidRPr="000340DB" w:rsidRDefault="00817113" w:rsidP="000340DB">
      <w:pPr>
        <w:pStyle w:val="Heading1"/>
        <w:rPr>
          <w:b w:val="0"/>
          <w:bCs/>
          <w:sz w:val="24"/>
        </w:rPr>
      </w:pPr>
      <w:r w:rsidRPr="000340DB">
        <w:rPr>
          <w:rStyle w:val="Strong"/>
          <w:b/>
          <w:bCs w:val="0"/>
          <w:sz w:val="24"/>
        </w:rPr>
        <w:t>Universal Credit and Housing Benefit</w:t>
      </w:r>
    </w:p>
    <w:p w14:paraId="0A57639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21.15 Housing is now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This reflects the rent levels of properties with sole use of a bedroom and shared use of at least a living room, kitchen and bathroom. </w:t>
      </w:r>
      <w:r w:rsidRPr="000340DB">
        <w:rPr>
          <w:rStyle w:val="Strong"/>
          <w:rFonts w:ascii="Arial" w:hAnsi="Arial" w:cs="Arial"/>
          <w:b w:val="0"/>
          <w:bCs w:val="0"/>
          <w:sz w:val="20"/>
          <w:szCs w:val="20"/>
        </w:rPr>
        <w:t>Level 2 and 3 MAPPA offenders who live in a self-contained property are exempt from the shared accommodation rate in Universal Credit if they are aged under 35. I</w:t>
      </w:r>
      <w:r w:rsidRPr="000340DB">
        <w:rPr>
          <w:rFonts w:ascii="Arial" w:hAnsi="Arial" w:cs="Arial"/>
          <w:sz w:val="20"/>
          <w:szCs w:val="20"/>
        </w:rPr>
        <w:t>ndividuals of pension age or those who are in Temporary Accommodation or supported/sheltered housing claim Housing Benefit from the Local Authority.</w:t>
      </w:r>
    </w:p>
    <w:p w14:paraId="55941E60"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21.16 The lead agency must complete a MAPPA P where the criteria for exemption to the shared accommodation rate have been met.  This will only contain sufficient detail to enable the claimant to be identified, a statement that the claimant meets the criteria for an exemption and an end date when they will no longer be managed under MAPPA (or its equivalent in Scotland) and therefore no longer meet the conditions for exemption.  An offender may reach their 35th birthday before MAPPA management ends and will therefore no longer require an exemption.  The MAPPA P should be sent via secure email to the DWP MAPPA SPOC for Universal Credit.  Contact details should be agreed in the Memorandum of understanding (see Chapter 3 – Duty to Co-operate Agencies for more details).  The sharing and storage of all personal data must comply with data protection legislation (see Chapter 9 – Information Sharing) and these forms must be destroyed when the offender is no longer subject to MAPPA, whether they have made a claim or not.  </w:t>
      </w:r>
    </w:p>
    <w:p w14:paraId="2E5E1B2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21.17 The exemption will continue to apply even if a MAPPA Level 2 or 3 offender is re-assessed as level 1, unless the offender changes address.  It is advisable to issue a new MAPPA P on a change of address. </w:t>
      </w:r>
    </w:p>
    <w:p w14:paraId="6B44453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21.18 Other MAPPA offenders who do not qualify for the exemption will need to make an application for a Discretionary Housing Payment to the local authority who will consider each request on a case-by-case basis depending upon the needs of the offender and the risk of harm level. They may benefit from support from the lead agency.</w:t>
      </w:r>
    </w:p>
    <w:p w14:paraId="3520229A" w14:textId="77777777" w:rsidR="00817113" w:rsidRPr="000340DB" w:rsidRDefault="00817113" w:rsidP="000340DB">
      <w:pPr>
        <w:pStyle w:val="Heading1"/>
        <w:rPr>
          <w:sz w:val="24"/>
        </w:rPr>
      </w:pPr>
      <w:r w:rsidRPr="000340DB">
        <w:rPr>
          <w:sz w:val="24"/>
        </w:rPr>
        <w:t>LHA contribution to MAPPA</w:t>
      </w:r>
    </w:p>
    <w:p w14:paraId="2CDC3CB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21.19 LHA representatives can make an important contribution to MAPPA given the importance of accommodation in the resettlement of offenders and therefore in the management of risk. They may not have a specific duty to accommodate an offender and the offender may not meet the qualifying criteria for the local allocations scheme, but LHA advice about accommodation, the procedures by which it is allocated and the suitability of particular housing stock is a useful contribution to MAPPA. </w:t>
      </w:r>
    </w:p>
    <w:p w14:paraId="18114ED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21.20 An assessment of the accommodation, its location, the influence of and relationship to other residents etc will need to be made to establish whether this factor is linked to the risk of serious harm and how it is linked. Risk of serious harm to housing staff, including those who work for local housing authorities and private registered providers of social housing, should be managed through the offender’s Risk Management Plan (RMP) and details should be provided through the disclosure process.</w:t>
      </w:r>
    </w:p>
    <w:p w14:paraId="6B0A16DF" w14:textId="77777777" w:rsidR="00817113" w:rsidRPr="000340DB" w:rsidRDefault="00817113" w:rsidP="000340DB">
      <w:pPr>
        <w:pStyle w:val="Heading1"/>
        <w:rPr>
          <w:szCs w:val="28"/>
        </w:rPr>
      </w:pPr>
      <w:r w:rsidRPr="000340DB">
        <w:rPr>
          <w:szCs w:val="28"/>
        </w:rPr>
        <w:t>Restrictions on employment</w:t>
      </w:r>
    </w:p>
    <w:p w14:paraId="7D1C4C83" w14:textId="4325EA00" w:rsidR="00817113" w:rsidRPr="000340DB" w:rsidRDefault="00817113" w:rsidP="000340DB">
      <w:pPr>
        <w:pStyle w:val="NormalWeb"/>
        <w:spacing w:before="240" w:after="240" w:line="280" w:lineRule="exact"/>
        <w:rPr>
          <w:rStyle w:val="Strong"/>
          <w:rFonts w:ascii="Arial" w:hAnsi="Arial" w:cs="Arial"/>
          <w:iCs/>
        </w:rPr>
      </w:pPr>
      <w:r w:rsidRPr="000340DB">
        <w:rPr>
          <w:rStyle w:val="Strong"/>
          <w:rFonts w:ascii="Arial" w:hAnsi="Arial" w:cs="Arial"/>
          <w:iCs/>
        </w:rPr>
        <w:t xml:space="preserve">Standard - The Lead Agency notifies DWP of any restrictions on employment and training using the MAPPA J form </w:t>
      </w:r>
    </w:p>
    <w:p w14:paraId="41B0462F" w14:textId="3C0B4311"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21.21 The Probation </w:t>
      </w:r>
      <w:r w:rsidR="00874B26">
        <w:rPr>
          <w:rFonts w:ascii="Arial" w:hAnsi="Arial" w:cs="Arial"/>
          <w:sz w:val="20"/>
          <w:szCs w:val="20"/>
        </w:rPr>
        <w:t xml:space="preserve">Practitioner </w:t>
      </w:r>
      <w:r w:rsidRPr="000340DB">
        <w:rPr>
          <w:rFonts w:ascii="Arial" w:hAnsi="Arial" w:cs="Arial"/>
          <w:sz w:val="20"/>
          <w:szCs w:val="20"/>
        </w:rPr>
        <w:t xml:space="preserve">has a responsibility to help the offender obtain suitable employment and training. </w:t>
      </w:r>
      <w:r w:rsidRPr="000340DB">
        <w:rPr>
          <w:rStyle w:val="Strong"/>
          <w:rFonts w:ascii="Arial" w:hAnsi="Arial" w:cs="Arial"/>
          <w:sz w:val="20"/>
          <w:szCs w:val="20"/>
        </w:rPr>
        <w:t xml:space="preserve">This includes </w:t>
      </w:r>
      <w:r w:rsidRPr="000340D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risk management plan. </w:t>
      </w:r>
    </w:p>
    <w:p w14:paraId="22815803"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21.22 DWP will seek to place offenders who qualify for Universal Credit into suitable employment or training, according to their personal circumstances. The lead agency must notify the relevant DWP SPOC of any restrictions that would render some types of employment or training unsuitable for the offender. These restrictions could include specific licence conditions, such as exclusion zones and non-contact conditions, Orders, such as SHPOs, or being on a barred list that restricts regulated activity with children or adults or both.</w:t>
      </w:r>
    </w:p>
    <w:p w14:paraId="571A23E2"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21.23 The lead agency (including YOTs and mental health services) must complete a MAPPA J form whenever such restrictions are in place, notifying DWP of the restrictions and when they will cease.  This should be sent by secure e-mail to the DWP SPOC identified in the ISA prior to the offender’s release from custody/hospital, once the licence conditions have been set, or as soon as a court makes a community order or a SHPO. A new MAPPA J must be sent whenever the restrictions or lead agency changes. It is the responsibility of the new lead agency to notify DWP of any changes.</w:t>
      </w:r>
    </w:p>
    <w:p w14:paraId="20DF892B" w14:textId="1165105B"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 xml:space="preserve">Standard: The DWP confirms receipt and contacts the lead agency to discuss where necessary </w:t>
      </w:r>
    </w:p>
    <w:p w14:paraId="3A9DF7F6"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21.24 When DWP receive a MAPPA J, the identified DWP SPOC should contact the OM within five working days to confirm receipt. When the MAPPA J notifies DWP of changes to the offender’s restrictions, the DWP SPOC should also contact the OM to discuss any implications of these changes, if necessary.  </w:t>
      </w:r>
    </w:p>
    <w:p w14:paraId="593E5AD4"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21.25 DWP should seek additional clarification from the OM as required, including where necessary and proportionate information needs to be passed onto DWPs providers to enable suitable employment and training to be provided. </w:t>
      </w:r>
    </w:p>
    <w:p w14:paraId="482F5546" w14:textId="25A17402"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21.26 The DWP SPOC must contact the OM immediately if an offender seeks access to employment or training that would contravene any of the restrictions placed on them or self-discloses information about </w:t>
      </w:r>
      <w:r w:rsidR="001F15CD">
        <w:rPr>
          <w:rFonts w:ascii="Arial" w:hAnsi="Arial" w:cs="Arial"/>
          <w:sz w:val="20"/>
          <w:szCs w:val="20"/>
        </w:rPr>
        <w:t>their</w:t>
      </w:r>
      <w:r w:rsidRPr="000340DB">
        <w:rPr>
          <w:rFonts w:ascii="Arial" w:hAnsi="Arial" w:cs="Arial"/>
          <w:sz w:val="20"/>
          <w:szCs w:val="20"/>
        </w:rPr>
        <w:t xml:space="preserve"> sexual or violent offending or any other information that raises concern.  </w:t>
      </w:r>
    </w:p>
    <w:p w14:paraId="5AE74B99" w14:textId="77777777" w:rsidR="00817113" w:rsidRPr="000340DB" w:rsidRDefault="00817113" w:rsidP="000340DB">
      <w:pPr>
        <w:pStyle w:val="NormalWeb"/>
        <w:spacing w:before="240" w:after="240" w:line="280" w:lineRule="exact"/>
        <w:rPr>
          <w:rFonts w:ascii="Arial" w:hAnsi="Arial" w:cs="Arial"/>
          <w:b/>
        </w:rPr>
      </w:pPr>
      <w:r w:rsidRPr="000340DB">
        <w:rPr>
          <w:rFonts w:ascii="Arial" w:hAnsi="Arial" w:cs="Arial"/>
          <w:b/>
        </w:rPr>
        <w:t>Standard - Notification to DWP using the MAPPA J is identified in the Risk Management Plan, and relevant details placed on ViSOR.</w:t>
      </w:r>
    </w:p>
    <w:p w14:paraId="764C1F5F"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21.27 The MAPPA J should also identify whether there is a risk of serious harm to DWP staff, including contracted staff and those dealing with offenders applying for benefits and carrying out medical examinations for work capability assessments. The disclosure process should also be used to inform DWP staff of the risks presented by MAPPA offenders who do not have relevant restrictions. See Chapter 10 – Disclosure for more details.</w:t>
      </w:r>
    </w:p>
    <w:p w14:paraId="615C63D7"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21.28 No other information about the offender, including previous or current offences or the risk of serious harm the offender presents to the general public, should be shared with DWP on the MAPPA J. The role of DWP is to place an offender into suitable employment or training, being mindful only of any current and relevant restrictions placed on that offender. </w:t>
      </w:r>
    </w:p>
    <w:p w14:paraId="306F1156" w14:textId="0C9AE363"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21.29 The offender should normally be informed when DWP is notified of the details of any restrictions placed on them.  There may be exceptional circumstances when restrictions affecting employment or training are imposed without telling the offender what these restrictions are. This might apply, for example, when there is reason to believe that an offender would become a greater risk, or pose an unacceptably high new risk, if </w:t>
      </w:r>
      <w:r w:rsidR="00893F81">
        <w:rPr>
          <w:rFonts w:ascii="Arial" w:hAnsi="Arial" w:cs="Arial"/>
          <w:sz w:val="20"/>
          <w:szCs w:val="20"/>
        </w:rPr>
        <w:t>they were</w:t>
      </w:r>
      <w:r w:rsidRPr="000340DB">
        <w:rPr>
          <w:rFonts w:ascii="Arial" w:hAnsi="Arial" w:cs="Arial"/>
          <w:sz w:val="20"/>
          <w:szCs w:val="20"/>
        </w:rPr>
        <w:t xml:space="preserve"> informed about the restriction imposed. Given the potential for risk of harm to DWP staff in dealing with these exceptional cases, the MAPPA J should </w:t>
      </w:r>
      <w:r w:rsidRPr="000340DB">
        <w:rPr>
          <w:rStyle w:val="Strong"/>
          <w:rFonts w:ascii="Arial" w:hAnsi="Arial" w:cs="Arial"/>
          <w:sz w:val="20"/>
          <w:szCs w:val="20"/>
        </w:rPr>
        <w:t>not</w:t>
      </w:r>
      <w:r w:rsidRPr="000340DB">
        <w:rPr>
          <w:rFonts w:ascii="Arial" w:hAnsi="Arial" w:cs="Arial"/>
          <w:sz w:val="20"/>
          <w:szCs w:val="20"/>
        </w:rPr>
        <w:t xml:space="preserve"> be issued in these circumstances without prior discussion with the relevant DWP SPOC.</w:t>
      </w:r>
    </w:p>
    <w:p w14:paraId="2FF8EF1A" w14:textId="77777777"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21.30 Where there is a ViSOR record, the date the MAPPA J was sent to DWP, the restrictions and when the restrictions end, should be recorded in the activity log.</w:t>
      </w:r>
    </w:p>
    <w:p w14:paraId="7BF990A2" w14:textId="7D67C085" w:rsidR="00817113" w:rsidRPr="000340DB" w:rsidRDefault="00817113" w:rsidP="000340DB">
      <w:pPr>
        <w:pStyle w:val="NormalWeb"/>
        <w:spacing w:before="240" w:after="240" w:line="280" w:lineRule="exact"/>
        <w:rPr>
          <w:rFonts w:ascii="Arial" w:hAnsi="Arial" w:cs="Arial"/>
          <w:sz w:val="20"/>
          <w:szCs w:val="20"/>
        </w:rPr>
      </w:pPr>
      <w:r w:rsidRPr="000340DB">
        <w:rPr>
          <w:rFonts w:ascii="Arial" w:hAnsi="Arial" w:cs="Arial"/>
          <w:sz w:val="20"/>
          <w:szCs w:val="20"/>
        </w:rPr>
        <w:t xml:space="preserve">21.31 Offenders on licence who are not subject to any specific restrictions on their employment or training are nevertheless prohibited from undertaking employment without the approval of their </w:t>
      </w:r>
      <w:r w:rsidR="007734E6">
        <w:rPr>
          <w:rFonts w:ascii="Arial" w:hAnsi="Arial" w:cs="Arial"/>
          <w:sz w:val="20"/>
          <w:szCs w:val="20"/>
        </w:rPr>
        <w:t>Probation Practitioner</w:t>
      </w:r>
      <w:r w:rsidRPr="000340DB">
        <w:rPr>
          <w:rFonts w:ascii="Arial" w:hAnsi="Arial" w:cs="Arial"/>
          <w:sz w:val="20"/>
          <w:szCs w:val="20"/>
        </w:rPr>
        <w:t xml:space="preserve">.  The </w:t>
      </w:r>
      <w:r w:rsidR="007734E6">
        <w:rPr>
          <w:rFonts w:ascii="Arial" w:hAnsi="Arial" w:cs="Arial"/>
          <w:sz w:val="20"/>
          <w:szCs w:val="20"/>
        </w:rPr>
        <w:t xml:space="preserve">Probation Practitioner </w:t>
      </w:r>
      <w:r w:rsidRPr="000340DB">
        <w:rPr>
          <w:rFonts w:ascii="Arial" w:hAnsi="Arial" w:cs="Arial"/>
          <w:sz w:val="20"/>
          <w:szCs w:val="20"/>
        </w:rPr>
        <w:t xml:space="preserve">may impose restrictions on employment and training where necessary.  These will need to be necessary and proportionate to the risk of serious harm posed and decided on a case-by-case basis. In these cases, the </w:t>
      </w:r>
      <w:r w:rsidR="007734E6">
        <w:rPr>
          <w:rFonts w:ascii="Arial" w:hAnsi="Arial" w:cs="Arial"/>
          <w:sz w:val="20"/>
          <w:szCs w:val="20"/>
        </w:rPr>
        <w:t xml:space="preserve">Probation Practitioner </w:t>
      </w:r>
      <w:r w:rsidRPr="000340DB">
        <w:rPr>
          <w:rFonts w:ascii="Arial" w:hAnsi="Arial" w:cs="Arial"/>
          <w:sz w:val="20"/>
          <w:szCs w:val="20"/>
        </w:rPr>
        <w:t xml:space="preserve">should discuss the circumstances with the relevant DWP SPOC before issuing a MAPPA J. The end date for restrictions of this kind will be the date of the end of the offender's supervision, or earlier, should the restrictions be deemed no longer necessary. </w:t>
      </w:r>
    </w:p>
    <w:p w14:paraId="302E8F0A" w14:textId="77777777" w:rsidR="00817113" w:rsidRPr="000340DB" w:rsidRDefault="00817113" w:rsidP="000340DB">
      <w:pPr>
        <w:pStyle w:val="NormalWeb"/>
        <w:spacing w:before="240" w:after="240" w:line="280" w:lineRule="exact"/>
        <w:rPr>
          <w:rFonts w:ascii="Arial" w:hAnsi="Arial" w:cs="Arial"/>
          <w:b/>
          <w:bCs/>
        </w:rPr>
      </w:pPr>
      <w:r w:rsidRPr="000340DB">
        <w:rPr>
          <w:rFonts w:ascii="Arial" w:hAnsi="Arial" w:cs="Arial"/>
          <w:b/>
          <w:bCs/>
        </w:rPr>
        <w:t>Standard - DWP remove any information about restrictions placed on an offender from their systems on the restrictions’ end date, as stated on the MAPPA J.</w:t>
      </w:r>
    </w:p>
    <w:p w14:paraId="05323399" w14:textId="77777777" w:rsidR="00817113" w:rsidRPr="000340DB" w:rsidRDefault="00817113" w:rsidP="000340DB">
      <w:pPr>
        <w:spacing w:before="240" w:after="240" w:line="280" w:lineRule="exact"/>
        <w:rPr>
          <w:rFonts w:ascii="Arial" w:hAnsi="Arial" w:cs="Arial"/>
          <w:sz w:val="20"/>
          <w:szCs w:val="20"/>
        </w:rPr>
      </w:pPr>
    </w:p>
    <w:p w14:paraId="198A6F48" w14:textId="77777777" w:rsidR="00F2123B" w:rsidRDefault="00200CFB">
      <w:pPr>
        <w:pageBreakBefore/>
        <w:spacing w:line="280" w:lineRule="atLeast"/>
      </w:pPr>
      <w:r>
        <w:rPr>
          <w:rFonts w:ascii="Arial" w:hAnsi="Arial" w:cs="Arial"/>
          <w:b/>
          <w:sz w:val="36"/>
          <w:szCs w:val="36"/>
        </w:rPr>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49"/>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in order to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AD2BEF">
      <w:pPr>
        <w:numPr>
          <w:ilvl w:val="0"/>
          <w:numId w:val="41"/>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AD2BEF">
      <w:pPr>
        <w:numPr>
          <w:ilvl w:val="0"/>
          <w:numId w:val="41"/>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0"/>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meetings, however their involvement should not be limited to the passive receipt of information.  Victims need to be given clear information about how their concerns will be fed into the process.  Victims can make an important contribution to risk assessment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ultimately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abuse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licence they can provide feedback to the VLO to see if an agreement can be reached. The 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whether or not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taken into account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1"/>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39"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considers that there may be a case for disclosing information that goes beyond the general provisions of the VCS, such a proposal should be discussed at a MAPPA meeting, as a matter of good practice, to ensure that all relevant information is fed in to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is considered to be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in particular in relation to complex disclosures such as gender reassignment or photographs, please contact the National MAPPA Team at </w:t>
      </w:r>
      <w:hyperlink r:id="rId40"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t>23.</w:t>
      </w:r>
      <w:r>
        <w:rPr>
          <w:rFonts w:eastAsia="Arial"/>
          <w:sz w:val="36"/>
          <w:szCs w:val="36"/>
        </w:rPr>
        <w:t xml:space="preserve"> </w:t>
      </w:r>
      <w:r>
        <w:rPr>
          <w:sz w:val="36"/>
          <w:szCs w:val="36"/>
        </w:rPr>
        <w:t>Children</w:t>
      </w:r>
    </w:p>
    <w:p w14:paraId="5F22C5A5" w14:textId="77777777" w:rsidR="007D373D" w:rsidRPr="00EF534B" w:rsidRDefault="007D373D" w:rsidP="00EF534B">
      <w:pPr>
        <w:pStyle w:val="Heading1"/>
        <w:rPr>
          <w:szCs w:val="28"/>
          <w:lang w:eastAsia="en-GB"/>
        </w:rPr>
      </w:pPr>
      <w:r w:rsidRPr="00EF534B">
        <w:rPr>
          <w:szCs w:val="28"/>
        </w:rPr>
        <w:t>Child Centred Approach</w:t>
      </w:r>
    </w:p>
    <w:p w14:paraId="65E4ECDE"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in their own right and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6D197EE1"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62FF2AAE" w14:textId="6087F03A" w:rsidR="007D373D" w:rsidRPr="00EF534B" w:rsidRDefault="007D373D" w:rsidP="00EF534B">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sidR="00895DFA">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2"/>
      </w:r>
    </w:p>
    <w:p w14:paraId="3286EE37" w14:textId="77777777" w:rsidR="007D373D" w:rsidRPr="00EF534B" w:rsidRDefault="007D373D" w:rsidP="00EF534B">
      <w:pPr>
        <w:pStyle w:val="Heading1"/>
        <w:rPr>
          <w:szCs w:val="28"/>
        </w:rPr>
      </w:pPr>
      <w:r w:rsidRPr="00EF534B">
        <w:rPr>
          <w:szCs w:val="28"/>
        </w:rPr>
        <w:t>Children and the Criminal Justice System</w:t>
      </w:r>
    </w:p>
    <w:p w14:paraId="6B3D6D1E" w14:textId="189AC52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3"/>
      </w:r>
      <w:r w:rsidRPr="00EF534B">
        <w:rPr>
          <w:rFonts w:ascii="Arial" w:hAnsi="Arial" w:cs="Arial"/>
          <w:sz w:val="20"/>
          <w:szCs w:val="20"/>
          <w:lang w:eastAsia="en-GB"/>
        </w:rPr>
        <w:t xml:space="preserve">.  </w:t>
      </w:r>
    </w:p>
    <w:p w14:paraId="6904EEAC" w14:textId="55AE3E5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62B7AECF"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Referral Order requires the child to attend a youth offender panel and agree a contract. The aim is for the child to make up for the harm caused and address their offending behaviour. This is generally used for first time offenders who admit guilt. It is unlikely that a child on a Referral Order would qualify for MAPPA management. Failure to comply with the Order may result in a return to court.</w:t>
      </w:r>
    </w:p>
    <w:p w14:paraId="6E5E1FF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04D1F1AB"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A Detention and Training Order (DTO) is a custodial sentence that can last between four months and two years. The first half of a DTO is served in custody,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3DE04DDE"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 longer term sentence is available under Section 91 of the Powers of Criminal Courts (Sentencing) Act 2000 (PCC(S)A) 2000 if a child is convicted of an offence for which an adult of 21 years or over could receive a custodial sentence of 14 years or more, or if they commit certain sexual or firearm offences. </w:t>
      </w:r>
    </w:p>
    <w:p w14:paraId="7504BFAC"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An Indeterminate Sentence of Detention for Life and an Extended Custodial Sentence may be passed under section 226 and 226B of the Criminal Justice Act 2003 respectively, for conviction for a specified offence where the court believes that they are dangerous. </w:t>
      </w:r>
    </w:p>
    <w:p w14:paraId="1C66B660"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ind w:left="714" w:hanging="357"/>
        <w:textAlignment w:val="auto"/>
        <w:rPr>
          <w:rFonts w:ascii="Arial" w:hAnsi="Arial" w:cs="Arial"/>
          <w:sz w:val="20"/>
          <w:szCs w:val="20"/>
          <w:lang w:eastAsia="en-GB"/>
        </w:rPr>
      </w:pPr>
      <w:r w:rsidRPr="00EF534B">
        <w:rPr>
          <w:rFonts w:ascii="Arial" w:hAnsi="Arial" w:cs="Arial"/>
          <w:sz w:val="20"/>
          <w:szCs w:val="20"/>
          <w:lang w:eastAsia="en-GB"/>
        </w:rPr>
        <w:t xml:space="preserve">Detention at Her Majesty’s Pleasure is a mandatory life sentence under Section 90 of the PCC(S)A 2000 for children convicted of murder. A minimum term, which must be served in custody, is set by the courts. </w:t>
      </w:r>
    </w:p>
    <w:p w14:paraId="6463506D" w14:textId="77777777" w:rsidR="007D373D" w:rsidRPr="00EF534B" w:rsidRDefault="007D373D" w:rsidP="00AD2BEF">
      <w:pPr>
        <w:pStyle w:val="ListParagraph"/>
        <w:numPr>
          <w:ilvl w:val="0"/>
          <w:numId w:val="75"/>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special sentence for offenders of particular concern consists of a custodial term and a further year on licence. </w:t>
      </w:r>
    </w:p>
    <w:p w14:paraId="1FE6446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Young Offender Institution (YOI), a Secure Training Centre (STC), a Secure School or a Secure Children’s Home (SCH). </w:t>
      </w:r>
    </w:p>
    <w:p w14:paraId="6AEB6FEB" w14:textId="048A6DCC"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23.6 YOIs may accommodate male children only aged between 15-17 years old in addition to their regular population of 18 to 20year olds; STCs and Secure Schools accommodate male and female children aged between 12-17 years old; while SCHs accommodate male and female children between the ages of 10-17.</w:t>
      </w:r>
      <w:r w:rsidRPr="00EF534B">
        <w:rPr>
          <w:rStyle w:val="FootnoteReference"/>
          <w:rFonts w:ascii="Arial" w:hAnsi="Arial" w:cs="Arial"/>
          <w:sz w:val="20"/>
          <w:szCs w:val="20"/>
          <w:lang w:eastAsia="en-GB"/>
        </w:rPr>
        <w:footnoteReference w:id="54"/>
      </w:r>
      <w:r w:rsidRPr="00EF534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382260A3" w14:textId="77777777" w:rsidR="007D373D" w:rsidRPr="00EF534B" w:rsidRDefault="007D373D" w:rsidP="00EF534B">
      <w:pPr>
        <w:spacing w:before="240" w:after="240" w:line="280" w:lineRule="exact"/>
        <w:rPr>
          <w:rFonts w:ascii="Arial" w:eastAsiaTheme="minorHAnsi" w:hAnsi="Arial" w:cs="Arial"/>
          <w:sz w:val="20"/>
          <w:szCs w:val="20"/>
          <w:lang w:eastAsia="en-US"/>
        </w:rPr>
      </w:pPr>
      <w:r w:rsidRPr="00EF534B">
        <w:rPr>
          <w:rFonts w:ascii="Arial" w:eastAsiaTheme="minorHAnsi" w:hAnsi="Arial" w:cs="Arial"/>
          <w:sz w:val="20"/>
          <w:szCs w:val="20"/>
        </w:rPr>
        <w:t>23.7 A decision about the most appropriate placement will be made after considering each child’s individual needs and the YOT placement recommendation against a view of the available accommodation. Placements will be made with the aim of promoting children’s safety and ensuring decisions are made in children’s best interests.</w:t>
      </w:r>
    </w:p>
    <w:p w14:paraId="11BF4FC1" w14:textId="77777777" w:rsidR="007D373D" w:rsidRPr="00EF534B" w:rsidRDefault="007D373D" w:rsidP="00EF534B">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47B9F61E" w14:textId="77777777" w:rsidR="007D373D" w:rsidRPr="00EF534B" w:rsidRDefault="007D373D" w:rsidP="00EF534B">
      <w:pPr>
        <w:pStyle w:val="Heading1"/>
        <w:rPr>
          <w:szCs w:val="28"/>
        </w:rPr>
      </w:pPr>
      <w:r w:rsidRPr="00EF534B">
        <w:rPr>
          <w:szCs w:val="28"/>
        </w:rPr>
        <w:t>Looked After Children and Care Experienced Offenders</w:t>
      </w:r>
    </w:p>
    <w:p w14:paraId="29A4BCA5" w14:textId="77777777" w:rsidR="007D373D" w:rsidRPr="00EF534B" w:rsidRDefault="007D373D" w:rsidP="00EF534B">
      <w:pPr>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23.9 It is the responsibility of YOTs to provide support and interventions to children. However, if the child is in receipt of services from Children’s Services e.g. because they are a looked after child, the YOT and Children’s Services should liaise with each other to ensure the child’s needs are met. </w:t>
      </w:r>
    </w:p>
    <w:p w14:paraId="1C883E37"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31C78E3C"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FA86DDC" w14:textId="4DA2CB8E"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0B8B7781" w14:textId="77777777" w:rsidR="007D373D" w:rsidRPr="00EF534B" w:rsidRDefault="007D373D" w:rsidP="00AD2BEF">
      <w:pPr>
        <w:pStyle w:val="ListParagraph"/>
        <w:numPr>
          <w:ilvl w:val="0"/>
          <w:numId w:val="76"/>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the child may already be an eligible/category one or relevant/category two child (see paragraph 23.11 – 23.12). </w:t>
      </w:r>
    </w:p>
    <w:p w14:paraId="0074368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The local authority has a duty to support all children on remand.</w:t>
      </w:r>
    </w:p>
    <w:p w14:paraId="4EB4EBE1" w14:textId="5F6518C8"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19007BC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5"/>
      </w:r>
      <w:r w:rsidRPr="00EF534B">
        <w:rPr>
          <w:rFonts w:ascii="Arial" w:hAnsi="Arial" w:cs="Arial"/>
          <w:sz w:val="20"/>
          <w:szCs w:val="20"/>
          <w:lang w:eastAsia="en-GB"/>
        </w:rPr>
        <w:t xml:space="preserve">. </w:t>
      </w:r>
    </w:p>
    <w:p w14:paraId="3BBE4488"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esearch suggests that up to 28% of adult male prisoners and 51% of adult female prisoners are care experienced. It is important that professionals working with children or adults (including MAPPA offenders) who have experienced the care system familiarise themselves with</w:t>
      </w:r>
    </w:p>
    <w:p w14:paraId="0D57F970"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56"/>
      </w:r>
      <w:r w:rsidRPr="00EF534B">
        <w:rPr>
          <w:rFonts w:ascii="Arial" w:hAnsi="Arial" w:cs="Arial"/>
          <w:sz w:val="20"/>
          <w:szCs w:val="20"/>
        </w:rPr>
        <w:t xml:space="preserve"> </w:t>
      </w:r>
    </w:p>
    <w:p w14:paraId="030903F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57"/>
      </w:r>
      <w:r w:rsidRPr="00EF534B">
        <w:rPr>
          <w:rFonts w:ascii="Arial" w:hAnsi="Arial" w:cs="Arial"/>
          <w:sz w:val="20"/>
          <w:szCs w:val="20"/>
        </w:rPr>
        <w:t xml:space="preserve">; and </w:t>
      </w:r>
    </w:p>
    <w:p w14:paraId="0BEA2979" w14:textId="77777777" w:rsidR="007D373D" w:rsidRPr="00EF534B" w:rsidRDefault="007D373D" w:rsidP="00AD2BEF">
      <w:pPr>
        <w:pStyle w:val="ListParagraph"/>
        <w:numPr>
          <w:ilvl w:val="0"/>
          <w:numId w:val="77"/>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3145BB6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 xml:space="preserve">t is essential that the appropriate agency(s) is/are in attendance at all MAPPA meetings, including the local authority leaving care teams. </w:t>
      </w:r>
    </w:p>
    <w:p w14:paraId="610E5DED" w14:textId="77777777" w:rsidR="007D373D" w:rsidRPr="00EF534B" w:rsidRDefault="007D373D" w:rsidP="00EF534B">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5DB11DA4" w14:textId="77777777" w:rsidR="007D373D" w:rsidRPr="0055756E" w:rsidRDefault="007D373D" w:rsidP="00EF534B">
      <w:pPr>
        <w:pStyle w:val="Heading1"/>
        <w:rPr>
          <w:szCs w:val="28"/>
        </w:rPr>
      </w:pPr>
      <w:r w:rsidRPr="0055756E">
        <w:rPr>
          <w:szCs w:val="28"/>
        </w:rPr>
        <w:t>Consideration of the needs of the child</w:t>
      </w:r>
    </w:p>
    <w:p w14:paraId="7B9B75B2"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must have regard to both the welfare of the child</w:t>
      </w:r>
      <w:r w:rsidRPr="00EF534B">
        <w:rPr>
          <w:rStyle w:val="FootnoteReference"/>
          <w:rFonts w:ascii="Arial" w:hAnsi="Arial" w:cs="Arial"/>
          <w:sz w:val="20"/>
          <w:szCs w:val="20"/>
          <w:lang w:eastAsia="en-GB"/>
        </w:rPr>
        <w:footnoteReference w:id="58"/>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w:t>
      </w:r>
    </w:p>
    <w:p w14:paraId="77678839"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23.16 Under the Children Act 2004, a number of local agencies, including the police, the Prison Service, the Probation Service, health services and YOTs have a statutory duty to make arrangements for ensuring that "</w:t>
      </w:r>
      <w:bookmarkStart w:id="18" w:name="_Hlk75858408"/>
      <w:r w:rsidRPr="00EF534B">
        <w:rPr>
          <w:rFonts w:ascii="Arial" w:hAnsi="Arial" w:cs="Arial"/>
          <w:sz w:val="20"/>
          <w:szCs w:val="20"/>
          <w:lang w:eastAsia="en-GB"/>
        </w:rPr>
        <w:t>their functions are discharged having regard to the need to safeguard and promote the welfare of children</w:t>
      </w:r>
      <w:bookmarkEnd w:id="18"/>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0"/>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4B02D40C"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Children convicted of an offence or who are alleged to have engaged in offending behaviour are entitled to the same safeguards and protection as any other child and due regard should be given to their welfare at all times</w:t>
      </w:r>
      <w:r w:rsidRPr="00EF534B">
        <w:rPr>
          <w:rStyle w:val="FootnoteReference"/>
          <w:rFonts w:ascii="Arial" w:hAnsi="Arial" w:cs="Arial"/>
          <w:sz w:val="20"/>
          <w:szCs w:val="20"/>
        </w:rPr>
        <w:footnoteReference w:id="61"/>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take into account the maturity, special educational needs, safety and well-being of the child. The YOT can submit a request to the Governor (if the child is in a YOI) or the YCS (if the child is in an SCH or STC) to consider additional conditions. The Victim Liaison Officer (VLO) can also make representations for additional conditions on behalf of the victim under the Domestic Violence, Crime and Victims Act (DVCVA) 2004.The meeting should have a child-centred approach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YOT should always be represented at these MAPPA meetings. Considering the needs of the child is not incompatible with the protection of the public and the aims of MAPPA.</w:t>
      </w:r>
    </w:p>
    <w:p w14:paraId="41A7F0A4"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23.18 When a child is subject to MAPPA and is also being assessed as a Child In Need or Looked After by the Local Authority, it is essential that the appropriate agencies are in attendance at all MAPPA meetings.  The meeting should consider any Child Protection Plan, Child In Need Plan, Education Health and Care Plan (EHCP), Care Plan or Early Help support being provided by the Local Authority or one of its partners.  If the child is Looked after by the Local authority their Independent Review Officer (IRO) should be informed.</w:t>
      </w:r>
    </w:p>
    <w:p w14:paraId="209B3047" w14:textId="77777777" w:rsidR="007D373D" w:rsidRPr="0055756E" w:rsidRDefault="007D373D" w:rsidP="00EF534B">
      <w:pPr>
        <w:pStyle w:val="Heading1"/>
        <w:rPr>
          <w:szCs w:val="28"/>
          <w:lang w:eastAsia="en-GB"/>
        </w:rPr>
      </w:pPr>
      <w:r w:rsidRPr="0055756E">
        <w:rPr>
          <w:szCs w:val="28"/>
        </w:rPr>
        <w:t>Identification and notification</w:t>
      </w:r>
    </w:p>
    <w:p w14:paraId="65AA94E6" w14:textId="77777777" w:rsidR="007D373D" w:rsidRPr="0055756E" w:rsidRDefault="007D373D" w:rsidP="00EF534B">
      <w:pPr>
        <w:shd w:val="clear" w:color="auto" w:fill="FFFFFF"/>
        <w:spacing w:before="240" w:after="240" w:line="280" w:lineRule="exact"/>
        <w:rPr>
          <w:rFonts w:ascii="Arial" w:hAnsi="Arial" w:cs="Arial"/>
          <w:b/>
          <w:bCs/>
          <w:lang w:eastAsia="en-GB"/>
        </w:rPr>
      </w:pPr>
      <w:bookmarkStart w:id="19" w:name="7125204"/>
      <w:bookmarkEnd w:id="19"/>
      <w:r w:rsidRPr="0055756E">
        <w:rPr>
          <w:rFonts w:ascii="Arial" w:hAnsi="Arial" w:cs="Arial"/>
          <w:b/>
          <w:bCs/>
          <w:lang w:eastAsia="en-GB"/>
        </w:rPr>
        <w:t>Standard - Arrangements are in place for the identification and notification of MAPPA eligible children</w:t>
      </w:r>
    </w:p>
    <w:p w14:paraId="350515FF"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23.19 The YOT is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19D011EE"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AssetPlus,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serious harm to others and safety and wellbeing of the child. </w:t>
      </w:r>
      <w:r w:rsidRPr="00EF534B">
        <w:rPr>
          <w:rFonts w:ascii="Arial" w:hAnsi="Arial" w:cs="Arial"/>
          <w:sz w:val="20"/>
          <w:szCs w:val="20"/>
          <w:lang w:eastAsia="en-GB"/>
        </w:rPr>
        <w:t xml:space="preserve">YOT practitioners should refer to the YJB AssetPlus Guidance on MAPPA categorisation and recording.  </w:t>
      </w:r>
    </w:p>
    <w:p w14:paraId="3D3AFFAA" w14:textId="77777777" w:rsidR="007D373D" w:rsidRPr="00EF534B" w:rsidRDefault="007D373D" w:rsidP="00EF534B">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AssetPlus. The incorporated resettlement plan should enable the child’s shift from a pro-criminal to pro-social identity in order to secure long term desistance from offending.  </w:t>
      </w:r>
    </w:p>
    <w:p w14:paraId="0B981604" w14:textId="77777777" w:rsidR="007D373D" w:rsidRPr="0055756E" w:rsidRDefault="007D373D" w:rsidP="00EF534B">
      <w:pPr>
        <w:pStyle w:val="Heading1"/>
        <w:rPr>
          <w:szCs w:val="28"/>
          <w:lang w:eastAsia="en-GB"/>
        </w:rPr>
      </w:pPr>
      <w:r w:rsidRPr="0055756E">
        <w:rPr>
          <w:szCs w:val="28"/>
        </w:rPr>
        <w:t>Custody</w:t>
      </w:r>
    </w:p>
    <w:p w14:paraId="34CC1FF2" w14:textId="77777777" w:rsidR="007D373D" w:rsidRPr="00EF534B" w:rsidRDefault="007D373D" w:rsidP="00EF534B">
      <w:pPr>
        <w:shd w:val="clear" w:color="auto" w:fill="FFFFFF"/>
        <w:spacing w:before="240" w:after="240" w:line="280" w:lineRule="exact"/>
        <w:outlineLvl w:val="0"/>
        <w:rPr>
          <w:rFonts w:ascii="Arial" w:hAnsi="Arial" w:cs="Arial"/>
          <w:kern w:val="36"/>
          <w:sz w:val="20"/>
          <w:szCs w:val="20"/>
          <w:lang w:eastAsia="en-GB"/>
        </w:rPr>
      </w:pPr>
      <w:r w:rsidRPr="00EF534B">
        <w:rPr>
          <w:rFonts w:ascii="Arial" w:hAnsi="Arial" w:cs="Arial"/>
          <w:sz w:val="20"/>
          <w:szCs w:val="20"/>
          <w:lang w:eastAsia="en-GB"/>
        </w:rPr>
        <w:t>23.22 YOIs, STCs and SCHs must comply with all requirements made on prisons in this Guidance, except those in relation to ViSOR. These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0B8B3F6A" w14:textId="77777777" w:rsidR="007D373D" w:rsidRPr="0055756E" w:rsidRDefault="007D373D" w:rsidP="00EF534B">
      <w:pPr>
        <w:pStyle w:val="Heading1"/>
        <w:rPr>
          <w:kern w:val="36"/>
          <w:szCs w:val="28"/>
          <w:lang w:eastAsia="en-GB"/>
        </w:rPr>
      </w:pPr>
      <w:r w:rsidRPr="0055756E">
        <w:rPr>
          <w:szCs w:val="28"/>
        </w:rPr>
        <w:t xml:space="preserve">MAPPA Management </w:t>
      </w:r>
    </w:p>
    <w:p w14:paraId="780C75D5" w14:textId="77777777" w:rsidR="007D373D" w:rsidRPr="0055756E" w:rsidRDefault="007D373D" w:rsidP="00EF534B">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6568375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bookmarkStart w:id="20" w:name="7125268"/>
      <w:bookmarkEnd w:id="20"/>
      <w:r w:rsidRPr="00EF534B">
        <w:rPr>
          <w:rFonts w:ascii="Arial" w:hAnsi="Arial" w:cs="Arial"/>
          <w:sz w:val="20"/>
          <w:szCs w:val="20"/>
          <w:lang w:eastAsia="en-GB"/>
        </w:rPr>
        <w:t>23.23 The YOT must review all of its MAPPA cases and refer appropriate cases to Level 2 or 3 using the MAPPA A, taking into account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information please see Chapter 7 – Levels of Management.</w:t>
      </w:r>
    </w:p>
    <w:p w14:paraId="4E4D22EF"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ViSOR is accurate in relation to young children in the community</w:t>
      </w:r>
    </w:p>
    <w:p w14:paraId="00DC125F" w14:textId="4251CD49"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ViSOR records for Category 1 children and the Probation Service will create ViSOR records for Category 2 children. The police and </w:t>
      </w:r>
      <w:r w:rsidR="000F5599">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 For further information see Chapter 8 – ViSOR.</w:t>
      </w:r>
    </w:p>
    <w:p w14:paraId="0855D5C7" w14:textId="77777777" w:rsidR="007D373D" w:rsidRPr="0055756E" w:rsidRDefault="007D373D" w:rsidP="00EF534B">
      <w:pPr>
        <w:pStyle w:val="Heading1"/>
        <w:rPr>
          <w:szCs w:val="28"/>
          <w:lang w:eastAsia="en-GB"/>
        </w:rPr>
      </w:pPr>
      <w:r w:rsidRPr="0055756E">
        <w:rPr>
          <w:szCs w:val="28"/>
        </w:rPr>
        <w:t>Attendance at MAPPA meetings</w:t>
      </w:r>
    </w:p>
    <w:p w14:paraId="5FF6E472" w14:textId="77777777" w:rsidR="007D373D" w:rsidRPr="0055756E" w:rsidRDefault="007D373D" w:rsidP="00EF534B">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22835BF1"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13a.15-18 for details of who should attend MAPPA meetings.  </w:t>
      </w:r>
    </w:p>
    <w:p w14:paraId="3565E418"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1F455CB3" w14:textId="77777777" w:rsidR="007D373D" w:rsidRPr="0055756E" w:rsidRDefault="007D373D" w:rsidP="00EF534B">
      <w:pPr>
        <w:pStyle w:val="Heading1"/>
        <w:rPr>
          <w:szCs w:val="28"/>
          <w:lang w:eastAsia="en-GB"/>
        </w:rPr>
      </w:pPr>
      <w:bookmarkStart w:id="21" w:name="7125396"/>
      <w:bookmarkEnd w:id="21"/>
      <w:r w:rsidRPr="0055756E">
        <w:rPr>
          <w:szCs w:val="28"/>
        </w:rPr>
        <w:t xml:space="preserve">Disclosure </w:t>
      </w:r>
    </w:p>
    <w:p w14:paraId="3D454A96"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23.27 All of the factors relating to the disclosure of information discussed in Chapter 9 – Information Sharing, and Chapter 10 – Disclosure, also apply to children. It is important to note that victims in the Victim Contact Scheme have the right to be told about key stages of the sentence, such as release, as set out in the Victims Code. There is, however, an additional factor: harm to the child that could occur because disclosure has taken place.</w:t>
      </w:r>
    </w:p>
    <w:p w14:paraId="2EB52973"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23.28 For example, when a child who has committed a sexual offence is still of school age, the consideration of whether and how to disclose information must take into account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6B4E3820" w14:textId="77777777" w:rsidR="007D373D" w:rsidRPr="00EF534B" w:rsidRDefault="007D373D" w:rsidP="00EF534B">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In order to ensure that the proper considerations have been taken into account,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593FF386" w14:textId="77777777" w:rsidR="007D373D" w:rsidRPr="0055756E" w:rsidRDefault="007D373D" w:rsidP="00EF534B">
      <w:pPr>
        <w:pStyle w:val="Heading1"/>
        <w:rPr>
          <w:szCs w:val="28"/>
        </w:rPr>
      </w:pPr>
      <w:r w:rsidRPr="0055756E">
        <w:rPr>
          <w:szCs w:val="28"/>
        </w:rPr>
        <w:t>Transition to Adult Services</w:t>
      </w:r>
    </w:p>
    <w:p w14:paraId="731E7D6C" w14:textId="77777777" w:rsidR="007D373D" w:rsidRPr="00EF534B" w:rsidRDefault="007D373D" w:rsidP="0098084F">
      <w:pPr>
        <w:pStyle w:val="Text"/>
      </w:pPr>
      <w:r w:rsidRPr="00EF534B">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transfer should be considered at least six months in advance of an offender’s 18th birthday. For Level 1 offenders, the MAPPA level should be formally reviewed using the MAPPA Q as part of the transfer process. Staff supervising those transitioning to adult services should be trained to deliver services that are appropriate for the individual’s age and maturity. </w:t>
      </w:r>
    </w:p>
    <w:p w14:paraId="61BD0D44" w14:textId="77777777" w:rsidR="00F04699" w:rsidRPr="00EF534B" w:rsidRDefault="00F04699" w:rsidP="0098084F">
      <w:pPr>
        <w:pStyle w:val="Text"/>
      </w:pPr>
    </w:p>
    <w:p w14:paraId="198A6FCB" w14:textId="77777777" w:rsidR="00F2123B" w:rsidRDefault="00F2123B">
      <w:pPr>
        <w:pageBreakBefore/>
        <w:suppressAutoHyphens w:val="0"/>
        <w:rPr>
          <w:rFonts w:ascii="Arial" w:hAnsi="Arial" w:cs="Arial"/>
          <w:sz w:val="20"/>
        </w:rPr>
      </w:pPr>
    </w:p>
    <w:p w14:paraId="198A6FCC" w14:textId="77777777" w:rsidR="00F2123B" w:rsidRDefault="00200CFB">
      <w:pPr>
        <w:pStyle w:val="Heading1"/>
        <w:spacing w:line="280" w:lineRule="atLeast"/>
        <w:rPr>
          <w:sz w:val="36"/>
          <w:szCs w:val="36"/>
        </w:rPr>
      </w:pPr>
      <w:r>
        <w:rPr>
          <w:sz w:val="36"/>
          <w:szCs w:val="36"/>
        </w:rPr>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7615084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 The current UK Government definition of extremism is set out in the UK Government Counter Extremism Strategy 2015:</w:t>
      </w:r>
    </w:p>
    <w:p w14:paraId="1FECAA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'The vocal or active opposition to our fundamental values, including democracy, the rule of law, individual liberty and the mutual respect and tolerance of different faiths and beliefs. We also regard calls for the death of members of our armed forces as extremist.'</w:t>
      </w:r>
    </w:p>
    <w:p w14:paraId="5545599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JExU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JExU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24.7 The Probation Service manages TACT and TACT connected offenders, and the most concerning terrorism risk cases, within the National Security Division (NSD). The NSD is a specialist probation division, 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Counter-Terrorism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24.9 Agencies should be mindful of any vulnerability to extremist messaging among other groups of MAPPA eligible offenders. This should be addressed as required by the Prevent Duty (section 26 of the Counter-Terrorism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whether or not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Multi-agency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(OMiC)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24.14 COMs review TACT cases in custody 8 months prior to parole eligibility dates as part of specialist arrangements to inform parole reports, share information and identify all risk factors. This review should 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The majority of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24.18 A Joint Counter-Terrorism Prisons and Probation Hub (JCTPPH) exists to facilitate, where appropriate, the flow of sensitive information into MAPPA in relevant cases involving terrorism and terrorism risk offenders. The Hub is a collaboration between HMPPS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staff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numbers of this type of offence within the cohort of cases on which OGRS scores have been devised and so its predictions should be treated with caution and not relied on without other evidence. MAPPA meeting Chairs should be aware of the limitations of the tools and the fact that assessing risk is not the function of one particular tool (such as OASys or ERG 22+). Risk assessment depends on pulling together all that is known, and can be inferred, about the individual offender as their case progresses. Nevertheless formal assessments and risk formulations should be available to and inform the first MAPPA meeting (while the majority of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1752124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13a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taking into account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MAPPA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in TACT, TACT connected and terrorism risk cases because of the national security aspect and the sensitivity of the information involved. Meeting Chairs will need to carefully consider invitations to MAPPA meetings for these offenders, and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the JExU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rsidP="00AD2BEF">
      <w:pPr>
        <w:pStyle w:val="ListParagraph"/>
        <w:numPr>
          <w:ilvl w:val="0"/>
          <w:numId w:val="123"/>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meeting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Probation Service</w:t>
      </w:r>
      <w:r w:rsidRPr="00B655F8">
        <w:rPr>
          <w:rFonts w:ascii="Arial" w:hAnsi="Arial" w:cs="Arial"/>
          <w:sz w:val="20"/>
          <w:szCs w:val="20"/>
        </w:rPr>
        <w:t xml:space="preserve">, but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24.36 Given the level of public interest in terrorism and extremism, there is potential media interest in all TACT and TACT connected cases. A media handling plan must be established where there are particular issues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Anyone who is not a British citizen is defined as a foreign national.  As nationality is self-declared prison staff will normally establish nationality on the basis of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2"/>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41"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25.10 The decision whether or not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make arrangements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cases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custody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t>26. Mentally Disordered Offenders and MAPPA</w:t>
      </w:r>
    </w:p>
    <w:p w14:paraId="198A701D" w14:textId="77777777" w:rsidR="00F2123B" w:rsidRDefault="00200CFB">
      <w:pPr>
        <w:pStyle w:val="Heading1"/>
        <w:spacing w:before="100"/>
      </w:pPr>
      <w:r>
        <w:rPr>
          <w:szCs w:val="28"/>
          <w:lang w:eastAsia="en-GB"/>
        </w:rPr>
        <w:t>Introduction</w:t>
      </w:r>
    </w:p>
    <w:p w14:paraId="198A701E"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w:t>
      </w:r>
    </w:p>
    <w:p w14:paraId="198A701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26.2 The relevant legislation uses the term “offender”, so this chapter refers to “offender” and “patient” interchangeably.</w:t>
      </w:r>
    </w:p>
    <w:p w14:paraId="198A7020" w14:textId="77777777" w:rsidR="00F2123B" w:rsidRDefault="00200CFB">
      <w:pPr>
        <w:pStyle w:val="Heading1"/>
        <w:spacing w:before="100"/>
        <w:rPr>
          <w:szCs w:val="28"/>
          <w:lang w:eastAsia="en-GB"/>
        </w:rPr>
      </w:pPr>
      <w:r>
        <w:rPr>
          <w:szCs w:val="28"/>
          <w:lang w:eastAsia="en-GB"/>
        </w:rPr>
        <w:t>Available orders</w:t>
      </w:r>
    </w:p>
    <w:p w14:paraId="198A7021" w14:textId="77777777" w:rsidR="00F2123B" w:rsidRDefault="00200CFB">
      <w:pPr>
        <w:spacing w:before="100" w:after="240" w:line="280" w:lineRule="exact"/>
        <w:rPr>
          <w:rFonts w:ascii="Arial" w:hAnsi="Arial" w:cs="Arial"/>
          <w:sz w:val="20"/>
          <w:szCs w:val="20"/>
        </w:rPr>
      </w:pPr>
      <w:r>
        <w:rPr>
          <w:rFonts w:ascii="Arial" w:hAnsi="Arial" w:cs="Arial"/>
          <w:sz w:val="20"/>
          <w:szCs w:val="20"/>
        </w:rPr>
        <w:t>26.3 Under the provisions of the Mental Health Act (MHA) 1983 there are a number of ways in which an offender or suspected offender may be detained in hospital.  These can be summarised as follows.</w:t>
      </w:r>
    </w:p>
    <w:p w14:paraId="198A7022" w14:textId="77777777" w:rsidR="00F2123B" w:rsidRDefault="00200CFB">
      <w:pPr>
        <w:spacing w:before="100" w:after="240" w:line="280" w:lineRule="exact"/>
        <w:rPr>
          <w:rFonts w:ascii="Arial" w:hAnsi="Arial" w:cs="Arial"/>
          <w:b/>
        </w:rPr>
      </w:pPr>
      <w:r>
        <w:rPr>
          <w:rFonts w:ascii="Arial" w:hAnsi="Arial" w:cs="Arial"/>
          <w:b/>
        </w:rPr>
        <w:t>Unrestricted hospital orders (s.37)</w:t>
      </w:r>
    </w:p>
    <w:p w14:paraId="198A7023" w14:textId="1A6A2DC9" w:rsidR="00F2123B" w:rsidRDefault="00200CFB">
      <w:pPr>
        <w:tabs>
          <w:tab w:val="left" w:pos="567"/>
          <w:tab w:val="left" w:pos="709"/>
        </w:tabs>
        <w:spacing w:before="100" w:after="240" w:line="280" w:lineRule="exact"/>
      </w:pPr>
      <w:r>
        <w:rPr>
          <w:rFonts w:ascii="Arial" w:hAnsi="Arial" w:cs="Arial"/>
          <w:sz w:val="20"/>
          <w:szCs w:val="20"/>
        </w:rPr>
        <w:t>26.4 Unrestricted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w:t>
      </w:r>
      <w:r>
        <w:rPr>
          <w:rFonts w:ascii="Arial" w:eastAsia="Arial" w:hAnsi="Arial" w:cs="Arial"/>
          <w:sz w:val="20"/>
          <w:szCs w:val="20"/>
        </w:rPr>
        <w:t xml:space="preserve"> are made </w:t>
      </w:r>
      <w:r>
        <w:rPr>
          <w:rFonts w:ascii="Arial" w:hAnsi="Arial" w:cs="Arial"/>
          <w:sz w:val="20"/>
          <w:szCs w:val="20"/>
        </w:rPr>
        <w:t xml:space="preserve">under s.37 of the MHA 1983.  They can be made either by the Crown Court or a magistrates’ court where a person is convicted of an imprisonable offence but where the court considers, having regard to all the circumstances, that the most suitable way of dealing with the offender is to order </w:t>
      </w:r>
      <w:r w:rsidR="001F15CD">
        <w:rPr>
          <w:rFonts w:ascii="Arial" w:hAnsi="Arial" w:cs="Arial"/>
          <w:sz w:val="20"/>
          <w:szCs w:val="20"/>
        </w:rPr>
        <w:t>their</w:t>
      </w:r>
      <w:r>
        <w:rPr>
          <w:rFonts w:ascii="Arial" w:hAnsi="Arial" w:cs="Arial"/>
          <w:sz w:val="20"/>
          <w:szCs w:val="20"/>
        </w:rPr>
        <w:t xml:space="preserve"> admission to hospital.  These patients can be granted community leave under s.17 or transferred to other hospitals by their Responsible Clinician.  A hospital order cannot be made where the person is convicted of murder.</w:t>
      </w:r>
    </w:p>
    <w:p w14:paraId="198A7024"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26.5 Section 37 patients may also be discharged into the community at any time by their Responsible Clinician, hospital managers or the appropriate tribunal (the First-tier Tribunal (Mental Health) in England, or the Mental Health Review Tribunal in Wales) (the Tribunal).  They cannot apply to the Tribunal for discharge within the first six months of detention, beginning on the date of the hospital order.  In some cases, a discharged patient may be placed on a s.17A community treatment order (CTO), which makes them subject to certain conditions.  Patients subject to a CTO are liable to recall to hospital under s.17E if they breach their conditions or if they require medical treatment and there would be a risk of harm to their own or others’ health and safety if they are not recalled for treatment.</w:t>
      </w:r>
    </w:p>
    <w:p w14:paraId="198A7025" w14:textId="77777777" w:rsidR="00F2123B" w:rsidRDefault="00200CFB">
      <w:pPr>
        <w:tabs>
          <w:tab w:val="left" w:pos="709"/>
        </w:tabs>
        <w:spacing w:before="100" w:after="240" w:line="280" w:lineRule="exact"/>
      </w:pPr>
      <w:r>
        <w:rPr>
          <w:rFonts w:ascii="Arial" w:hAnsi="Arial" w:cs="Arial"/>
          <w:b/>
        </w:rPr>
        <w:t>Restricted hospital orders (ss.37 and 41)</w:t>
      </w:r>
    </w:p>
    <w:p w14:paraId="198A7026" w14:textId="77777777" w:rsidR="00F2123B" w:rsidRDefault="00200CFB">
      <w:pPr>
        <w:tabs>
          <w:tab w:val="left" w:pos="709"/>
        </w:tabs>
        <w:spacing w:before="100" w:after="240" w:line="280" w:lineRule="exact"/>
      </w:pPr>
      <w:r>
        <w:rPr>
          <w:rFonts w:ascii="Arial" w:hAnsi="Arial" w:cs="Arial"/>
          <w:sz w:val="20"/>
          <w:szCs w:val="20"/>
        </w:rPr>
        <w:t>26.6 Where a s.37 hospital order is made in respect of an offender in the Crown Court, under s.41 of the MHA 1983 the court may also impose a restriction order if, having regard to the nature of the offence, the previous convictions of the offender and the risk of committing further offences, it appears necessary for the protection of the public from serious harm.  Restricted</w:t>
      </w:r>
      <w:r>
        <w:rPr>
          <w:rFonts w:ascii="Arial" w:eastAsia="Arial" w:hAnsi="Arial" w:cs="Arial"/>
          <w:sz w:val="20"/>
          <w:szCs w:val="20"/>
        </w:rPr>
        <w:t xml:space="preserve"> </w:t>
      </w:r>
      <w:r>
        <w:rPr>
          <w:rFonts w:ascii="Arial" w:hAnsi="Arial" w:cs="Arial"/>
          <w:sz w:val="20"/>
          <w:szCs w:val="20"/>
        </w:rPr>
        <w:t>hospital</w:t>
      </w:r>
      <w:r>
        <w:rPr>
          <w:rFonts w:ascii="Arial" w:eastAsia="Arial" w:hAnsi="Arial" w:cs="Arial"/>
          <w:sz w:val="20"/>
          <w:szCs w:val="20"/>
        </w:rPr>
        <w:t xml:space="preserve"> </w:t>
      </w:r>
      <w:r>
        <w:rPr>
          <w:rFonts w:ascii="Arial" w:hAnsi="Arial" w:cs="Arial"/>
          <w:sz w:val="20"/>
          <w:szCs w:val="20"/>
        </w:rPr>
        <w:t>orders under ss.37 and 41 can only be made by the Crown Court.  However, where a magistrates’ court convicts an offender, it may commit the offender to the Crown Court under s.43, so that the Crown Court can consider whether to make a hospital and restriction order.</w:t>
      </w:r>
    </w:p>
    <w:p w14:paraId="198A7027"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26.7 Patients subject to ss.37/41 cannot be granted community leave under s.17 or be transferred to another hospital by their Responsible Clinician unless the Secretary of State for Justice consents.</w:t>
      </w:r>
    </w:p>
    <w:p w14:paraId="198A7028"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26.8 Restricted patients cannot apply to the Tribunal for discharge within the first six months of detention, beginning on the date of the hospital order.</w:t>
      </w:r>
    </w:p>
    <w:p w14:paraId="198A7029"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 xml:space="preserve">26.9 Restricted patients can only be discharged by: </w:t>
      </w:r>
    </w:p>
    <w:p w14:paraId="198A702A"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Tribunal under section 73; </w:t>
      </w:r>
    </w:p>
    <w:p w14:paraId="198A702B" w14:textId="77777777" w:rsidR="00F2123B" w:rsidRDefault="00200CFB" w:rsidP="00AD2BEF">
      <w:pPr>
        <w:pStyle w:val="ListParagraph"/>
        <w:numPr>
          <w:ilvl w:val="0"/>
          <w:numId w:val="42"/>
        </w:numPr>
        <w:tabs>
          <w:tab w:val="left" w:pos="709"/>
        </w:tabs>
        <w:spacing w:before="100" w:after="120" w:line="280" w:lineRule="exact"/>
        <w:ind w:left="714" w:hanging="357"/>
        <w:rPr>
          <w:rFonts w:ascii="Arial" w:hAnsi="Arial" w:cs="Arial"/>
          <w:sz w:val="20"/>
          <w:szCs w:val="20"/>
        </w:rPr>
      </w:pPr>
      <w:r>
        <w:rPr>
          <w:rFonts w:ascii="Arial" w:hAnsi="Arial" w:cs="Arial"/>
          <w:sz w:val="20"/>
          <w:szCs w:val="20"/>
        </w:rPr>
        <w:t xml:space="preserve">the Secretary of State for Justice under section 42; or </w:t>
      </w:r>
    </w:p>
    <w:p w14:paraId="198A702C" w14:textId="77777777" w:rsidR="00F2123B" w:rsidRDefault="00200CFB" w:rsidP="00AD2BEF">
      <w:pPr>
        <w:pStyle w:val="ListParagraph"/>
        <w:numPr>
          <w:ilvl w:val="0"/>
          <w:numId w:val="42"/>
        </w:numPr>
        <w:tabs>
          <w:tab w:val="left" w:pos="709"/>
        </w:tabs>
        <w:spacing w:before="100" w:after="240" w:line="280" w:lineRule="exact"/>
        <w:rPr>
          <w:rFonts w:ascii="Arial" w:hAnsi="Arial" w:cs="Arial"/>
          <w:sz w:val="20"/>
          <w:szCs w:val="20"/>
        </w:rPr>
      </w:pPr>
      <w:r>
        <w:rPr>
          <w:rFonts w:ascii="Arial" w:hAnsi="Arial" w:cs="Arial"/>
          <w:sz w:val="20"/>
          <w:szCs w:val="20"/>
        </w:rPr>
        <w:t xml:space="preserve">the Responsible Clinician with the Secretary of State’s consent under section 23 (read with section 41(c)(iii)).  </w:t>
      </w:r>
    </w:p>
    <w:p w14:paraId="198A702D"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The Tribunal may defer a direction for the conditional discharge of an MDO pending the implementation of arrangements to support, accommodate and supervise the patient (s.73(7)).  This means that the patient’s actual conditional discharge from hospital is deferred; it does not mean that the decision to discharge, or otherwise, is deferred.  The Secretary of State does not have the power to defer a discharge.</w:t>
      </w:r>
    </w:p>
    <w:p w14:paraId="198A702E" w14:textId="77777777" w:rsidR="00F2123B" w:rsidRDefault="00200CFB">
      <w:pPr>
        <w:tabs>
          <w:tab w:val="left" w:pos="709"/>
        </w:tabs>
        <w:spacing w:before="100" w:after="240" w:line="280" w:lineRule="exact"/>
        <w:rPr>
          <w:rFonts w:ascii="Arial" w:hAnsi="Arial" w:cs="Arial"/>
          <w:sz w:val="20"/>
          <w:szCs w:val="20"/>
        </w:rPr>
      </w:pPr>
      <w:r>
        <w:rPr>
          <w:rFonts w:ascii="Arial" w:hAnsi="Arial" w:cs="Arial"/>
          <w:sz w:val="20"/>
          <w:szCs w:val="20"/>
        </w:rPr>
        <w:t>26.10 A restricted patient will rarely be granted an absolute discharge direct from hospital.  In most cases they will first be granted a conditional discharge, which means they remain liable to recall to hospital (s.42(3) and s.73(4)(a)).  The patient will have two supervisors, one clinical and one social, to support them in the community.  The supervisors will be required to provide quarterly reports to the Ministry of Justice.  After adequate testing in the community, the clinical team may feel that it is appropriate to recommend the patient’s progression to an absolute discharge.  If a patient is absolutely discharged, there will be no conditions on them.  Both the Tribunal and the Secretary of State can grant an absolute discharge (s.42(2) and s.73(1)).</w:t>
      </w:r>
    </w:p>
    <w:p w14:paraId="198A702F" w14:textId="77777777" w:rsidR="00F2123B" w:rsidRDefault="00200CFB">
      <w:pPr>
        <w:spacing w:before="100" w:after="240" w:line="280" w:lineRule="exact"/>
        <w:rPr>
          <w:rFonts w:ascii="Arial" w:hAnsi="Arial" w:cs="Arial"/>
          <w:b/>
        </w:rPr>
      </w:pPr>
      <w:r>
        <w:rPr>
          <w:rFonts w:ascii="Arial" w:hAnsi="Arial" w:cs="Arial"/>
          <w:b/>
        </w:rPr>
        <w:t>Guardianship orders (s.37)</w:t>
      </w:r>
    </w:p>
    <w:p w14:paraId="198A7030" w14:textId="77777777" w:rsidR="00F2123B" w:rsidRDefault="00200CFB">
      <w:pPr>
        <w:spacing w:before="100" w:after="240" w:line="280" w:lineRule="exact"/>
        <w:rPr>
          <w:rFonts w:ascii="Arial" w:hAnsi="Arial" w:cs="Arial"/>
          <w:sz w:val="20"/>
          <w:szCs w:val="20"/>
        </w:rPr>
      </w:pPr>
      <w:r>
        <w:rPr>
          <w:rFonts w:ascii="Arial" w:hAnsi="Arial" w:cs="Arial"/>
          <w:sz w:val="20"/>
          <w:szCs w:val="20"/>
        </w:rPr>
        <w:t>26.11 A s.37 guardianship order places the person under the guardianship of the local authority social services or other such person as they may approve, who must agree to accept the duty.  Guardianship orders are for patients’ welfare and protection, rather than medical treatment, and are rarely used.  They can authorise the detention of the patient in hospital, although the patient will more commonly be placed in residential accommodation.  Patients under guardianship orders do have the right to apply to the Tribunal for discharge within the first six months beginning with the date of the order.  Alternatively, a patient’s nearest relative can apply within the first 12 months, beginning on the date of the order, and in any subsequent period of 12 months.</w:t>
      </w:r>
    </w:p>
    <w:p w14:paraId="198A7031" w14:textId="77777777" w:rsidR="00F2123B" w:rsidRDefault="00200CFB">
      <w:pPr>
        <w:spacing w:before="100" w:after="240" w:line="280" w:lineRule="exact"/>
        <w:rPr>
          <w:rFonts w:ascii="Arial" w:hAnsi="Arial" w:cs="Arial"/>
          <w:b/>
        </w:rPr>
      </w:pPr>
      <w:r>
        <w:rPr>
          <w:rFonts w:ascii="Arial" w:hAnsi="Arial" w:cs="Arial"/>
          <w:b/>
        </w:rPr>
        <w:t>Hospital and limitation directions (s.45A)</w:t>
      </w:r>
    </w:p>
    <w:p w14:paraId="198A7032" w14:textId="77777777" w:rsidR="00F2123B" w:rsidRDefault="00200CFB">
      <w:pPr>
        <w:spacing w:before="100" w:after="240" w:line="280" w:lineRule="exact"/>
      </w:pPr>
      <w:r>
        <w:rPr>
          <w:rFonts w:ascii="Arial" w:hAnsi="Arial" w:cs="Arial"/>
          <w:sz w:val="20"/>
          <w:szCs w:val="20"/>
        </w:rPr>
        <w:t>26.12 Hospital</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limitation</w:t>
      </w:r>
      <w:r>
        <w:rPr>
          <w:rFonts w:ascii="Arial" w:eastAsia="Arial" w:hAnsi="Arial" w:cs="Arial"/>
          <w:sz w:val="20"/>
          <w:szCs w:val="20"/>
        </w:rPr>
        <w:t xml:space="preserve"> </w:t>
      </w:r>
      <w:r>
        <w:rPr>
          <w:rFonts w:ascii="Arial" w:hAnsi="Arial" w:cs="Arial"/>
          <w:sz w:val="20"/>
          <w:szCs w:val="20"/>
        </w:rPr>
        <w:t>directions</w:t>
      </w:r>
      <w:r>
        <w:rPr>
          <w:rFonts w:ascii="Arial" w:eastAsia="Arial" w:hAnsi="Arial" w:cs="Arial"/>
          <w:sz w:val="20"/>
          <w:szCs w:val="20"/>
        </w:rPr>
        <w:t xml:space="preserve"> </w:t>
      </w:r>
      <w:r>
        <w:rPr>
          <w:rFonts w:ascii="Arial" w:hAnsi="Arial" w:cs="Arial"/>
          <w:sz w:val="20"/>
          <w:szCs w:val="20"/>
        </w:rPr>
        <w:t>(s.45A) can only be made in the Crown Court.  These orders are commonly known as hybrid orders as they combine hospital admission with a custodial sentence.  In these cases, the offender is sentenced to imprisonment and then immediately transferred to hospital (note that s.45A cannot be used where the person is convicted of murder).  The Secretary of State has the power to remit the patient to prison if they are deemed to no longer require treatment in hospital for a mental disorder or if no effective treatment for the disorder can be given in the hospital in which the offender is detained (s.50(1)).  Limitation directions have the same effect as s.41 restriction orders, so the Secretary of State’s permission will be required for all s.17 community leave, and for transfers.  Patients have the same right to apply to the Tribunal as restricted patients (that is, they may make an application after the first six months of the direction).  If the Tribunal decides that the patient no longer meets the criteria for detention under the Act, they will generally be returned to prison.</w:t>
      </w:r>
    </w:p>
    <w:p w14:paraId="198A7033" w14:textId="77777777" w:rsidR="00F2123B" w:rsidRDefault="00200CFB">
      <w:pPr>
        <w:spacing w:before="100" w:after="240" w:line="280" w:lineRule="exact"/>
        <w:rPr>
          <w:rFonts w:ascii="Arial" w:hAnsi="Arial" w:cs="Arial"/>
          <w:b/>
        </w:rPr>
      </w:pPr>
      <w:r>
        <w:rPr>
          <w:rFonts w:ascii="Arial" w:hAnsi="Arial" w:cs="Arial"/>
          <w:b/>
        </w:rPr>
        <w:t>Transfer to hospital from prison during a determinate or indeterminate prison sentence (ss.47 - 49)</w:t>
      </w:r>
    </w:p>
    <w:p w14:paraId="198A7034" w14:textId="19E82AB9" w:rsidR="00F2123B" w:rsidRDefault="00200CFB">
      <w:pPr>
        <w:spacing w:before="100" w:after="240" w:line="280" w:lineRule="exact"/>
      </w:pPr>
      <w:r>
        <w:rPr>
          <w:rFonts w:ascii="Arial" w:hAnsi="Arial" w:cs="Arial"/>
          <w:sz w:val="20"/>
          <w:szCs w:val="20"/>
        </w:rPr>
        <w:t>26.13 s.47 of the MHA 1983 provides that convicted prisoners can be transferred to hospital from prison if they meet the criteria set out in the section</w:t>
      </w:r>
      <w:r>
        <w:rPr>
          <w:rStyle w:val="FootnoteReference"/>
          <w:rFonts w:ascii="Arial" w:hAnsi="Arial" w:cs="Arial"/>
          <w:sz w:val="20"/>
          <w:szCs w:val="20"/>
        </w:rPr>
        <w:footnoteReference w:id="63"/>
      </w:r>
      <w:r>
        <w:rPr>
          <w:rFonts w:ascii="Arial" w:hAnsi="Arial" w:cs="Arial"/>
          <w:sz w:val="20"/>
          <w:szCs w:val="20"/>
        </w:rPr>
        <w:t>.  Under s.49 t</w:t>
      </w:r>
      <w:r>
        <w:rPr>
          <w:rFonts w:ascii="Arial" w:hAnsi="Arial" w:cs="Arial"/>
          <w:color w:val="222222"/>
          <w:sz w:val="20"/>
          <w:szCs w:val="20"/>
        </w:rPr>
        <w:t xml:space="preserve">he Secretary of State, if </w:t>
      </w:r>
      <w:r w:rsidR="00782241">
        <w:rPr>
          <w:rFonts w:ascii="Arial" w:hAnsi="Arial" w:cs="Arial"/>
          <w:color w:val="222222"/>
          <w:sz w:val="20"/>
          <w:szCs w:val="20"/>
        </w:rPr>
        <w:t xml:space="preserve">they </w:t>
      </w:r>
      <w:r>
        <w:rPr>
          <w:rFonts w:ascii="Arial" w:hAnsi="Arial" w:cs="Arial"/>
          <w:color w:val="222222"/>
          <w:sz w:val="20"/>
          <w:szCs w:val="20"/>
        </w:rPr>
        <w:t>think fit, can also direct that that person will be subject to the restrictions set out in s.41 of the Act as outlined above.  This is known as a “restriction direction”.</w:t>
      </w:r>
    </w:p>
    <w:p w14:paraId="198A7035" w14:textId="77777777" w:rsidR="00F2123B" w:rsidRDefault="00200CFB">
      <w:pPr>
        <w:spacing w:before="100" w:after="240" w:line="280" w:lineRule="exact"/>
        <w:rPr>
          <w:rFonts w:ascii="Arial" w:hAnsi="Arial" w:cs="Arial"/>
          <w:sz w:val="20"/>
          <w:szCs w:val="20"/>
        </w:rPr>
      </w:pPr>
      <w:r>
        <w:rPr>
          <w:rFonts w:ascii="Arial" w:hAnsi="Arial" w:cs="Arial"/>
          <w:sz w:val="20"/>
          <w:szCs w:val="20"/>
        </w:rPr>
        <w:t>26.14 Where the Secretary of State is notified that the person no longer requires treatment in hospital for a mental disorder, or that no effective treatment can be given in that hospital, the Secretary of State may direct the patient to be transferred back to prison under section 50(1).</w:t>
      </w:r>
    </w:p>
    <w:p w14:paraId="198A7036" w14:textId="77777777" w:rsidR="00F2123B" w:rsidRDefault="00200CFB">
      <w:pPr>
        <w:spacing w:before="100" w:after="240" w:line="280" w:lineRule="exact"/>
        <w:rPr>
          <w:rFonts w:ascii="Arial" w:hAnsi="Arial" w:cs="Arial"/>
          <w:sz w:val="20"/>
          <w:szCs w:val="20"/>
        </w:rPr>
      </w:pPr>
      <w:r>
        <w:rPr>
          <w:rFonts w:ascii="Arial" w:hAnsi="Arial" w:cs="Arial"/>
          <w:sz w:val="20"/>
          <w:szCs w:val="20"/>
        </w:rPr>
        <w:t>26.15 Where a restriction direction has been made under s.49, the patient cannot be granted leave, transferred or discharged into the community during the period of the sentence without the Secretary of State’s agreement.</w:t>
      </w:r>
    </w:p>
    <w:p w14:paraId="198A7037" w14:textId="77777777" w:rsidR="00F2123B" w:rsidRDefault="00200CFB">
      <w:pPr>
        <w:spacing w:before="100" w:after="240" w:line="280" w:lineRule="exact"/>
        <w:rPr>
          <w:rFonts w:ascii="Arial" w:hAnsi="Arial" w:cs="Arial"/>
          <w:sz w:val="20"/>
          <w:szCs w:val="20"/>
        </w:rPr>
      </w:pPr>
      <w:r>
        <w:rPr>
          <w:rFonts w:ascii="Arial" w:hAnsi="Arial" w:cs="Arial"/>
          <w:sz w:val="20"/>
          <w:szCs w:val="20"/>
        </w:rPr>
        <w:t>26.16 Restriction directions in respect of patients with determinate sentences will lift on the prisoner’s automatic release date (s.50(2)) and the offender will be treated as though they had been admitted to hospital without restrictions on that day.  Restriction directions in respect of patients with indeterminate sentences will lift when their release is directed by the Parole Board.  Time spent in hospital counts towards the sentence for tariff purposes.  In the event that a prisoner is transferred to hospital during any part of the parole review process, that review will be suspended until the individual is remitted to prison.  Restrictions on patients on remand will cease or be replaced when their case is disposed of by the court.</w:t>
      </w:r>
    </w:p>
    <w:p w14:paraId="198A7038" w14:textId="77777777" w:rsidR="00F2123B" w:rsidRDefault="00200CFB">
      <w:pPr>
        <w:spacing w:before="100" w:after="240" w:line="280" w:lineRule="exact"/>
      </w:pPr>
      <w:r>
        <w:rPr>
          <w:rFonts w:ascii="Arial" w:hAnsi="Arial" w:cs="Arial"/>
          <w:sz w:val="20"/>
          <w:szCs w:val="20"/>
        </w:rPr>
        <w:t xml:space="preserve">26.17 If a patient continues to require hospital treatment after their restrictions have ceased, they can remain in hospital as a “notional 37” patient managed by clinicians and hospital managers.  The Secretary of State will have no further involvement in the management of these patients.  From this point, all decisions, including discharge, will be made by the Responsible Clinician or the Tribunal.  A notional s.37 patient can be made subject to a s.17A community treatment order.  The Probation Service Offender Manager retains responsibility for the Risk Management Plan and patients will still be subject to licence conditions if they are discharged before their sentence has expired (in the same way they would be released on licence from prison).  This means that the Responsible Clinician must contact the </w:t>
      </w:r>
      <w:r>
        <w:rPr>
          <w:rFonts w:ascii="Arial" w:hAnsi="Arial" w:cs="Arial"/>
          <w:color w:val="333333"/>
          <w:sz w:val="20"/>
          <w:szCs w:val="20"/>
        </w:rPr>
        <w:t xml:space="preserve">Probation Service </w:t>
      </w:r>
      <w:r>
        <w:rPr>
          <w:rFonts w:ascii="Arial" w:hAnsi="Arial" w:cs="Arial"/>
          <w:sz w:val="20"/>
          <w:szCs w:val="20"/>
        </w:rPr>
        <w:t>when discharge is considered.  A breach of licence conditions may result in recall, which will be to prison.</w:t>
      </w:r>
    </w:p>
    <w:p w14:paraId="198A7039" w14:textId="77777777" w:rsidR="00F2123B" w:rsidRDefault="00200CFB">
      <w:pPr>
        <w:spacing w:before="100" w:after="240" w:line="280" w:lineRule="exact"/>
        <w:rPr>
          <w:rFonts w:ascii="Arial" w:hAnsi="Arial" w:cs="Arial"/>
          <w:b/>
          <w:color w:val="000000"/>
        </w:rPr>
      </w:pPr>
      <w:r>
        <w:rPr>
          <w:rFonts w:ascii="Arial" w:hAnsi="Arial" w:cs="Arial"/>
          <w:b/>
          <w:color w:val="000000"/>
        </w:rPr>
        <w:t>Transfers late in sentence</w:t>
      </w:r>
    </w:p>
    <w:p w14:paraId="198A703A" w14:textId="77777777" w:rsidR="00F2123B" w:rsidRDefault="00200CFB">
      <w:pPr>
        <w:spacing w:before="100" w:after="240" w:line="280" w:lineRule="exact"/>
      </w:pPr>
      <w:r>
        <w:rPr>
          <w:rFonts w:ascii="Arial" w:hAnsi="Arial" w:cs="Arial"/>
          <w:color w:val="000000"/>
          <w:sz w:val="20"/>
          <w:szCs w:val="20"/>
        </w:rPr>
        <w:t>26.18 The Court of Appeal has observed that, when considering an application for a s.47 transfer right at the end of sentence, the Secretary of State must apply a heightened level of scrutiny to the evidence on which the decision is to be based</w:t>
      </w:r>
      <w:r>
        <w:rPr>
          <w:rStyle w:val="FootnoteReference"/>
          <w:rFonts w:ascii="Arial" w:hAnsi="Arial" w:cs="Arial"/>
          <w:color w:val="000000"/>
          <w:sz w:val="20"/>
          <w:szCs w:val="20"/>
        </w:rPr>
        <w:footnoteReference w:id="64"/>
      </w:r>
      <w:r>
        <w:rPr>
          <w:rFonts w:ascii="Arial" w:hAnsi="Arial" w:cs="Arial"/>
          <w:color w:val="000000"/>
          <w:sz w:val="20"/>
          <w:szCs w:val="20"/>
        </w:rPr>
        <w:t>.  Accordingly, the Secretary of State will consider late-in-sentence applications only if the case can be made that admission is urgently necessary for the prisoner’s own health or safety, and it is not safe to wait until after the release date for admission to hospital.  If a s.47 transfer does not take place, an alternative may be admission under civil powers in the MHA.</w:t>
      </w:r>
    </w:p>
    <w:p w14:paraId="198A703B" w14:textId="77777777" w:rsidR="00F2123B" w:rsidRDefault="00200CFB">
      <w:pPr>
        <w:spacing w:before="100" w:after="240" w:line="280" w:lineRule="exact"/>
        <w:rPr>
          <w:rFonts w:ascii="Arial" w:hAnsi="Arial" w:cs="Arial"/>
          <w:b/>
        </w:rPr>
      </w:pPr>
      <w:r>
        <w:rPr>
          <w:rFonts w:ascii="Arial" w:hAnsi="Arial" w:cs="Arial"/>
          <w:b/>
        </w:rPr>
        <w:t>Remand to hospital (s.35)</w:t>
      </w:r>
    </w:p>
    <w:p w14:paraId="198A703C" w14:textId="77777777" w:rsidR="00F2123B" w:rsidRDefault="00200CFB">
      <w:pPr>
        <w:spacing w:before="100" w:after="240" w:line="280" w:lineRule="exact"/>
        <w:rPr>
          <w:rFonts w:ascii="Arial" w:hAnsi="Arial" w:cs="Arial"/>
          <w:sz w:val="20"/>
          <w:szCs w:val="20"/>
        </w:rPr>
      </w:pPr>
      <w:r>
        <w:rPr>
          <w:rFonts w:ascii="Arial" w:hAnsi="Arial" w:cs="Arial"/>
          <w:sz w:val="20"/>
          <w:szCs w:val="20"/>
        </w:rPr>
        <w:t>26.19 Under s.35 of the MHA 1983 an accused person can be remanded to a hospital specified by the Crown Court or a magistrates’ court for a report assessing their medical condition.  Under s.35 an offender can also be detained in hospital if a magistrates’ court has convicted them of an offence punishable with imprisonment, or where the court is satisfied that a person charged with the offence did the act or made the omission but has not convicted them.  This will not automatically make a patient subject to MAPPA unless they are already a MAPPA case, for example they are an Registered Sex Offender (RSO).</w:t>
      </w:r>
    </w:p>
    <w:p w14:paraId="198A703D" w14:textId="77777777" w:rsidR="00F2123B" w:rsidRDefault="00200CFB">
      <w:pPr>
        <w:pStyle w:val="Heading1"/>
        <w:spacing w:before="100"/>
        <w:ind w:left="0" w:firstLine="0"/>
        <w:rPr>
          <w:szCs w:val="28"/>
        </w:rPr>
      </w:pPr>
      <w:r>
        <w:rPr>
          <w:szCs w:val="28"/>
        </w:rPr>
        <w:t>Criminal Procedure (Insanity) Act 1964 (as amended by the Criminal Procedure (Insanity and Unfitness to Plead) Act 1991 and the Domestic Violence, Crime and Victims Act 2004)</w:t>
      </w:r>
    </w:p>
    <w:p w14:paraId="198A703E" w14:textId="77777777" w:rsidR="00F2123B" w:rsidRDefault="00200CFB">
      <w:pPr>
        <w:spacing w:before="100" w:after="240" w:line="280" w:lineRule="exact"/>
        <w:rPr>
          <w:rFonts w:ascii="Arial" w:hAnsi="Arial" w:cs="Arial"/>
          <w:sz w:val="20"/>
          <w:szCs w:val="20"/>
        </w:rPr>
      </w:pPr>
      <w:r>
        <w:rPr>
          <w:rFonts w:ascii="Arial" w:hAnsi="Arial" w:cs="Arial"/>
          <w:sz w:val="20"/>
          <w:szCs w:val="20"/>
        </w:rPr>
        <w:t>26.20 This legislation deals with those mentally disordered people who, when they appear before the Crown Court, are not convicted either because their mental disorder is such that they are considered unfit to plead (s.4) or because the offence was committed when they were in such a state of mental disorder as to negate criminal responsibility (not guilty by reason of insanity - s.1).</w:t>
      </w:r>
    </w:p>
    <w:p w14:paraId="198A703F" w14:textId="014AAF82" w:rsidR="00F2123B" w:rsidRDefault="00200CFB">
      <w:pPr>
        <w:spacing w:before="100" w:after="240" w:line="280" w:lineRule="exact"/>
        <w:rPr>
          <w:rFonts w:ascii="Arial" w:hAnsi="Arial" w:cs="Arial"/>
          <w:sz w:val="20"/>
          <w:szCs w:val="20"/>
        </w:rPr>
      </w:pPr>
      <w:r>
        <w:rPr>
          <w:rFonts w:ascii="Arial" w:hAnsi="Arial" w:cs="Arial"/>
          <w:sz w:val="20"/>
          <w:szCs w:val="20"/>
        </w:rPr>
        <w:t xml:space="preserve">26.21 Where an individual is found unfit to plead, the jury must then determine, on the evidence, whether they are satisfied that the individual did the act or made the omission charged against them as the offence (s.4A).  If the Secretary of State is later advised by the patient’s Responsible Clinician that the patient is, at any point, fit to be tried, the Secretary of State may direct </w:t>
      </w:r>
      <w:r w:rsidR="001F15CD">
        <w:rPr>
          <w:rFonts w:ascii="Arial" w:hAnsi="Arial" w:cs="Arial"/>
          <w:sz w:val="20"/>
          <w:szCs w:val="20"/>
        </w:rPr>
        <w:t>their</w:t>
      </w:r>
      <w:r>
        <w:rPr>
          <w:rFonts w:ascii="Arial" w:hAnsi="Arial" w:cs="Arial"/>
          <w:sz w:val="20"/>
          <w:szCs w:val="20"/>
        </w:rPr>
        <w:t xml:space="preserve"> remission to Court in order for the prosecution to resume.</w:t>
      </w:r>
    </w:p>
    <w:p w14:paraId="198A7040" w14:textId="77777777" w:rsidR="00F2123B" w:rsidRDefault="00200CFB">
      <w:pPr>
        <w:spacing w:before="100" w:after="240" w:line="280" w:lineRule="exact"/>
        <w:rPr>
          <w:rFonts w:ascii="Arial" w:hAnsi="Arial" w:cs="Arial"/>
          <w:sz w:val="20"/>
          <w:szCs w:val="20"/>
        </w:rPr>
      </w:pPr>
      <w:r>
        <w:rPr>
          <w:rFonts w:ascii="Arial" w:hAnsi="Arial" w:cs="Arial"/>
          <w:sz w:val="20"/>
          <w:szCs w:val="20"/>
        </w:rPr>
        <w:t>26.22 Where an individual is found not guilty by reason of insanity, or was unfit to plead but it was determined that the individual did the act or made the omission, then the court may make a hospital order with or without restrictions (s.5(2))</w:t>
      </w:r>
    </w:p>
    <w:p w14:paraId="198A7041" w14:textId="77777777" w:rsidR="00F2123B" w:rsidRDefault="00200CFB">
      <w:pPr>
        <w:spacing w:before="100" w:after="240" w:line="280" w:lineRule="exact"/>
        <w:rPr>
          <w:rFonts w:ascii="Arial" w:hAnsi="Arial" w:cs="Arial"/>
          <w:sz w:val="20"/>
          <w:szCs w:val="20"/>
        </w:rPr>
      </w:pPr>
      <w:r>
        <w:rPr>
          <w:rFonts w:ascii="Arial" w:hAnsi="Arial" w:cs="Arial"/>
          <w:sz w:val="20"/>
          <w:szCs w:val="20"/>
        </w:rPr>
        <w:t>26.23 Under section 37(3) of the MHA, where a magistrates’ court is satisfied that the individual did the act they are accused of, they may choose not to convict them but instead make a hospital order.  A restriction order, however, cannot be made.</w:t>
      </w:r>
    </w:p>
    <w:p w14:paraId="198A7042" w14:textId="77777777" w:rsidR="00F2123B" w:rsidRDefault="00200CFB">
      <w:pPr>
        <w:pStyle w:val="Heading1"/>
        <w:spacing w:before="100"/>
        <w:rPr>
          <w:szCs w:val="28"/>
        </w:rPr>
      </w:pPr>
      <w:r>
        <w:rPr>
          <w:szCs w:val="28"/>
        </w:rPr>
        <w:t>The Secretary of State’s responsibilities under the MHA 1983</w:t>
      </w:r>
    </w:p>
    <w:p w14:paraId="198A7043" w14:textId="77777777" w:rsidR="00F2123B" w:rsidRDefault="00200CFB">
      <w:pPr>
        <w:spacing w:before="100" w:after="240" w:line="280" w:lineRule="exact"/>
      </w:pPr>
      <w:r>
        <w:rPr>
          <w:rFonts w:ascii="Arial" w:hAnsi="Arial" w:cs="Arial"/>
          <w:color w:val="000000"/>
          <w:sz w:val="20"/>
          <w:szCs w:val="20"/>
        </w:rPr>
        <w:t>26.24 The Secretary of State for Justice is responsible only for MDOs subject to restriction orders (s.41), restriction directions (s.49), and limitation directions (s.45A) under the MHA 1983</w:t>
      </w:r>
      <w:r>
        <w:rPr>
          <w:rFonts w:ascii="Arial" w:hAnsi="Arial" w:cs="Arial"/>
          <w:color w:val="000000"/>
          <w:sz w:val="20"/>
          <w:szCs w:val="20"/>
          <w:vertAlign w:val="superscript"/>
        </w:rPr>
        <w:footnoteReference w:id="65"/>
      </w:r>
      <w:r>
        <w:rPr>
          <w:rFonts w:ascii="Arial" w:hAnsi="Arial" w:cs="Arial"/>
          <w:color w:val="000000"/>
          <w:sz w:val="20"/>
          <w:szCs w:val="20"/>
        </w:rPr>
        <w:t>.  Such offenders are collectively known as “restricted patients”.  In relation to all restricted patients, the Secretary of State’s consent is required for:</w:t>
      </w:r>
    </w:p>
    <w:p w14:paraId="198A7044" w14:textId="77777777" w:rsidR="00F2123B" w:rsidRDefault="00200CFB" w:rsidP="00AD2BEF">
      <w:pPr>
        <w:numPr>
          <w:ilvl w:val="0"/>
          <w:numId w:val="43"/>
        </w:numPr>
        <w:tabs>
          <w:tab w:val="left" w:pos="644"/>
        </w:tabs>
        <w:spacing w:before="100" w:after="120" w:line="280" w:lineRule="exact"/>
        <w:ind w:left="357" w:hanging="357"/>
        <w:rPr>
          <w:rFonts w:ascii="Arial" w:hAnsi="Arial" w:cs="Arial"/>
          <w:sz w:val="20"/>
          <w:szCs w:val="20"/>
        </w:rPr>
      </w:pPr>
      <w:r>
        <w:rPr>
          <w:rFonts w:ascii="Arial" w:hAnsi="Arial" w:cs="Arial"/>
          <w:sz w:val="20"/>
          <w:szCs w:val="20"/>
        </w:rPr>
        <w:t>Leave into the community.</w:t>
      </w:r>
    </w:p>
    <w:p w14:paraId="198A7045" w14:textId="77777777" w:rsidR="00F2123B" w:rsidRDefault="00200CFB" w:rsidP="00AD2BEF">
      <w:pPr>
        <w:numPr>
          <w:ilvl w:val="0"/>
          <w:numId w:val="43"/>
        </w:numPr>
        <w:tabs>
          <w:tab w:val="left" w:pos="644"/>
        </w:tabs>
        <w:spacing w:before="100" w:after="240" w:line="280" w:lineRule="exact"/>
        <w:ind w:left="360"/>
        <w:rPr>
          <w:rFonts w:ascii="Arial" w:hAnsi="Arial" w:cs="Arial"/>
          <w:sz w:val="20"/>
          <w:szCs w:val="20"/>
        </w:rPr>
      </w:pPr>
      <w:r>
        <w:rPr>
          <w:rFonts w:ascii="Arial" w:hAnsi="Arial" w:cs="Arial"/>
          <w:sz w:val="20"/>
          <w:szCs w:val="20"/>
        </w:rPr>
        <w:t>Transfer between hospitals.</w:t>
      </w:r>
    </w:p>
    <w:p w14:paraId="198A7046" w14:textId="77777777" w:rsidR="00F2123B" w:rsidRDefault="00200CFB">
      <w:pPr>
        <w:spacing w:before="100" w:after="240" w:line="280" w:lineRule="exact"/>
        <w:rPr>
          <w:rFonts w:ascii="Arial" w:hAnsi="Arial" w:cs="Arial"/>
          <w:sz w:val="20"/>
          <w:szCs w:val="20"/>
        </w:rPr>
      </w:pPr>
      <w:r>
        <w:rPr>
          <w:rFonts w:ascii="Arial" w:hAnsi="Arial" w:cs="Arial"/>
          <w:sz w:val="20"/>
          <w:szCs w:val="20"/>
        </w:rPr>
        <w:t>26.25 The Secretary of State may also:</w:t>
      </w:r>
    </w:p>
    <w:p w14:paraId="198A7047"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Discharge patients into the community (either conditionally or absolutely).</w:t>
      </w:r>
    </w:p>
    <w:p w14:paraId="198A7048" w14:textId="77777777" w:rsidR="00F2123B" w:rsidRDefault="00200CFB" w:rsidP="00AD2BEF">
      <w:pPr>
        <w:numPr>
          <w:ilvl w:val="0"/>
          <w:numId w:val="43"/>
        </w:numPr>
        <w:tabs>
          <w:tab w:val="left" w:pos="644"/>
        </w:tabs>
        <w:spacing w:before="100" w:after="120" w:line="280" w:lineRule="exact"/>
        <w:ind w:left="357"/>
        <w:rPr>
          <w:rFonts w:ascii="Arial" w:hAnsi="Arial" w:cs="Arial"/>
          <w:sz w:val="20"/>
          <w:szCs w:val="20"/>
        </w:rPr>
      </w:pPr>
      <w:r>
        <w:rPr>
          <w:rFonts w:ascii="Arial" w:hAnsi="Arial" w:cs="Arial"/>
          <w:sz w:val="20"/>
          <w:szCs w:val="20"/>
        </w:rPr>
        <w:t>Direct the remission to prison of a transferred prisoner or a patient subject to a hospital or limitation direction.</w:t>
      </w:r>
    </w:p>
    <w:p w14:paraId="198A7049" w14:textId="77777777" w:rsidR="00F2123B" w:rsidRDefault="00200CFB" w:rsidP="00AD2BEF">
      <w:pPr>
        <w:numPr>
          <w:ilvl w:val="0"/>
          <w:numId w:val="43"/>
        </w:numPr>
        <w:tabs>
          <w:tab w:val="left" w:pos="644"/>
        </w:tabs>
        <w:spacing w:before="100" w:after="240" w:line="280" w:lineRule="exact"/>
        <w:ind w:left="351" w:hanging="357"/>
        <w:rPr>
          <w:rFonts w:ascii="Arial" w:hAnsi="Arial" w:cs="Arial"/>
          <w:sz w:val="20"/>
          <w:szCs w:val="20"/>
        </w:rPr>
      </w:pPr>
      <w:r>
        <w:rPr>
          <w:rFonts w:ascii="Arial" w:hAnsi="Arial" w:cs="Arial"/>
          <w:sz w:val="20"/>
          <w:szCs w:val="20"/>
        </w:rPr>
        <w:t>Recall a conditionally discharged patient and add, vary or remove conditions of discharge including those set by the Tribunal.</w:t>
      </w:r>
    </w:p>
    <w:p w14:paraId="198A704A" w14:textId="77777777" w:rsidR="00F2123B" w:rsidRDefault="00200CFB">
      <w:pPr>
        <w:spacing w:before="100" w:after="240" w:line="280" w:lineRule="exact"/>
        <w:rPr>
          <w:rFonts w:ascii="Arial" w:hAnsi="Arial" w:cs="Arial"/>
          <w:sz w:val="20"/>
          <w:szCs w:val="20"/>
        </w:rPr>
      </w:pPr>
      <w:r>
        <w:rPr>
          <w:rFonts w:ascii="Arial" w:hAnsi="Arial" w:cs="Arial"/>
          <w:sz w:val="20"/>
          <w:szCs w:val="20"/>
        </w:rPr>
        <w:t>26.26 Further details of the Secretary of State’s powers and responsibilities in relation to hospital orders are provided in the Available Orders section of this chapter (paragraphs 26.3 - 26.23).</w:t>
      </w:r>
    </w:p>
    <w:p w14:paraId="198A704B" w14:textId="77777777" w:rsidR="00F2123B" w:rsidRDefault="00200CFB">
      <w:pPr>
        <w:spacing w:before="100" w:after="240" w:line="280" w:lineRule="exact"/>
      </w:pPr>
      <w:r>
        <w:rPr>
          <w:rFonts w:ascii="Arial" w:hAnsi="Arial" w:cs="Arial"/>
          <w:color w:val="000000"/>
          <w:sz w:val="20"/>
          <w:szCs w:val="20"/>
        </w:rPr>
        <w:t xml:space="preserve">26.27 The Mental Health Casework Section (MHCS) in Her Majesty’s Prison and Probation Service (HMPPS) takes decisions on behalf of the Secretary of State in respect of restricted patients.  Queries about restricted patients or the transfer of prisoners to hospital should be addressed to the relevant casework team in MHCS.  A contact list is available </w:t>
      </w:r>
      <w:r>
        <w:rPr>
          <w:rFonts w:ascii="Arial" w:hAnsi="Arial" w:cs="Arial"/>
          <w:sz w:val="20"/>
          <w:szCs w:val="20"/>
        </w:rPr>
        <w:t xml:space="preserve">at </w:t>
      </w:r>
      <w:hyperlink r:id="rId42" w:history="1">
        <w:r>
          <w:rPr>
            <w:rFonts w:ascii="Arial" w:hAnsi="Arial" w:cs="Arial"/>
            <w:color w:val="0000FF"/>
            <w:sz w:val="20"/>
            <w:szCs w:val="20"/>
            <w:u w:val="single"/>
          </w:rPr>
          <w:t>http://www.justice.gov.uk/contacts/noms/mental-health-unit</w:t>
        </w:r>
      </w:hyperlink>
      <w:r>
        <w:rPr>
          <w:rFonts w:ascii="Arial" w:hAnsi="Arial" w:cs="Arial"/>
          <w:sz w:val="20"/>
          <w:szCs w:val="20"/>
        </w:rPr>
        <w:t>.</w:t>
      </w:r>
    </w:p>
    <w:p w14:paraId="198A704C" w14:textId="77777777" w:rsidR="00F2123B" w:rsidRDefault="00200CFB">
      <w:pPr>
        <w:spacing w:before="100" w:after="240" w:line="280" w:lineRule="exact"/>
        <w:rPr>
          <w:rFonts w:ascii="Arial" w:hAnsi="Arial" w:cs="Arial"/>
          <w:sz w:val="20"/>
          <w:szCs w:val="20"/>
        </w:rPr>
      </w:pPr>
      <w:r>
        <w:rPr>
          <w:rFonts w:ascii="Arial" w:hAnsi="Arial" w:cs="Arial"/>
          <w:sz w:val="20"/>
          <w:szCs w:val="20"/>
        </w:rPr>
        <w:t>26.28 Clinical and social supervisors are required to submit regular reports to MHCS on conditionally discharged patients.  These reports must include information on the involvement of other agencies and MAPPA status.</w:t>
      </w:r>
    </w:p>
    <w:p w14:paraId="198A704D" w14:textId="77777777" w:rsidR="00F2123B" w:rsidRDefault="00200CFB">
      <w:pPr>
        <w:pStyle w:val="Heading1"/>
        <w:spacing w:before="100"/>
        <w:ind w:left="0" w:firstLine="0"/>
        <w:rPr>
          <w:szCs w:val="28"/>
        </w:rPr>
      </w:pPr>
      <w:r>
        <w:rPr>
          <w:szCs w:val="28"/>
        </w:rPr>
        <w:t>Role of the First-tier Tribunal (Mental Health) - in Wales, the Mental Health Review Tribunal (the Tribunal)</w:t>
      </w:r>
    </w:p>
    <w:p w14:paraId="198A704E" w14:textId="77777777" w:rsidR="00F2123B" w:rsidRDefault="00200CFB">
      <w:pPr>
        <w:spacing w:before="100" w:after="240" w:line="280" w:lineRule="exact"/>
      </w:pPr>
      <w:r>
        <w:rPr>
          <w:rFonts w:ascii="Arial" w:hAnsi="Arial" w:cs="Arial"/>
          <w:sz w:val="20"/>
          <w:szCs w:val="20"/>
        </w:rPr>
        <w:t>26.29</w:t>
      </w:r>
      <w:r>
        <w:rPr>
          <w:rFonts w:ascii="Arial" w:hAnsi="Arial" w:cs="Arial"/>
          <w:b/>
          <w:sz w:val="20"/>
          <w:szCs w:val="20"/>
        </w:rPr>
        <w:t xml:space="preserve"> </w:t>
      </w:r>
      <w:r>
        <w:rPr>
          <w:rFonts w:ascii="Arial" w:hAnsi="Arial" w:cs="Arial"/>
          <w:sz w:val="20"/>
          <w:szCs w:val="20"/>
        </w:rPr>
        <w:t>The Tribunal has a statutory duty to review the case of a patient detained under the Act and order discharge if it is not satisfied that the criteria for detention are met.</w:t>
      </w:r>
    </w:p>
    <w:p w14:paraId="198A704F" w14:textId="77777777" w:rsidR="00F2123B" w:rsidRDefault="00200CFB">
      <w:pPr>
        <w:spacing w:before="100" w:after="240" w:line="280" w:lineRule="exact"/>
        <w:rPr>
          <w:rFonts w:ascii="Arial" w:hAnsi="Arial" w:cs="Arial"/>
          <w:sz w:val="20"/>
          <w:szCs w:val="20"/>
        </w:rPr>
      </w:pPr>
      <w:r>
        <w:rPr>
          <w:rFonts w:ascii="Arial" w:hAnsi="Arial" w:cs="Arial"/>
          <w:sz w:val="20"/>
          <w:szCs w:val="20"/>
        </w:rPr>
        <w:t>26.30 Detained restricted patients have the right to apply to the Tribunal once a year (s.70).  The Tribunal is generally required to discharge the patient from hospital under s.73 of the MHA 1983 if it is not satisfied that:</w:t>
      </w:r>
    </w:p>
    <w:p w14:paraId="198A7050"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patient is suffering from a mental disorder of a nature or degree that makes it appropriate for the patient to be liable to be detained in hospital for medical treatment; or</w:t>
      </w:r>
    </w:p>
    <w:p w14:paraId="198A7051" w14:textId="77777777" w:rsidR="00F2123B" w:rsidRDefault="00200CFB" w:rsidP="00AD2BEF">
      <w:pPr>
        <w:numPr>
          <w:ilvl w:val="0"/>
          <w:numId w:val="44"/>
        </w:numPr>
        <w:tabs>
          <w:tab w:val="left" w:pos="360"/>
        </w:tabs>
        <w:spacing w:before="100" w:after="120" w:line="280" w:lineRule="exact"/>
        <w:ind w:left="357" w:hanging="357"/>
        <w:rPr>
          <w:rFonts w:ascii="Arial" w:hAnsi="Arial" w:cs="Arial"/>
          <w:sz w:val="20"/>
          <w:szCs w:val="20"/>
        </w:rPr>
      </w:pPr>
      <w:r>
        <w:rPr>
          <w:rFonts w:ascii="Arial" w:hAnsi="Arial" w:cs="Arial"/>
          <w:sz w:val="20"/>
          <w:szCs w:val="20"/>
        </w:rPr>
        <w:t>the medical treatment is necessary for the patient’s health and safety or for the protection of other persons, or</w:t>
      </w:r>
    </w:p>
    <w:p w14:paraId="198A7052" w14:textId="77777777" w:rsidR="00F2123B" w:rsidRDefault="00200CFB" w:rsidP="00AD2BEF">
      <w:pPr>
        <w:numPr>
          <w:ilvl w:val="0"/>
          <w:numId w:val="44"/>
        </w:numPr>
        <w:tabs>
          <w:tab w:val="left" w:pos="360"/>
        </w:tabs>
        <w:spacing w:before="100" w:after="240" w:line="280" w:lineRule="exact"/>
        <w:ind w:left="360"/>
        <w:rPr>
          <w:rFonts w:ascii="Arial" w:hAnsi="Arial" w:cs="Arial"/>
          <w:sz w:val="20"/>
          <w:szCs w:val="20"/>
        </w:rPr>
      </w:pPr>
      <w:r>
        <w:rPr>
          <w:rFonts w:ascii="Arial" w:hAnsi="Arial" w:cs="Arial"/>
          <w:sz w:val="20"/>
          <w:szCs w:val="20"/>
        </w:rPr>
        <w:t>appropriate medical treatment is available for the patient.</w:t>
      </w:r>
    </w:p>
    <w:p w14:paraId="198A7053" w14:textId="77777777" w:rsidR="00F2123B" w:rsidRDefault="00200CFB">
      <w:pPr>
        <w:spacing w:before="100" w:after="240" w:line="280" w:lineRule="exact"/>
        <w:rPr>
          <w:rFonts w:ascii="Arial" w:hAnsi="Arial" w:cs="Arial"/>
          <w:sz w:val="20"/>
          <w:szCs w:val="20"/>
        </w:rPr>
      </w:pPr>
      <w:r>
        <w:rPr>
          <w:rFonts w:ascii="Arial" w:hAnsi="Arial" w:cs="Arial"/>
          <w:sz w:val="20"/>
          <w:szCs w:val="20"/>
        </w:rPr>
        <w:t>26.31 The Tribunal can impose conditions on the discharge if it is satisfied that the patient needs to be liable to recall for further treatment.</w:t>
      </w:r>
    </w:p>
    <w:p w14:paraId="198A7054" w14:textId="77777777" w:rsidR="00F2123B" w:rsidRDefault="00200CFB">
      <w:pPr>
        <w:spacing w:before="100" w:after="240" w:line="280" w:lineRule="exact"/>
        <w:rPr>
          <w:rFonts w:ascii="Arial" w:hAnsi="Arial" w:cs="Arial"/>
          <w:sz w:val="20"/>
          <w:szCs w:val="20"/>
        </w:rPr>
      </w:pPr>
      <w:r>
        <w:rPr>
          <w:rFonts w:ascii="Arial" w:hAnsi="Arial" w:cs="Arial"/>
          <w:sz w:val="20"/>
          <w:szCs w:val="20"/>
        </w:rPr>
        <w:t>26.32 A restricted patient subject to conditional discharge in the community has the right to apply to the Tribunal for an absolute discharge once every two years (s.75(2)).</w:t>
      </w:r>
    </w:p>
    <w:p w14:paraId="198A7055" w14:textId="77777777" w:rsidR="00F2123B" w:rsidRDefault="00200CFB">
      <w:pPr>
        <w:spacing w:before="100" w:after="240" w:line="280" w:lineRule="exact"/>
        <w:rPr>
          <w:rFonts w:ascii="Arial" w:hAnsi="Arial" w:cs="Arial"/>
          <w:bCs/>
          <w:sz w:val="20"/>
          <w:szCs w:val="20"/>
        </w:rPr>
      </w:pPr>
      <w:r>
        <w:rPr>
          <w:rFonts w:ascii="Arial" w:hAnsi="Arial" w:cs="Arial"/>
          <w:bCs/>
          <w:sz w:val="20"/>
          <w:szCs w:val="20"/>
        </w:rPr>
        <w:t>26.33 The Secretary of State is a party to proceedings before the Tribunal and can be represented at Tribunal hearings.  Generally, however, MHCS submits a written statement on behalf of the Secretary of State.</w:t>
      </w:r>
    </w:p>
    <w:p w14:paraId="198A7056" w14:textId="77777777" w:rsidR="00F2123B" w:rsidRDefault="00200CFB">
      <w:pPr>
        <w:spacing w:before="100" w:after="240" w:line="280" w:lineRule="exact"/>
      </w:pPr>
      <w:r>
        <w:rPr>
          <w:rFonts w:ascii="Arial" w:hAnsi="Arial" w:cs="Arial"/>
          <w:sz w:val="20"/>
          <w:szCs w:val="20"/>
        </w:rPr>
        <w:t xml:space="preserve">26.34 Where the Tribunal directs that a patient be conditionally discharged, it may defer that direction until it is satisfied that adequate arrangements have been made for the discharge to take place (s.73(7)).  Conditions of discharge should be proportionate and reasonable in all the circumstances.  After the Tribunal has directed a patient’s conditional discharge, the Secretary of State may vary those conditions (s.73(5)).  Current case law in </w:t>
      </w:r>
      <w:r>
        <w:rPr>
          <w:rFonts w:ascii="Arial" w:hAnsi="Arial" w:cs="Arial"/>
          <w:i/>
          <w:sz w:val="20"/>
          <w:szCs w:val="20"/>
        </w:rPr>
        <w:t>Secretary of State for Justice</w:t>
      </w:r>
      <w:r>
        <w:rPr>
          <w:rFonts w:ascii="Arial" w:hAnsi="Arial" w:cs="Arial"/>
          <w:sz w:val="20"/>
          <w:szCs w:val="20"/>
        </w:rPr>
        <w:t xml:space="preserve"> v </w:t>
      </w:r>
      <w:r>
        <w:rPr>
          <w:rFonts w:ascii="Arial" w:hAnsi="Arial" w:cs="Arial"/>
          <w:i/>
          <w:sz w:val="20"/>
          <w:szCs w:val="20"/>
        </w:rPr>
        <w:t>MM</w:t>
      </w:r>
      <w:r>
        <w:rPr>
          <w:rFonts w:ascii="Arial" w:hAnsi="Arial" w:cs="Arial"/>
          <w:sz w:val="20"/>
          <w:szCs w:val="20"/>
        </w:rPr>
        <w:t xml:space="preserve"> (2017) EWCA Civ 194 holds that the Tribunal cannot impose discharge conditions that amount to a deprivation of liberty.  This is an area of ongoing litigation so current case law should be consulted for guidance.</w:t>
      </w:r>
    </w:p>
    <w:p w14:paraId="198A7057" w14:textId="77777777" w:rsidR="00F2123B" w:rsidRDefault="00200CFB">
      <w:pPr>
        <w:spacing w:before="100" w:after="240" w:line="280" w:lineRule="exact"/>
        <w:rPr>
          <w:rFonts w:ascii="Arial" w:hAnsi="Arial" w:cs="Arial"/>
          <w:sz w:val="20"/>
          <w:szCs w:val="20"/>
        </w:rPr>
      </w:pPr>
      <w:r>
        <w:rPr>
          <w:rFonts w:ascii="Arial" w:hAnsi="Arial" w:cs="Arial"/>
          <w:sz w:val="20"/>
          <w:szCs w:val="20"/>
        </w:rPr>
        <w:t>26.35 The duty to discharge does not apply to restricted patients who have been transferred to hospital under ss.47 or 48 of the Act together with a s.49 restriction or who are subject to a hospital and limitation direction under s.45A.  In these cases, under s.74 of the Act, the Tribunal may only recommend discharge to the Secretary of State.  If the Secretary of State does not agree to the discharge, the patient must be returned to prison, unless the Tribunal recommends that in the event of the patient not being discharged, they should continue to be detained in hospital.</w:t>
      </w:r>
    </w:p>
    <w:p w14:paraId="198A7058" w14:textId="77777777" w:rsidR="00F2123B" w:rsidRDefault="00200CFB">
      <w:pPr>
        <w:spacing w:before="100" w:after="240" w:line="280" w:lineRule="exact"/>
      </w:pPr>
      <w:r>
        <w:rPr>
          <w:rFonts w:ascii="Arial" w:hAnsi="Arial" w:cs="Arial"/>
          <w:sz w:val="20"/>
          <w:szCs w:val="20"/>
        </w:rPr>
        <w:t xml:space="preserve">26.36 If a conditionally discharged patient has been recalled to hospital, the Secretary of State must refer the case to the Tribunal </w:t>
      </w:r>
      <w:r>
        <w:rPr>
          <w:rFonts w:ascii="Arial" w:hAnsi="Arial" w:cs="Arial"/>
          <w:bCs/>
          <w:sz w:val="20"/>
          <w:szCs w:val="20"/>
        </w:rPr>
        <w:t>within one month</w:t>
      </w:r>
      <w:r>
        <w:rPr>
          <w:rFonts w:ascii="Arial" w:hAnsi="Arial" w:cs="Arial"/>
          <w:sz w:val="20"/>
          <w:szCs w:val="20"/>
        </w:rPr>
        <w:t xml:space="preserve"> of recall.</w:t>
      </w:r>
    </w:p>
    <w:p w14:paraId="198A7059" w14:textId="77777777" w:rsidR="00F2123B" w:rsidRDefault="00200CFB">
      <w:pPr>
        <w:pStyle w:val="Heading1"/>
        <w:spacing w:before="100"/>
        <w:rPr>
          <w:szCs w:val="28"/>
          <w:lang w:eastAsia="en-GB"/>
        </w:rPr>
      </w:pPr>
      <w:r>
        <w:rPr>
          <w:szCs w:val="28"/>
          <w:lang w:eastAsia="en-GB"/>
        </w:rPr>
        <w:t>Mentally Disordered Offenders who are MAPPA offenders</w:t>
      </w:r>
    </w:p>
    <w:p w14:paraId="198A705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26.37 MAPPA is not a statutory body in itself but a mechanism through which agencies can better discharge their statutory responsibilities and protect the public in a co-ordinated manner.</w:t>
      </w:r>
    </w:p>
    <w:p w14:paraId="198A705B"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26.38 MAPPA eligibility:</w:t>
      </w:r>
    </w:p>
    <w:p w14:paraId="198A705C"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Patients subject to the notification requirements of Part 2 of the Sexual Offences Act (SOA) 2003 (Category 1); or</w:t>
      </w:r>
    </w:p>
    <w:p w14:paraId="198A705D" w14:textId="77777777" w:rsidR="00F2123B" w:rsidRDefault="00200CFB" w:rsidP="00AD2BEF">
      <w:pPr>
        <w:numPr>
          <w:ilvl w:val="0"/>
          <w:numId w:val="45"/>
        </w:numPr>
        <w:autoSpaceDE w:val="0"/>
        <w:spacing w:before="100" w:after="120" w:line="280" w:lineRule="exact"/>
        <w:ind w:left="357" w:hanging="357"/>
      </w:pPr>
      <w:r>
        <w:rPr>
          <w:rFonts w:ascii="Arial" w:hAnsi="Arial" w:cs="Arial"/>
          <w:bCs/>
          <w:color w:val="000000"/>
          <w:sz w:val="20"/>
          <w:szCs w:val="20"/>
        </w:rPr>
        <w:t xml:space="preserve">Patients convicted of murder or an offence specified in Schedule 15 or 4A of the Criminal Justice Act 2003 and sentenced to twelve months or more imprisonment </w:t>
      </w:r>
      <w:r>
        <w:rPr>
          <w:rFonts w:ascii="Arial" w:hAnsi="Arial" w:cs="Arial"/>
          <w:bCs/>
          <w:color w:val="000000"/>
          <w:sz w:val="20"/>
          <w:szCs w:val="20"/>
          <w:u w:val="single"/>
        </w:rPr>
        <w:t>or</w:t>
      </w:r>
      <w:r>
        <w:rPr>
          <w:rFonts w:ascii="Arial" w:hAnsi="Arial" w:cs="Arial"/>
          <w:bCs/>
          <w:color w:val="000000"/>
          <w:sz w:val="20"/>
          <w:szCs w:val="20"/>
        </w:rPr>
        <w:t xml:space="preserve"> detained in hospital subject to provisions of the MHA 1983, including</w:t>
      </w:r>
      <w:r>
        <w:rPr>
          <w:rFonts w:ascii="Arial" w:hAnsi="Arial" w:cs="Arial"/>
          <w:color w:val="000000"/>
          <w:sz w:val="20"/>
          <w:szCs w:val="20"/>
        </w:rPr>
        <w:t xml:space="preserve"> those found not guilty by reason of insanity or unfit to plead (having done the act) (Category 2).</w:t>
      </w:r>
    </w:p>
    <w:p w14:paraId="198A705E" w14:textId="77777777" w:rsidR="00F2123B" w:rsidRDefault="00200CFB" w:rsidP="00AD2BEF">
      <w:pPr>
        <w:numPr>
          <w:ilvl w:val="0"/>
          <w:numId w:val="45"/>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 xml:space="preserve">Other dangerous offenders (Category 3), please see paragraph 26.40. </w:t>
      </w:r>
    </w:p>
    <w:p w14:paraId="198A705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26.39 MAPPA eligible MDOs who are subject to MAPPA may be detained in hospital under the MHA 1983 either:</w:t>
      </w:r>
    </w:p>
    <w:p w14:paraId="198A7060"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having been sent there directly by the court making a hospital or guardianship order (s.37), with or without a restriction order (s.41); or</w:t>
      </w:r>
    </w:p>
    <w:p w14:paraId="198A7061" w14:textId="77777777" w:rsidR="00F2123B" w:rsidRDefault="00200CFB" w:rsidP="00AD2BEF">
      <w:pPr>
        <w:pStyle w:val="ListParagraph"/>
        <w:numPr>
          <w:ilvl w:val="0"/>
          <w:numId w:val="46"/>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if detention in hospital was directed by the court combined with a custodial sentence (hybrid orders) (s.45A), with a limitation direction; or</w:t>
      </w:r>
    </w:p>
    <w:p w14:paraId="198A7062" w14:textId="77777777" w:rsidR="00F2123B" w:rsidRDefault="00200CFB" w:rsidP="00AD2BEF">
      <w:pPr>
        <w:pStyle w:val="ListParagraph"/>
        <w:numPr>
          <w:ilvl w:val="0"/>
          <w:numId w:val="46"/>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detention was directed by the Secretary of State for a convicted prisoner serving over 12 months, to be transferred into hospital from prison (s.47), with or without a restriction direction (s.49).</w:t>
      </w:r>
    </w:p>
    <w:p w14:paraId="198A7063"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26.40 A patient who does not qualify under Categories 1 or 2 may, however, be subject to MAPPA under Category 3 if the responsible authority considers, by reason of their offences (wherever committed), that they currently pose a risk of serious harm to the public that requires active multi-agency management.  Further information on Category 3 can be found in Chapter 6 – Identification and Notification of MAPPA Offenders at paragraphs 6.10-6.16.</w:t>
      </w:r>
    </w:p>
    <w:p w14:paraId="198A7064" w14:textId="77777777" w:rsidR="00F2123B" w:rsidRDefault="00200CFB">
      <w:pPr>
        <w:autoSpaceDE w:val="0"/>
        <w:spacing w:before="100" w:after="240" w:line="280" w:lineRule="exact"/>
        <w:rPr>
          <w:rFonts w:ascii="Arial" w:hAnsi="Arial" w:cs="Arial"/>
          <w:bCs/>
          <w:color w:val="000000"/>
          <w:sz w:val="20"/>
          <w:szCs w:val="20"/>
        </w:rPr>
      </w:pPr>
      <w:r>
        <w:rPr>
          <w:rFonts w:ascii="Arial" w:hAnsi="Arial" w:cs="Arial"/>
          <w:bCs/>
          <w:color w:val="000000"/>
          <w:sz w:val="20"/>
          <w:szCs w:val="20"/>
        </w:rPr>
        <w:t>26.41 MDOs subject to MAPPA in the community and to the MHA 1983 are:</w:t>
      </w:r>
    </w:p>
    <w:p w14:paraId="198A7065" w14:textId="77777777" w:rsidR="00F2123B" w:rsidRDefault="00200CFB" w:rsidP="00AD2BEF">
      <w:pPr>
        <w:numPr>
          <w:ilvl w:val="0"/>
          <w:numId w:val="47"/>
        </w:numPr>
        <w:autoSpaceDE w:val="0"/>
        <w:spacing w:before="100" w:after="120" w:line="280" w:lineRule="exact"/>
        <w:ind w:left="357" w:hanging="357"/>
        <w:rPr>
          <w:rFonts w:ascii="Arial" w:hAnsi="Arial" w:cs="Arial"/>
          <w:color w:val="000000"/>
          <w:sz w:val="20"/>
          <w:szCs w:val="20"/>
        </w:rPr>
      </w:pPr>
      <w:r>
        <w:rPr>
          <w:rFonts w:ascii="Arial" w:hAnsi="Arial" w:cs="Arial"/>
          <w:color w:val="000000"/>
          <w:sz w:val="20"/>
          <w:szCs w:val="20"/>
        </w:rPr>
        <w:t>offenders who have been conditionally discharged from hospital; or</w:t>
      </w:r>
    </w:p>
    <w:p w14:paraId="198A7066" w14:textId="77777777" w:rsidR="00F2123B" w:rsidRDefault="00200CFB" w:rsidP="00AD2BEF">
      <w:pPr>
        <w:numPr>
          <w:ilvl w:val="0"/>
          <w:numId w:val="47"/>
        </w:numPr>
        <w:autoSpaceDE w:val="0"/>
        <w:spacing w:before="100" w:after="240" w:line="280" w:lineRule="exact"/>
        <w:ind w:left="360"/>
        <w:rPr>
          <w:rFonts w:ascii="Arial" w:hAnsi="Arial" w:cs="Arial"/>
          <w:color w:val="000000"/>
          <w:sz w:val="20"/>
          <w:szCs w:val="20"/>
        </w:rPr>
      </w:pPr>
      <w:r>
        <w:rPr>
          <w:rFonts w:ascii="Arial" w:hAnsi="Arial" w:cs="Arial"/>
          <w:color w:val="000000"/>
          <w:sz w:val="20"/>
          <w:szCs w:val="20"/>
        </w:rPr>
        <w:t>offenders under a community treatment order made under s. 17A.</w:t>
      </w:r>
    </w:p>
    <w:p w14:paraId="198A7067"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26.42 Other offenders who are subject to MAPPA Category 1 or Category 2 may be simultaneously subject to Mental Health Act powers applied through a non-criminal justice route.</w:t>
      </w:r>
    </w:p>
    <w:p w14:paraId="198A7068" w14:textId="77777777" w:rsidR="00F2123B" w:rsidRDefault="00200CFB">
      <w:pPr>
        <w:autoSpaceDE w:val="0"/>
        <w:spacing w:before="100" w:after="240" w:line="280" w:lineRule="exact"/>
      </w:pPr>
      <w:r>
        <w:rPr>
          <w:rFonts w:ascii="Arial" w:hAnsi="Arial" w:cs="Arial"/>
          <w:color w:val="000000"/>
          <w:sz w:val="20"/>
          <w:szCs w:val="20"/>
        </w:rPr>
        <w:t xml:space="preserve">26.43 Mental health practitioners have a duty to co-operate with MAPPA and share information about patients that is relevant to the statutory purposes of assessing and managing risk, even where the patient does not consent.  However, patients may be asked to consent to the sharing of other relevant information within MAPPA to assist with their risk management (if they have the capacity to understand what they are consenting to).  </w:t>
      </w:r>
      <w:r>
        <w:rPr>
          <w:rFonts w:ascii="Arial" w:hAnsi="Arial" w:cs="Arial"/>
          <w:sz w:val="20"/>
          <w:szCs w:val="20"/>
        </w:rPr>
        <w:t>Further details on information sharing can be found in Chapter 9 – Information-sharing.</w:t>
      </w:r>
    </w:p>
    <w:p w14:paraId="198A7069" w14:textId="77777777" w:rsidR="00F2123B" w:rsidRDefault="00200CFB">
      <w:pPr>
        <w:autoSpaceDE w:val="0"/>
        <w:spacing w:before="100" w:after="240" w:line="280" w:lineRule="exact"/>
      </w:pPr>
      <w:r>
        <w:rPr>
          <w:rFonts w:ascii="Arial" w:hAnsi="Arial" w:cs="Arial"/>
          <w:sz w:val="20"/>
          <w:szCs w:val="20"/>
        </w:rPr>
        <w:t xml:space="preserve">26.44 Disclosure of information about the patient to third parties, such as a victim or employer, is possible, but it must be necessary for public protection, proportionate and in compliance with the law.  </w:t>
      </w:r>
      <w:r>
        <w:rPr>
          <w:rFonts w:ascii="Arial" w:eastAsia="Calibri" w:hAnsi="Arial" w:cs="Arial"/>
          <w:sz w:val="20"/>
          <w:szCs w:val="20"/>
          <w:lang w:eastAsia="en-US"/>
        </w:rPr>
        <w:t xml:space="preserve">Professional guidance issued to medical practitioners supports necessary and proportionate disclosure and sharing of information (see </w:t>
      </w:r>
      <w:hyperlink r:id="rId43" w:history="1">
        <w:r>
          <w:rPr>
            <w:rStyle w:val="Hyperlink"/>
            <w:rFonts w:ascii="Arial" w:hAnsi="Arial" w:cs="Arial"/>
            <w:sz w:val="20"/>
            <w:szCs w:val="20"/>
          </w:rPr>
          <w:t>https://www.gmc-uk.org/guidance/ethical_guidance/30608.asp</w:t>
        </w:r>
      </w:hyperlink>
      <w:r>
        <w:rPr>
          <w:rFonts w:ascii="Arial" w:hAnsi="Arial" w:cs="Arial"/>
          <w:sz w:val="20"/>
          <w:szCs w:val="20"/>
        </w:rPr>
        <w:t>)</w:t>
      </w:r>
      <w:r>
        <w:rPr>
          <w:rFonts w:ascii="Arial" w:eastAsia="Calibri" w:hAnsi="Arial" w:cs="Arial"/>
          <w:sz w:val="20"/>
          <w:szCs w:val="20"/>
          <w:lang w:eastAsia="en-US"/>
        </w:rPr>
        <w:t xml:space="preserve">.  </w:t>
      </w:r>
      <w:r>
        <w:rPr>
          <w:rFonts w:ascii="Arial" w:hAnsi="Arial" w:cs="Arial"/>
          <w:sz w:val="20"/>
          <w:szCs w:val="20"/>
        </w:rPr>
        <w:t>Issues of disclosure will be discussed at each MAPPA meeting.  Further details on disclosure, including disclosure taking place without consent, are covered in Chapter 10 - Disclosure.</w:t>
      </w:r>
    </w:p>
    <w:p w14:paraId="198A706A"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26.45 What happens when an offender is no longer subject to MAPPA supervision is contained in paragraphs 26.71 and 26.72.</w:t>
      </w:r>
    </w:p>
    <w:p w14:paraId="198A706B" w14:textId="77777777" w:rsidR="00F2123B" w:rsidRDefault="00200CFB">
      <w:pPr>
        <w:spacing w:before="100" w:after="240" w:line="280" w:lineRule="exact"/>
      </w:pPr>
      <w:r>
        <w:rPr>
          <w:rFonts w:ascii="Arial" w:hAnsi="Arial" w:cs="Arial"/>
          <w:sz w:val="20"/>
          <w:szCs w:val="20"/>
          <w:lang w:eastAsia="en-GB"/>
        </w:rPr>
        <w:t xml:space="preserve">26.46 Further information on MAPPA can be found at </w:t>
      </w:r>
      <w:hyperlink r:id="rId44" w:history="1">
        <w:r>
          <w:rPr>
            <w:rStyle w:val="Hyperlink"/>
            <w:rFonts w:ascii="Arial" w:hAnsi="Arial" w:cs="Arial"/>
            <w:sz w:val="20"/>
            <w:szCs w:val="20"/>
            <w:lang w:eastAsia="en-GB"/>
          </w:rPr>
          <w:t>www.mappa.justice.gov.uk</w:t>
        </w:r>
      </w:hyperlink>
      <w:r>
        <w:rPr>
          <w:rStyle w:val="Hyperlink"/>
          <w:rFonts w:ascii="Arial" w:hAnsi="Arial" w:cs="Arial"/>
          <w:sz w:val="20"/>
          <w:szCs w:val="20"/>
          <w:lang w:eastAsia="en-GB"/>
        </w:rPr>
        <w:t>.</w:t>
      </w:r>
      <w:r>
        <w:rPr>
          <w:rFonts w:ascii="Arial" w:hAnsi="Arial" w:cs="Arial"/>
          <w:sz w:val="20"/>
          <w:szCs w:val="20"/>
          <w:lang w:eastAsia="en-GB"/>
        </w:rPr>
        <w:t xml:space="preserve">  MAPPA professionals, including health practitioners, can join a password-protected community that contains relevant information.  Professionals can join these communities by clicking “register” in the top right-hand corner of the website.</w:t>
      </w:r>
    </w:p>
    <w:p w14:paraId="198A706C" w14:textId="77777777" w:rsidR="00F2123B" w:rsidRDefault="00200CFB">
      <w:pPr>
        <w:pStyle w:val="Heading1"/>
        <w:spacing w:before="100"/>
        <w:rPr>
          <w:szCs w:val="28"/>
        </w:rPr>
      </w:pPr>
      <w:r>
        <w:rPr>
          <w:szCs w:val="28"/>
        </w:rPr>
        <w:t>MAPPA management</w:t>
      </w:r>
    </w:p>
    <w:p w14:paraId="198A706D" w14:textId="77777777" w:rsidR="00F2123B" w:rsidRDefault="00200CFB">
      <w:pPr>
        <w:spacing w:before="100" w:after="240" w:line="280" w:lineRule="exact"/>
        <w:rPr>
          <w:rFonts w:ascii="Arial" w:hAnsi="Arial" w:cs="Arial"/>
          <w:sz w:val="20"/>
          <w:szCs w:val="20"/>
        </w:rPr>
      </w:pPr>
      <w:r>
        <w:rPr>
          <w:rFonts w:ascii="Arial" w:hAnsi="Arial" w:cs="Arial"/>
          <w:sz w:val="20"/>
          <w:szCs w:val="20"/>
        </w:rPr>
        <w:t>26.47 Agencies retain their full statutory responsibilities and obligations at all times and, although the case is discussed in the MAPPA meeting, responsibility for decisions and for the management of the offender lies with the lead agency.  Further details can be found in Chapter 12 - Risk Management Plans.  The purpose of Level 2 and Level 3 MAPPA meetings is to share information to support multi-agency risk assessments and to formulate effective MAPPA risk management plans (MAPPA RMPs), in order to ensure action is taken to manage the risk of serious harm posed.</w:t>
      </w:r>
    </w:p>
    <w:p w14:paraId="198A706E" w14:textId="658E641A"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 xml:space="preserve">26.48 Patients should know that they are being managed through MAPPA, what MAPPA is, and what this means for them.  However, there may be very exceptional cases where information about MAPPA should be withheld from the patient on the grounds that it may increase </w:t>
      </w:r>
      <w:r w:rsidR="00011426">
        <w:rPr>
          <w:rFonts w:ascii="Arial" w:hAnsi="Arial" w:cs="Arial"/>
          <w:color w:val="000000"/>
          <w:sz w:val="20"/>
          <w:szCs w:val="20"/>
        </w:rPr>
        <w:t>their</w:t>
      </w:r>
      <w:r>
        <w:rPr>
          <w:rFonts w:ascii="Arial" w:hAnsi="Arial" w:cs="Arial"/>
          <w:color w:val="000000"/>
          <w:sz w:val="20"/>
          <w:szCs w:val="20"/>
        </w:rPr>
        <w:t xml:space="preserve"> risk.  This is a decision for the lead agency and must be discussed at a MAPPA meeting.  The reason(s) for withholding information about MAPPA management should be clearly recorded in the MAPPA meeting minutes and the case record(s).  Neither the patient nor their representatives are allowed to attend MAPPA meetings, as their presence could significantly hinder the core business of sharing and analysing information objectively and making decisions accordingly.  The lead agency should seek the offender’s views on their risk management and feed them into the meeting.  The MAPPA meeting should also agree what information from that meeting will be fed back to the offender.</w:t>
      </w:r>
    </w:p>
    <w:p w14:paraId="198A706F"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26.49 If the patient is dissatisfied with a decision about their management agreed at a MAPPA meeting, all attempts should be made to resolve this informally.  This is covered further in Chapter 13a – MAPPA Meetings.  If this is not possible, any complaint should be pursued in the first instance through the lead agency’s complaints procedure (see Chapter 29 – Complaints).</w:t>
      </w:r>
    </w:p>
    <w:p w14:paraId="198A7070" w14:textId="77777777" w:rsidR="00F2123B" w:rsidRDefault="00200CFB">
      <w:pPr>
        <w:spacing w:before="100" w:after="240" w:line="280" w:lineRule="exact"/>
        <w:rPr>
          <w:rFonts w:ascii="Arial" w:hAnsi="Arial" w:cs="Arial"/>
          <w:b/>
          <w:color w:val="000000"/>
        </w:rPr>
      </w:pPr>
      <w:r>
        <w:rPr>
          <w:rFonts w:ascii="Arial" w:hAnsi="Arial" w:cs="Arial"/>
          <w:b/>
          <w:color w:val="000000"/>
        </w:rPr>
        <w:t>Lead agency</w:t>
      </w:r>
    </w:p>
    <w:p w14:paraId="198A7071"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26.50 The definition of a MAPPA lead agency is set out in paragraph 2.3 of the MAPPA Guidance.</w:t>
      </w:r>
    </w:p>
    <w:p w14:paraId="198A7072" w14:textId="77777777" w:rsidR="00F2123B" w:rsidRDefault="00200CFB">
      <w:pPr>
        <w:spacing w:before="100" w:after="240" w:line="280" w:lineRule="exact"/>
      </w:pPr>
      <w:r>
        <w:rPr>
          <w:rFonts w:ascii="Arial" w:hAnsi="Arial" w:cs="Arial"/>
          <w:color w:val="000000"/>
          <w:sz w:val="20"/>
          <w:szCs w:val="20"/>
        </w:rPr>
        <w:t xml:space="preserve">26.51 If a patient has received a hospital order or guardianship order (s.37 with or without a s.41 restriction), mental health services are the lead agency for their management and the </w:t>
      </w:r>
      <w:r>
        <w:rPr>
          <w:rFonts w:ascii="Arial" w:hAnsi="Arial" w:cs="Arial"/>
          <w:color w:val="333333"/>
          <w:sz w:val="20"/>
          <w:szCs w:val="20"/>
        </w:rPr>
        <w:t xml:space="preserve">Probation Service </w:t>
      </w:r>
      <w:r>
        <w:rPr>
          <w:rFonts w:ascii="Arial" w:hAnsi="Arial" w:cs="Arial"/>
          <w:color w:val="000000"/>
          <w:sz w:val="20"/>
          <w:szCs w:val="20"/>
        </w:rPr>
        <w:t>has no supervisory responsibilities.  If the patient is also a registered sex offender the police need to be consulted throughout the patient’s detention.</w:t>
      </w:r>
    </w:p>
    <w:p w14:paraId="198A7073" w14:textId="77777777" w:rsidR="00F2123B" w:rsidRDefault="00200CFB">
      <w:pPr>
        <w:spacing w:before="100" w:after="240" w:line="280" w:lineRule="exact"/>
        <w:rPr>
          <w:rFonts w:ascii="Arial" w:hAnsi="Arial" w:cs="Arial"/>
          <w:b/>
          <w:color w:val="000000"/>
        </w:rPr>
      </w:pPr>
      <w:r>
        <w:rPr>
          <w:rFonts w:ascii="Arial" w:hAnsi="Arial" w:cs="Arial"/>
          <w:b/>
          <w:color w:val="000000"/>
        </w:rPr>
        <w:t>Transferred prisoners</w:t>
      </w:r>
    </w:p>
    <w:p w14:paraId="198A7074" w14:textId="2971A6AF" w:rsidR="00F2123B" w:rsidRDefault="00200CFB">
      <w:pPr>
        <w:spacing w:before="100" w:after="240" w:line="280" w:lineRule="exact"/>
      </w:pPr>
      <w:r>
        <w:rPr>
          <w:rFonts w:ascii="Arial" w:hAnsi="Arial" w:cs="Arial"/>
          <w:sz w:val="20"/>
          <w:szCs w:val="20"/>
        </w:rPr>
        <w:t xml:space="preserve">26.52 </w:t>
      </w:r>
      <w:r>
        <w:rPr>
          <w:rFonts w:ascii="Arial" w:hAnsi="Arial" w:cs="Arial"/>
          <w:color w:val="000000"/>
          <w:sz w:val="20"/>
          <w:szCs w:val="20"/>
        </w:rPr>
        <w:t xml:space="preserve">MAPPA patients transferred from custody to hospital will have an allocated </w:t>
      </w:r>
      <w:r>
        <w:rPr>
          <w:rFonts w:ascii="Arial" w:hAnsi="Arial" w:cs="Arial"/>
          <w:color w:val="333333"/>
          <w:sz w:val="20"/>
          <w:szCs w:val="20"/>
        </w:rPr>
        <w:t xml:space="preserve">Probation Service </w:t>
      </w:r>
      <w:r>
        <w:rPr>
          <w:rFonts w:ascii="Arial" w:hAnsi="Arial" w:cs="Arial"/>
          <w:color w:val="000000"/>
          <w:sz w:val="20"/>
          <w:szCs w:val="20"/>
        </w:rPr>
        <w:t>or YOS Offender Manager</w:t>
      </w:r>
      <w:r>
        <w:rPr>
          <w:rFonts w:ascii="Arial" w:hAnsi="Arial" w:cs="Arial"/>
          <w:sz w:val="20"/>
          <w:szCs w:val="20"/>
        </w:rPr>
        <w:t xml:space="preserve"> who is responsible for co-ordinating the RMP for release, including completing the Victim Liaison Unit referral and ensuring regular updates to the allocated Victim Liaison Officer (VLO).  Victim contact is covered further in paragraphs 26.74-26.80.  Hospital staff need to consider the effect of their decisions and possible Tribunal decisions on external agencies and must ensure that the </w:t>
      </w:r>
      <w:r w:rsidR="00782241">
        <w:rPr>
          <w:rFonts w:ascii="Arial" w:hAnsi="Arial" w:cs="Arial"/>
          <w:sz w:val="20"/>
          <w:szCs w:val="20"/>
        </w:rPr>
        <w:t>Probation Practitioner</w:t>
      </w:r>
      <w:r>
        <w:rPr>
          <w:rFonts w:ascii="Arial" w:hAnsi="Arial" w:cs="Arial"/>
          <w:sz w:val="20"/>
          <w:szCs w:val="20"/>
        </w:rPr>
        <w:t xml:space="preserve"> is kept informed of decision-making processes and their outcomes.  </w:t>
      </w:r>
      <w:r>
        <w:rPr>
          <w:rFonts w:ascii="Arial" w:hAnsi="Arial" w:cs="Arial"/>
          <w:color w:val="000000"/>
          <w:sz w:val="20"/>
          <w:szCs w:val="20"/>
        </w:rPr>
        <w:t xml:space="preserve">Since the date the Tribunal makes a decision cannot be predicted, it is essential that the relevant Mental Health Trust and the </w:t>
      </w:r>
      <w:r>
        <w:rPr>
          <w:rFonts w:ascii="Arial" w:hAnsi="Arial" w:cs="Arial"/>
          <w:color w:val="333333"/>
          <w:sz w:val="20"/>
          <w:szCs w:val="20"/>
        </w:rPr>
        <w:t xml:space="preserve">Probation Service </w:t>
      </w:r>
      <w:r>
        <w:rPr>
          <w:rFonts w:ascii="Arial" w:hAnsi="Arial" w:cs="Arial"/>
          <w:color w:val="000000"/>
          <w:sz w:val="20"/>
          <w:szCs w:val="20"/>
        </w:rPr>
        <w:t>have developed contingency plans in the event of release, and that the lead agency makes a MAPPA referral if necessary.</w:t>
      </w:r>
    </w:p>
    <w:p w14:paraId="198A7075" w14:textId="77777777" w:rsidR="00F2123B" w:rsidRDefault="00200CFB">
      <w:pPr>
        <w:pStyle w:val="Heading1"/>
        <w:spacing w:before="100"/>
        <w:rPr>
          <w:szCs w:val="28"/>
        </w:rPr>
      </w:pPr>
      <w:r>
        <w:rPr>
          <w:szCs w:val="28"/>
        </w:rPr>
        <w:t>MAPPA and Tribunals</w:t>
      </w:r>
    </w:p>
    <w:p w14:paraId="198A7076" w14:textId="77777777" w:rsidR="00F2123B" w:rsidRDefault="00200CFB">
      <w:pPr>
        <w:spacing w:before="100" w:after="240" w:line="280" w:lineRule="exact"/>
        <w:rPr>
          <w:rFonts w:ascii="Arial" w:hAnsi="Arial" w:cs="Arial"/>
          <w:sz w:val="20"/>
          <w:szCs w:val="20"/>
        </w:rPr>
      </w:pPr>
      <w:r>
        <w:rPr>
          <w:rFonts w:ascii="Arial" w:hAnsi="Arial" w:cs="Arial"/>
          <w:sz w:val="20"/>
          <w:szCs w:val="20"/>
        </w:rPr>
        <w:t xml:space="preserve">26.53 The lead agency is responsible for ensuring that all relevant information about a patient’s risk is presented in its evidence to the Tribunal.  The practice directions for the Tribunal in England regarding statements and reports in mental health cases require that the social circumstances report includes information from MAPPA agencies or meetings.  Specifically, the following information is required: </w:t>
      </w:r>
    </w:p>
    <w:p w14:paraId="198A7077"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whether the patient is subject to MAPPA supervision</w:t>
      </w:r>
    </w:p>
    <w:p w14:paraId="198A7078"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whether the patient is known to the police, probation or youth offending team (and if so, why and which area); </w:t>
      </w:r>
    </w:p>
    <w:p w14:paraId="198A7079"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patient’s MAPPA level; </w:t>
      </w:r>
    </w:p>
    <w:p w14:paraId="198A707A" w14:textId="77777777" w:rsidR="00F2123B" w:rsidRDefault="00200CFB" w:rsidP="00AD2BEF">
      <w:pPr>
        <w:pStyle w:val="ListParagraph"/>
        <w:numPr>
          <w:ilvl w:val="0"/>
          <w:numId w:val="48"/>
        </w:numPr>
        <w:spacing w:before="100" w:after="120" w:line="280" w:lineRule="exact"/>
        <w:ind w:left="714" w:hanging="357"/>
        <w:rPr>
          <w:rFonts w:ascii="Arial" w:hAnsi="Arial" w:cs="Arial"/>
          <w:sz w:val="20"/>
          <w:szCs w:val="20"/>
        </w:rPr>
      </w:pPr>
      <w:r>
        <w:rPr>
          <w:rFonts w:ascii="Arial" w:hAnsi="Arial" w:cs="Arial"/>
          <w:sz w:val="20"/>
          <w:szCs w:val="20"/>
        </w:rPr>
        <w:t xml:space="preserve">the name of the Chair of any MAPPA meeting concerned with the patient; and </w:t>
      </w:r>
    </w:p>
    <w:p w14:paraId="198A707B" w14:textId="77777777" w:rsidR="00F2123B" w:rsidRDefault="00200CFB" w:rsidP="00AD2BEF">
      <w:pPr>
        <w:pStyle w:val="ListParagraph"/>
        <w:numPr>
          <w:ilvl w:val="0"/>
          <w:numId w:val="48"/>
        </w:numPr>
        <w:spacing w:before="100" w:after="240" w:line="280" w:lineRule="exact"/>
        <w:rPr>
          <w:rFonts w:ascii="Arial" w:hAnsi="Arial" w:cs="Arial"/>
          <w:sz w:val="20"/>
          <w:szCs w:val="20"/>
        </w:rPr>
      </w:pPr>
      <w:r>
        <w:rPr>
          <w:rFonts w:ascii="Arial" w:hAnsi="Arial" w:cs="Arial"/>
          <w:sz w:val="20"/>
          <w:szCs w:val="20"/>
        </w:rPr>
        <w:t>the name of the lead agency’s representative.</w:t>
      </w:r>
    </w:p>
    <w:p w14:paraId="198A707C" w14:textId="77777777" w:rsidR="00F2123B" w:rsidRDefault="00200CFB">
      <w:pPr>
        <w:spacing w:before="100" w:after="240" w:line="280" w:lineRule="exact"/>
        <w:rPr>
          <w:rFonts w:ascii="Arial" w:hAnsi="Arial" w:cs="Arial"/>
          <w:sz w:val="20"/>
          <w:szCs w:val="20"/>
        </w:rPr>
      </w:pPr>
      <w:r>
        <w:rPr>
          <w:rFonts w:ascii="Arial" w:hAnsi="Arial" w:cs="Arial"/>
          <w:sz w:val="20"/>
          <w:szCs w:val="20"/>
        </w:rPr>
        <w:t>26.54 Reports must not quote a MAPPA meeting as a source of information.  Where a specific piece of information that has been shared at a Level 2 or 3 MAPPA meeting is necessary, the report writer must first consult the agency that provided it to seek approval to use the information in a report.  The information must be attributed to the agency and the content agreed with the agency representative who attended the MAPPA meeting.  Requests for MAPPA minutes by Tribunals are covered in Chapter 13B – MAPPA Meeting Minutes.</w:t>
      </w:r>
    </w:p>
    <w:p w14:paraId="198A707D" w14:textId="77777777" w:rsidR="00F2123B" w:rsidRDefault="00200CFB">
      <w:pPr>
        <w:spacing w:before="100" w:after="240" w:line="280" w:lineRule="exact"/>
      </w:pPr>
      <w:r>
        <w:rPr>
          <w:rFonts w:ascii="Arial" w:hAnsi="Arial" w:cs="Arial"/>
          <w:color w:val="000000"/>
          <w:sz w:val="20"/>
          <w:szCs w:val="20"/>
        </w:rPr>
        <w:t xml:space="preserve">26.55 </w:t>
      </w:r>
      <w:r>
        <w:rPr>
          <w:rFonts w:ascii="Arial" w:hAnsi="Arial" w:cs="Arial"/>
          <w:sz w:val="20"/>
          <w:szCs w:val="20"/>
        </w:rPr>
        <w:t>A MAPPA agency may have information about a patient’s current risk that would be of assistance to the Tribunal.  If a MAPPA meeting or agency wishes to put forward evidence of its views to the Tribunal, the information should usually be included in the social circumstances report via the social worker or in the Responsible Clinician’s report.  If this is not possible or not considered appropriate by the social worker or Responsible Clinician for any reason, it is possible to include additional risk information in the Secretary of State’s statement via MHCS.  In such cases details should be sent to MHUTribunalCorrespondence@noms.gsi.gov.uk explaining why the information cannot be included in the other reports.  An MHCS senior manager will respond to discuss what information is included.  Any contribution should take the form of a summary of the relevant views and, where relevant, the police should include a copy of the Police National Computer record of previous convictions.</w:t>
      </w:r>
    </w:p>
    <w:p w14:paraId="198A707E" w14:textId="77777777" w:rsidR="00F2123B" w:rsidRDefault="00200CFB">
      <w:pPr>
        <w:pStyle w:val="Heading1"/>
        <w:spacing w:before="100"/>
        <w:rPr>
          <w:szCs w:val="28"/>
        </w:rPr>
      </w:pPr>
      <w:r>
        <w:rPr>
          <w:szCs w:val="28"/>
        </w:rPr>
        <w:t>Identification of MAPPA offenders</w:t>
      </w:r>
    </w:p>
    <w:p w14:paraId="198A707F" w14:textId="77777777" w:rsidR="00F2123B" w:rsidRDefault="00200CFB">
      <w:pPr>
        <w:spacing w:before="100" w:after="240" w:line="280" w:lineRule="exact"/>
        <w:jc w:val="both"/>
        <w:rPr>
          <w:rFonts w:ascii="Arial" w:hAnsi="Arial" w:cs="Arial"/>
          <w:b/>
          <w:color w:val="000000"/>
        </w:rPr>
      </w:pPr>
      <w:r>
        <w:rPr>
          <w:rFonts w:ascii="Arial" w:hAnsi="Arial" w:cs="Arial"/>
          <w:b/>
          <w:color w:val="000000"/>
        </w:rPr>
        <w:t xml:space="preserve">Standard - All MAPPA offenders are identified by mental health services, including private and independent section providers, within 3 days of sentence, admission or transfer to hospital through a criminal justice route </w:t>
      </w:r>
    </w:p>
    <w:p w14:paraId="198A708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26.56 Mental health services should establish procedures to ensure identification within three days of admission or a change in status.  As a fail-safe procedure, a designated member of the care team at the first care programme approach (CPA) meeting or equivalent should be nominated as responsible for ensuring that the offender has been marked as a MAPPA offender on the internal management/record-keeping system.</w:t>
      </w:r>
    </w:p>
    <w:p w14:paraId="198A7081" w14:textId="77777777" w:rsidR="00F2123B" w:rsidRDefault="00200CFB">
      <w:pPr>
        <w:spacing w:before="100" w:after="240" w:line="280" w:lineRule="exact"/>
        <w:rPr>
          <w:rFonts w:ascii="Arial" w:hAnsi="Arial" w:cs="Arial"/>
          <w:b/>
          <w:color w:val="000000"/>
        </w:rPr>
      </w:pPr>
      <w:r>
        <w:rPr>
          <w:rFonts w:ascii="Arial" w:hAnsi="Arial" w:cs="Arial"/>
          <w:b/>
          <w:color w:val="000000"/>
        </w:rPr>
        <w:t>Notification</w:t>
      </w:r>
    </w:p>
    <w:p w14:paraId="198A708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26.57 Once a patient is hospitalised through a criminal justice route, they should be identified as a MAPPA case by mental health services, including private and independent sector providers.  A formal notification to the relevant MAPPA coordinator for the local area of the patient’s home address should be made, using the MAPPA I, which can be found in the MAPPA document set.  A full referral to Level 2 or 3 is not required at this stage.  Early notification serves to support mental health service providers’ awareness of MAPPA, the identification of MAPPA offenders as required by legislation, and the tracking of MAPPA patients.  Notification is necessary because the MAPPA Co-ordination unit does not have routine access to case records of MAPPA offenders detained by mental health services.  The MAPPA Co-ordinator will use Part 2 of the MAPPA I to inform the Responsible Clinician of any information held by other agencies that is relevant to the management of the offender’s risk.  For more details about the role of MAPPA Co-ordination see Chapter 28 – MAPPA Co-ordination.</w:t>
      </w:r>
    </w:p>
    <w:p w14:paraId="198A7083" w14:textId="2DC6694B"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 xml:space="preserve">26.58 Offenders subject to MAPPA as a result of offending that has not led to their hospitalisation may be admitted into a </w:t>
      </w:r>
      <w:r w:rsidR="00D13BAC">
        <w:rPr>
          <w:rFonts w:ascii="Arial" w:hAnsi="Arial" w:cs="Arial"/>
          <w:color w:val="000000"/>
          <w:sz w:val="20"/>
          <w:szCs w:val="20"/>
        </w:rPr>
        <w:t>mental health facility</w:t>
      </w:r>
      <w:r>
        <w:rPr>
          <w:rFonts w:ascii="Arial" w:hAnsi="Arial" w:cs="Arial"/>
          <w:color w:val="000000"/>
          <w:sz w:val="20"/>
          <w:szCs w:val="20"/>
        </w:rPr>
        <w:t xml:space="preserve"> through a civil route.  These offenders will be known to another agency, who may or may not know they are in hospital.  If the hospital is aware that a patient admitted through a civil route is a MAPPA-managed offender, they should contact the lead agency if known, or otherwise the local MAPPA Co-ordination unit.  If a patient admitted through a civil route is displaying worrying behaviour and the clinician is concerned about a possible risk to the public, they should contact the police to check whether the patient is a MAPPA offender or has any previous convictions that suggest they may need MAPPA management under Category 3.  Active and proportionate information exchange will support the effective management of risk posed by existing and potential MAPPA offenders.</w:t>
      </w:r>
    </w:p>
    <w:p w14:paraId="198A7084" w14:textId="77777777" w:rsidR="00F2123B" w:rsidRDefault="00200CFB">
      <w:pPr>
        <w:autoSpaceDE w:val="0"/>
        <w:spacing w:before="100" w:after="240" w:line="280" w:lineRule="exact"/>
      </w:pPr>
      <w:r>
        <w:rPr>
          <w:rFonts w:ascii="Arial" w:hAnsi="Arial" w:cs="Arial"/>
          <w:b/>
          <w:color w:val="000000"/>
        </w:rPr>
        <w:t>L</w:t>
      </w:r>
      <w:r>
        <w:rPr>
          <w:rFonts w:ascii="Arial" w:hAnsi="Arial" w:cs="Arial"/>
          <w:b/>
          <w:iCs/>
          <w:color w:val="000000"/>
        </w:rPr>
        <w:t xml:space="preserve">eave and </w:t>
      </w:r>
      <w:r>
        <w:rPr>
          <w:rFonts w:ascii="Arial" w:hAnsi="Arial" w:cs="Arial"/>
          <w:b/>
          <w:color w:val="000000"/>
        </w:rPr>
        <w:t>c</w:t>
      </w:r>
      <w:r>
        <w:rPr>
          <w:rFonts w:ascii="Arial" w:hAnsi="Arial" w:cs="Arial"/>
          <w:b/>
          <w:iCs/>
          <w:color w:val="000000"/>
        </w:rPr>
        <w:t>o</w:t>
      </w:r>
      <w:r>
        <w:rPr>
          <w:rFonts w:ascii="Arial" w:hAnsi="Arial" w:cs="Arial"/>
          <w:b/>
          <w:color w:val="000000"/>
        </w:rPr>
        <w:t>mm</w:t>
      </w:r>
      <w:r>
        <w:rPr>
          <w:rFonts w:ascii="Arial" w:hAnsi="Arial" w:cs="Arial"/>
          <w:b/>
          <w:iCs/>
          <w:color w:val="000000"/>
        </w:rPr>
        <w:t>unity dis</w:t>
      </w:r>
      <w:r>
        <w:rPr>
          <w:rFonts w:ascii="Arial" w:hAnsi="Arial" w:cs="Arial"/>
          <w:b/>
          <w:color w:val="000000"/>
        </w:rPr>
        <w:t>c</w:t>
      </w:r>
      <w:r>
        <w:rPr>
          <w:rFonts w:ascii="Arial" w:hAnsi="Arial" w:cs="Arial"/>
          <w:b/>
          <w:iCs/>
          <w:color w:val="000000"/>
        </w:rPr>
        <w:t>harge</w:t>
      </w:r>
    </w:p>
    <w:p w14:paraId="198A7085"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26.59 Part 3 of the MAPPA I should be completed/updated prior to first unescorted leave and after the first CPA meeting in which discharge was discussed for all patients for whom a MAPPA I was submitted.  Part 3 should also be completed prior to first escorted leave where there is a high risk of abscond, very high risk of harm or high risk of reputational damage and prior to extended leave of absence.  This starts the process of communication and supports MAPPA being factored in to discharge planning.</w:t>
      </w:r>
    </w:p>
    <w:p w14:paraId="198A7086"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26.60 Routine notifications to MAPPA about every single leave trip or variation in leave arrangements are unworkable.  Information regarding notifying victims of patient’s leave is covered in paragraphs 26.74-26.80.</w:t>
      </w:r>
    </w:p>
    <w:p w14:paraId="198A7087" w14:textId="77777777" w:rsidR="00F2123B" w:rsidRDefault="00200CFB">
      <w:pPr>
        <w:autoSpaceDE w:val="0"/>
        <w:spacing w:before="100" w:after="240" w:line="280" w:lineRule="exact"/>
      </w:pPr>
      <w:r>
        <w:rPr>
          <w:rFonts w:ascii="Arial" w:hAnsi="Arial" w:cs="Arial"/>
          <w:color w:val="000000"/>
          <w:sz w:val="20"/>
          <w:szCs w:val="20"/>
        </w:rPr>
        <w:t xml:space="preserve">26.61 As forensic patients may be in regional units away from their home areas and initial leave may be in a different MAPPA locality from the final discharge area, multiple MAPPA areas and local police forces may need to be notified.  For example, a London patient on a s.37/41 order taking first community leave from a hospital in the Cambridge area would need to be notified to the relevant London borough </w:t>
      </w:r>
      <w:r>
        <w:rPr>
          <w:rFonts w:ascii="Arial" w:hAnsi="Arial" w:cs="Arial"/>
          <w:color w:val="000000"/>
          <w:sz w:val="20"/>
          <w:szCs w:val="20"/>
          <w:u w:val="single"/>
        </w:rPr>
        <w:t>and</w:t>
      </w:r>
      <w:r>
        <w:rPr>
          <w:rFonts w:ascii="Arial" w:hAnsi="Arial" w:cs="Arial"/>
          <w:color w:val="000000"/>
          <w:sz w:val="20"/>
          <w:szCs w:val="20"/>
        </w:rPr>
        <w:t xml:space="preserve"> to Cambridgeshire MAPPA.</w:t>
      </w:r>
    </w:p>
    <w:p w14:paraId="198A7088" w14:textId="77777777" w:rsidR="00F2123B" w:rsidRDefault="00200CFB">
      <w:pPr>
        <w:autoSpaceDE w:val="0"/>
        <w:spacing w:before="100" w:after="240" w:line="280" w:lineRule="exact"/>
      </w:pPr>
      <w:r>
        <w:rPr>
          <w:rFonts w:ascii="Arial" w:hAnsi="Arial" w:cs="Arial"/>
          <w:color w:val="000000"/>
          <w:sz w:val="20"/>
          <w:szCs w:val="20"/>
        </w:rPr>
        <w:t>26.62 MHCS makes leave decisions for restricted cases on behalf of the Secretary of State</w:t>
      </w:r>
      <w:r>
        <w:rPr>
          <w:rStyle w:val="FootnoteReference"/>
          <w:rFonts w:ascii="Arial" w:hAnsi="Arial" w:cs="Arial"/>
          <w:color w:val="000000"/>
          <w:sz w:val="20"/>
          <w:szCs w:val="20"/>
        </w:rPr>
        <w:footnoteReference w:id="66"/>
      </w:r>
      <w:r>
        <w:rPr>
          <w:rFonts w:ascii="Arial" w:hAnsi="Arial" w:cs="Arial"/>
          <w:color w:val="000000"/>
          <w:sz w:val="20"/>
          <w:szCs w:val="20"/>
        </w:rPr>
        <w:t>, but MAPPA notification is the responsibility of the mental health team.  MAPPA cannot approve or decline leave for restricted patients and leave should not be withheld pending MAPPA notification or reply.  However, it is good practice to seek the views of the MAPPA area when making a decision, to ensure robust information sharing and multi-agency collaboration.</w:t>
      </w:r>
    </w:p>
    <w:p w14:paraId="198A7089" w14:textId="77777777" w:rsidR="00F2123B" w:rsidRDefault="00200CFB">
      <w:pPr>
        <w:pStyle w:val="Heading1"/>
        <w:spacing w:before="100"/>
        <w:rPr>
          <w:szCs w:val="28"/>
        </w:rPr>
      </w:pPr>
      <w:r>
        <w:rPr>
          <w:szCs w:val="28"/>
        </w:rPr>
        <w:t>Making a referral to MAPPA at Level 2 or 3</w:t>
      </w:r>
    </w:p>
    <w:p w14:paraId="198A708A" w14:textId="77777777" w:rsidR="00F2123B" w:rsidRDefault="00200CFB">
      <w:pPr>
        <w:spacing w:before="100" w:after="240" w:line="280" w:lineRule="exact"/>
        <w:rPr>
          <w:rFonts w:ascii="Arial" w:hAnsi="Arial" w:cs="Arial"/>
          <w:sz w:val="20"/>
          <w:szCs w:val="20"/>
        </w:rPr>
      </w:pPr>
      <w:r>
        <w:rPr>
          <w:rFonts w:ascii="Arial" w:hAnsi="Arial" w:cs="Arial"/>
          <w:sz w:val="20"/>
          <w:szCs w:val="20"/>
        </w:rPr>
        <w:t>26.63 The lead agency is responsible for making a referral to MAPPA at Level 2 or 3 where appropriate (see Chapter 7 –Levels of Management for details).  First unescorted leave, or when discharge plans are being made, may be an appropriate time to consider a referral to Level 2 or 3.  This will enable the discharge area to be informed of the change in circumstances, and to plan and contribute to risk management as necessary.  For reference, a referral to Level 2 or 3 must be considered at least six months prior to release for a MAPPA offender in custody.</w:t>
      </w:r>
    </w:p>
    <w:p w14:paraId="198A708B" w14:textId="77777777" w:rsidR="00F2123B" w:rsidRDefault="00200CFB">
      <w:pPr>
        <w:spacing w:before="100" w:after="240" w:line="280" w:lineRule="exact"/>
        <w:rPr>
          <w:rFonts w:ascii="Arial" w:hAnsi="Arial" w:cs="Arial"/>
          <w:sz w:val="20"/>
          <w:szCs w:val="20"/>
        </w:rPr>
      </w:pPr>
      <w:r>
        <w:rPr>
          <w:rFonts w:ascii="Arial" w:hAnsi="Arial" w:cs="Arial"/>
          <w:sz w:val="20"/>
          <w:szCs w:val="20"/>
        </w:rPr>
        <w:t>26.64 When planning discharge arrangements for an offender subject to MAPPA, the CPA meeting should consider the appropriate level of MAPPA management.  This should be informed by other agencies involved with the offender.  All cases must be screened to determine whether Level 2 or 3 management is required.  The screening of level 2 and 3 cases is covered in Chapter 7 - Levels of Management.  If MAPPA management at Level 2 or 3 is believed to be required, a formal referral must be made using the MAPPA A.  The Responsible Clinician or other multi-disciplinary team members can contact the MAPPA co-ordinator for advice before making a referral.</w:t>
      </w:r>
    </w:p>
    <w:p w14:paraId="198A708C" w14:textId="77777777" w:rsidR="00F2123B" w:rsidRDefault="00200CFB">
      <w:pPr>
        <w:spacing w:before="100" w:after="240" w:line="280" w:lineRule="exact"/>
        <w:rPr>
          <w:rFonts w:ascii="Arial" w:hAnsi="Arial" w:cs="Arial"/>
          <w:sz w:val="20"/>
          <w:szCs w:val="20"/>
        </w:rPr>
      </w:pPr>
      <w:r>
        <w:rPr>
          <w:rFonts w:ascii="Arial" w:hAnsi="Arial" w:cs="Arial"/>
          <w:sz w:val="20"/>
          <w:szCs w:val="20"/>
        </w:rPr>
        <w:t>26.65 In imposing a restricted hospital order the court has decided that, having regard to the nature of the offence, a restriction is necessary for the protection of the public from serious harm.  An assessment of the current risks and complexities will inform a decision on whether Level 2 or 3 management is required.  For non-restricted patients, the risk of serious harm has not been established by the court and the Ministry of Justice may not have been involved with the patient or may no longer be involved.  However, some unrestricted cases may be former sentenced prisoners or others with substantial risk histories.  In these cases, if there is no current assessment of the risk of serious harm the patient presents, a suitable mental health practitioner will need to assess the risk to consider whether inter-agency discussions and active multi-agency management would benefit the patient’s risk management and if so, a referral to MAPPA Level 2 or 3 should be made.</w:t>
      </w:r>
    </w:p>
    <w:p w14:paraId="198A708D" w14:textId="77777777" w:rsidR="00F2123B" w:rsidRDefault="00200CFB">
      <w:pPr>
        <w:spacing w:before="100" w:after="240" w:line="280" w:lineRule="exact"/>
        <w:rPr>
          <w:rFonts w:ascii="Arial" w:hAnsi="Arial" w:cs="Arial"/>
          <w:b/>
        </w:rPr>
      </w:pPr>
      <w:r>
        <w:rPr>
          <w:rFonts w:ascii="Arial" w:hAnsi="Arial" w:cs="Arial"/>
          <w:b/>
        </w:rPr>
        <w:t>Level 1 management</w:t>
      </w:r>
    </w:p>
    <w:p w14:paraId="198A708E" w14:textId="77777777" w:rsidR="00F2123B" w:rsidRDefault="00200CFB">
      <w:pPr>
        <w:spacing w:before="100" w:after="240" w:line="280" w:lineRule="exact"/>
        <w:rPr>
          <w:rFonts w:ascii="Arial" w:hAnsi="Arial" w:cs="Arial"/>
          <w:sz w:val="20"/>
          <w:szCs w:val="20"/>
        </w:rPr>
      </w:pPr>
      <w:r>
        <w:rPr>
          <w:rFonts w:ascii="Arial" w:hAnsi="Arial" w:cs="Arial"/>
          <w:sz w:val="20"/>
          <w:szCs w:val="20"/>
        </w:rPr>
        <w:t>26.66 If the lead agency considers management at Level 1 to be enough, only a notification needs to be submitted, through an update to Part 3 of the MAPPA I.  A professionals meeting should be considered to develop a risk management plan in Level 1 cases.  Further information on Level 1 management is provided in Chapter 7 - Levels of Management.</w:t>
      </w:r>
    </w:p>
    <w:p w14:paraId="198A708F" w14:textId="77777777" w:rsidR="00F2123B" w:rsidRDefault="00200CFB">
      <w:pPr>
        <w:spacing w:before="100" w:after="240" w:line="280" w:lineRule="exact"/>
        <w:rPr>
          <w:rFonts w:ascii="Arial" w:hAnsi="Arial" w:cs="Arial"/>
          <w:b/>
          <w:color w:val="000000"/>
        </w:rPr>
      </w:pPr>
      <w:r>
        <w:rPr>
          <w:rFonts w:ascii="Arial" w:hAnsi="Arial" w:cs="Arial"/>
          <w:b/>
          <w:color w:val="000000"/>
        </w:rPr>
        <w:t>Liaison and attendance at MAPPA meetings</w:t>
      </w:r>
    </w:p>
    <w:p w14:paraId="198A7090"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26.67 Mental Health Trusts or University Health Boards (Wales) should prioritise attendance at MAPPA meetings where they are the lead agency and in cases involving transferred prisoners.</w:t>
      </w:r>
    </w:p>
    <w:p w14:paraId="198A7091" w14:textId="77777777" w:rsidR="00F2123B" w:rsidRDefault="00200CFB">
      <w:pPr>
        <w:autoSpaceDE w:val="0"/>
        <w:spacing w:before="100" w:after="240" w:line="280" w:lineRule="exact"/>
        <w:rPr>
          <w:rFonts w:ascii="Arial" w:hAnsi="Arial" w:cs="Arial"/>
          <w:color w:val="000000"/>
          <w:sz w:val="20"/>
          <w:szCs w:val="20"/>
        </w:rPr>
      </w:pPr>
      <w:r>
        <w:rPr>
          <w:rFonts w:ascii="Arial" w:hAnsi="Arial" w:cs="Arial"/>
          <w:color w:val="000000"/>
          <w:sz w:val="20"/>
          <w:szCs w:val="20"/>
        </w:rPr>
        <w:t>26.68 It is good practice for each MAPPA area to have a mental health representative, who is a core MAPPA meeting member to meet the general duty to co-operate.  This person should have the authority to commit resources on behalf of the Mental Health Trust or University Health Board and should possess relevant experience of risk/needs assessment, as well as analytical and team-working skills.  There should be continuity of personnel in order to sustain good working relationships.</w:t>
      </w:r>
    </w:p>
    <w:p w14:paraId="198A7092"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26.69 This core member, however, may not have direct knowledge of the MAPPA case under discussion, so a representative of the patient’s clinical team should also be invited to attend to contribute to the MAPPA discussion on individual cases.  Attendance in person is the normal expectation, particularly when mental health services are the lead agency; but if that is not possible, video/telephone conferencing should be considered.</w:t>
      </w:r>
    </w:p>
    <w:p w14:paraId="198A7093" w14:textId="77777777" w:rsidR="00F2123B" w:rsidRDefault="00200CFB">
      <w:pPr>
        <w:spacing w:before="100" w:after="240" w:line="280" w:lineRule="exact"/>
      </w:pPr>
      <w:r>
        <w:rPr>
          <w:rFonts w:ascii="Arial" w:hAnsi="Arial" w:cs="Arial"/>
          <w:color w:val="000000"/>
          <w:sz w:val="20"/>
          <w:szCs w:val="20"/>
        </w:rPr>
        <w:t>26.</w:t>
      </w:r>
      <w:r>
        <w:rPr>
          <w:rFonts w:ascii="Arial" w:hAnsi="Arial" w:cs="Arial"/>
          <w:sz w:val="20"/>
          <w:szCs w:val="20"/>
        </w:rPr>
        <w:t>70 A MAPPA J should be completed in line with the guidance in Chapter 3 – Duty to co-operate agencies for patients applying for work or benefits, identifying restrictions on employment or training.  Whether or not there are restrictions that require a MAPPA J, in all cases where there is an identified risk to staff, the risk should be identified in the patient’s RMP and actions to manage the risk should be discussed with the DWP.</w:t>
      </w:r>
    </w:p>
    <w:p w14:paraId="198A7094" w14:textId="77777777" w:rsidR="00F2123B" w:rsidRDefault="00200CFB">
      <w:pPr>
        <w:pStyle w:val="Heading1"/>
        <w:spacing w:before="100"/>
        <w:rPr>
          <w:szCs w:val="28"/>
        </w:rPr>
      </w:pPr>
      <w:r>
        <w:rPr>
          <w:szCs w:val="28"/>
        </w:rPr>
        <w:t>Exit from MAPPA</w:t>
      </w:r>
    </w:p>
    <w:p w14:paraId="198A7095" w14:textId="77777777" w:rsidR="00F2123B" w:rsidRDefault="00200CFB">
      <w:pPr>
        <w:spacing w:before="100" w:after="240" w:line="280" w:lineRule="exact"/>
        <w:rPr>
          <w:rFonts w:ascii="Arial" w:hAnsi="Arial" w:cs="Arial"/>
          <w:color w:val="000000"/>
          <w:sz w:val="20"/>
          <w:szCs w:val="20"/>
        </w:rPr>
      </w:pPr>
      <w:r>
        <w:rPr>
          <w:rFonts w:ascii="Arial" w:hAnsi="Arial" w:cs="Arial"/>
          <w:color w:val="000000"/>
          <w:sz w:val="20"/>
          <w:szCs w:val="20"/>
        </w:rPr>
        <w:t>26.71 It is important to identify when an offender is no longer subject to MAPPA supervision.  The criteria for an offender being discharged from MAPPA are different for each of the three categories:</w:t>
      </w:r>
    </w:p>
    <w:p w14:paraId="198A7096"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1 offenders: when their period of registration expires.  In the most serious cases registration is for life.  However, following a ruling of the Supreme Court in 2010, RSOs can seek a review of registration 15 years from the date of their first notification.</w:t>
      </w:r>
    </w:p>
    <w:p w14:paraId="198A7097" w14:textId="77777777" w:rsidR="00F2123B" w:rsidRDefault="00200CFB" w:rsidP="00AD2BEF">
      <w:pPr>
        <w:numPr>
          <w:ilvl w:val="0"/>
          <w:numId w:val="49"/>
        </w:numPr>
        <w:spacing w:before="100" w:after="120" w:line="280" w:lineRule="exact"/>
        <w:ind w:left="357" w:hanging="357"/>
        <w:rPr>
          <w:rFonts w:ascii="Arial" w:hAnsi="Arial" w:cs="Arial"/>
          <w:color w:val="000000"/>
          <w:sz w:val="20"/>
          <w:szCs w:val="20"/>
        </w:rPr>
      </w:pPr>
      <w:r>
        <w:rPr>
          <w:rFonts w:ascii="Arial" w:hAnsi="Arial" w:cs="Arial"/>
          <w:color w:val="000000"/>
          <w:sz w:val="20"/>
          <w:szCs w:val="20"/>
        </w:rPr>
        <w:t>Category 2 offenders: when a s.37 patient is absolutely discharged.  Where a s.45A or s.47 patient no longer requires treatment in hospital, and they are not remitted back to prison, they may be released on licence.  MAPPA ceases to apply when the licence expires (unless referred into category 3).</w:t>
      </w:r>
    </w:p>
    <w:p w14:paraId="198A7098" w14:textId="77777777" w:rsidR="00F2123B" w:rsidRDefault="00200CFB" w:rsidP="00AD2BEF">
      <w:pPr>
        <w:numPr>
          <w:ilvl w:val="0"/>
          <w:numId w:val="49"/>
        </w:numPr>
        <w:spacing w:before="100" w:after="240" w:line="280" w:lineRule="exact"/>
        <w:rPr>
          <w:rFonts w:ascii="Arial" w:hAnsi="Arial" w:cs="Arial"/>
          <w:color w:val="000000"/>
          <w:sz w:val="20"/>
          <w:szCs w:val="20"/>
        </w:rPr>
      </w:pPr>
      <w:r>
        <w:rPr>
          <w:rFonts w:ascii="Arial" w:hAnsi="Arial" w:cs="Arial"/>
          <w:color w:val="000000"/>
          <w:sz w:val="20"/>
          <w:szCs w:val="20"/>
        </w:rPr>
        <w:t>Category 3 offenders: where the case no longer requires active multi-agency management at level 2 or 3.</w:t>
      </w:r>
    </w:p>
    <w:p w14:paraId="198A7099" w14:textId="77777777" w:rsidR="00F2123B" w:rsidRDefault="00200CFB">
      <w:pPr>
        <w:spacing w:before="100" w:after="240" w:line="280" w:lineRule="exact"/>
      </w:pPr>
      <w:r>
        <w:rPr>
          <w:rFonts w:ascii="Arial" w:hAnsi="Arial" w:cs="Arial"/>
          <w:sz w:val="20"/>
          <w:szCs w:val="20"/>
        </w:rPr>
        <w:t>26.72 Part 4 of the MAPPA I should be completed by the Responsible Clinician for Level 1 patients for whom they are the lead agency and forwarded to</w:t>
      </w:r>
      <w:r>
        <w:rPr>
          <w:rFonts w:ascii="Arial" w:hAnsi="Arial" w:cs="Arial"/>
          <w:b/>
          <w:sz w:val="20"/>
          <w:szCs w:val="20"/>
        </w:rPr>
        <w:t xml:space="preserve"> </w:t>
      </w:r>
      <w:r>
        <w:rPr>
          <w:rFonts w:ascii="Arial" w:hAnsi="Arial" w:cs="Arial"/>
          <w:sz w:val="20"/>
          <w:szCs w:val="20"/>
        </w:rPr>
        <w:t>the relevant MAPPA co-ordinator when the patient is no longer subject to MAPPA supervision.</w:t>
      </w:r>
    </w:p>
    <w:p w14:paraId="198A709A" w14:textId="77777777" w:rsidR="00F2123B" w:rsidRDefault="00200CFB">
      <w:pPr>
        <w:pStyle w:val="Heading1"/>
        <w:spacing w:before="100"/>
        <w:rPr>
          <w:szCs w:val="28"/>
        </w:rPr>
      </w:pPr>
      <w:r>
        <w:rPr>
          <w:szCs w:val="28"/>
        </w:rPr>
        <w:t>Absconds and escapes</w:t>
      </w:r>
    </w:p>
    <w:p w14:paraId="198A709B" w14:textId="77777777" w:rsidR="00F2123B" w:rsidRDefault="00200CFB">
      <w:pPr>
        <w:spacing w:before="100" w:after="240" w:line="280" w:lineRule="exact"/>
        <w:rPr>
          <w:rFonts w:ascii="Arial" w:hAnsi="Arial" w:cs="Arial"/>
          <w:sz w:val="20"/>
          <w:szCs w:val="20"/>
        </w:rPr>
      </w:pPr>
      <w:r>
        <w:rPr>
          <w:rFonts w:ascii="Arial" w:hAnsi="Arial" w:cs="Arial"/>
          <w:sz w:val="20"/>
          <w:szCs w:val="20"/>
        </w:rPr>
        <w:t>26.73 Hospital managers are responsible for informing the police whenever a restricted patient escapes from the hospital where they are detained, absconds while on escorted community leave, or fails to return from permitted leave.  This information must be passed immediately to the local police force in accordance with local protocols, including information regarding any known victims who may be at risk.  The hospital, as the lead agency, should have a contingency plan that covers out of hours absconds and sets out who will be responsible for contacting the VLO.  A copy of the absconsion plan should be included in the MAPPA I.</w:t>
      </w:r>
    </w:p>
    <w:p w14:paraId="198A709C" w14:textId="77777777" w:rsidR="00F2123B" w:rsidRDefault="00200CFB">
      <w:pPr>
        <w:pStyle w:val="Heading1"/>
        <w:spacing w:before="100"/>
        <w:rPr>
          <w:szCs w:val="28"/>
        </w:rPr>
      </w:pPr>
      <w:r>
        <w:rPr>
          <w:szCs w:val="28"/>
        </w:rPr>
        <w:t>Victims of mentally disordered offenders</w:t>
      </w:r>
    </w:p>
    <w:p w14:paraId="198A709D" w14:textId="77777777" w:rsidR="00F2123B" w:rsidRDefault="00200CFB">
      <w:pPr>
        <w:spacing w:before="100" w:after="240" w:line="280" w:lineRule="exact"/>
      </w:pPr>
      <w:r>
        <w:rPr>
          <w:rFonts w:ascii="Arial" w:hAnsi="Arial" w:cs="Arial"/>
          <w:sz w:val="20"/>
          <w:szCs w:val="20"/>
        </w:rPr>
        <w:t>26.74</w:t>
      </w:r>
      <w:r>
        <w:rPr>
          <w:rFonts w:ascii="Arial" w:hAnsi="Arial" w:cs="Arial"/>
          <w:b/>
          <w:sz w:val="20"/>
          <w:szCs w:val="20"/>
        </w:rPr>
        <w:t xml:space="preserve"> </w:t>
      </w:r>
      <w:r>
        <w:rPr>
          <w:rFonts w:ascii="Arial" w:hAnsi="Arial" w:cs="Arial"/>
          <w:sz w:val="20"/>
          <w:szCs w:val="20"/>
        </w:rPr>
        <w:t>The rights of victims of Mentally Disordered Offenders are set out in the Domestic Violence, Crime and Victims Act 2004 (DVCA 2004).  Statutory rights apply only where the sentence was passed on or after 1</w:t>
      </w:r>
      <w:r>
        <w:rPr>
          <w:rFonts w:ascii="Arial" w:hAnsi="Arial" w:cs="Arial"/>
          <w:sz w:val="20"/>
          <w:szCs w:val="20"/>
          <w:vertAlign w:val="superscript"/>
        </w:rPr>
        <w:t>st</w:t>
      </w:r>
      <w:r>
        <w:rPr>
          <w:rFonts w:ascii="Arial" w:hAnsi="Arial" w:cs="Arial"/>
          <w:sz w:val="20"/>
          <w:szCs w:val="20"/>
        </w:rPr>
        <w:t xml:space="preserve"> July 2005.  These rights were extended by the Mental Health Act 2007 to include victims of unrestricted patients for sentences passed on or after 3 November 2008.  Guidance is provided in the Mental Health Act 1983 Code of Practice published in 2015 and available at:</w:t>
      </w:r>
    </w:p>
    <w:p w14:paraId="198A709E" w14:textId="77777777" w:rsidR="00F2123B" w:rsidRDefault="00BA3EC8">
      <w:pPr>
        <w:spacing w:before="100" w:after="240" w:line="280" w:lineRule="exact"/>
      </w:pPr>
      <w:hyperlink r:id="rId45" w:history="1">
        <w:r w:rsidR="00200CFB">
          <w:rPr>
            <w:rStyle w:val="Hyperlink"/>
            <w:rFonts w:ascii="Arial" w:hAnsi="Arial" w:cs="Arial"/>
            <w:sz w:val="20"/>
            <w:szCs w:val="20"/>
          </w:rPr>
          <w:t>https://www.gov.uk/government/publications/code-of-practice-mental-health-act-1983</w:t>
        </w:r>
      </w:hyperlink>
    </w:p>
    <w:p w14:paraId="198A709F" w14:textId="77777777" w:rsidR="00F2123B" w:rsidRDefault="00200CFB">
      <w:pPr>
        <w:spacing w:before="100" w:after="240" w:line="280" w:lineRule="exact"/>
        <w:rPr>
          <w:rFonts w:ascii="Arial" w:hAnsi="Arial" w:cs="Arial"/>
          <w:sz w:val="20"/>
          <w:szCs w:val="20"/>
        </w:rPr>
      </w:pPr>
      <w:r>
        <w:rPr>
          <w:rFonts w:ascii="Arial" w:hAnsi="Arial" w:cs="Arial"/>
          <w:sz w:val="20"/>
          <w:szCs w:val="20"/>
        </w:rPr>
        <w:t>26.75 Under the DVCA, a qualifying victim is entitled to know whenever discharge is being considered either by the Secretary of State, the Tribunal (restricted patients), the Responsible Clinician, or hospital managers (unrestricted patients).</w:t>
      </w:r>
    </w:p>
    <w:p w14:paraId="198A70A0" w14:textId="77777777" w:rsidR="00F2123B" w:rsidRDefault="00200CFB">
      <w:pPr>
        <w:spacing w:before="100" w:after="240" w:line="280" w:lineRule="exact"/>
        <w:rPr>
          <w:rFonts w:ascii="Arial" w:hAnsi="Arial" w:cs="Arial"/>
          <w:sz w:val="20"/>
          <w:szCs w:val="20"/>
        </w:rPr>
      </w:pPr>
      <w:r>
        <w:rPr>
          <w:rFonts w:ascii="Arial" w:hAnsi="Arial" w:cs="Arial"/>
          <w:sz w:val="20"/>
          <w:szCs w:val="20"/>
        </w:rPr>
        <w:t>26.76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w:t>
      </w:r>
    </w:p>
    <w:p w14:paraId="198A70A1" w14:textId="77777777" w:rsidR="00F2123B" w:rsidRDefault="00200CFB">
      <w:pPr>
        <w:spacing w:before="100" w:after="240" w:line="280" w:lineRule="exact"/>
        <w:rPr>
          <w:rFonts w:ascii="Arial" w:hAnsi="Arial" w:cs="Arial"/>
          <w:sz w:val="20"/>
          <w:szCs w:val="20"/>
        </w:rPr>
      </w:pPr>
      <w:r>
        <w:rPr>
          <w:rFonts w:ascii="Arial" w:hAnsi="Arial" w:cs="Arial"/>
          <w:sz w:val="20"/>
          <w:szCs w:val="20"/>
        </w:rPr>
        <w:t>26.77 The victim is further entitled to know:</w:t>
      </w:r>
    </w:p>
    <w:p w14:paraId="198A70A2"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whether discharge took place (restricted patients) or a CTO was made (unrestricted patients) and, if so</w:t>
      </w:r>
    </w:p>
    <w:p w14:paraId="198A70A3" w14:textId="77777777" w:rsidR="00F2123B" w:rsidRDefault="00200CFB" w:rsidP="00AD2BEF">
      <w:pPr>
        <w:pStyle w:val="ListParagraph"/>
        <w:numPr>
          <w:ilvl w:val="0"/>
          <w:numId w:val="50"/>
        </w:numPr>
        <w:spacing w:before="100" w:after="120" w:line="280" w:lineRule="exact"/>
        <w:ind w:left="714" w:hanging="357"/>
        <w:rPr>
          <w:rFonts w:ascii="Arial" w:hAnsi="Arial" w:cs="Arial"/>
          <w:sz w:val="20"/>
          <w:szCs w:val="20"/>
        </w:rPr>
      </w:pPr>
      <w:r>
        <w:rPr>
          <w:rFonts w:ascii="Arial" w:hAnsi="Arial" w:cs="Arial"/>
          <w:sz w:val="20"/>
          <w:szCs w:val="20"/>
        </w:rPr>
        <w:t>what conditions are in place for the protection of the victim or the victim’s family, including any subsequent changes, and</w:t>
      </w:r>
    </w:p>
    <w:p w14:paraId="198A70A4" w14:textId="77777777" w:rsidR="00F2123B" w:rsidRDefault="00200CFB" w:rsidP="00AD2BEF">
      <w:pPr>
        <w:pStyle w:val="ListParagraph"/>
        <w:numPr>
          <w:ilvl w:val="0"/>
          <w:numId w:val="50"/>
        </w:numPr>
        <w:spacing w:before="100" w:after="240" w:line="280" w:lineRule="exact"/>
        <w:rPr>
          <w:rFonts w:ascii="Arial" w:hAnsi="Arial" w:cs="Arial"/>
          <w:sz w:val="20"/>
          <w:szCs w:val="20"/>
        </w:rPr>
      </w:pPr>
      <w:r>
        <w:rPr>
          <w:rFonts w:ascii="Arial" w:hAnsi="Arial" w:cs="Arial"/>
          <w:sz w:val="20"/>
          <w:szCs w:val="20"/>
        </w:rPr>
        <w:t>when those arrangements end</w:t>
      </w:r>
    </w:p>
    <w:p w14:paraId="198A70A5" w14:textId="77777777" w:rsidR="00F2123B" w:rsidRDefault="00200CFB">
      <w:pPr>
        <w:spacing w:before="100" w:after="240" w:line="280" w:lineRule="exact"/>
        <w:rPr>
          <w:rFonts w:ascii="Arial" w:hAnsi="Arial" w:cs="Arial"/>
          <w:sz w:val="20"/>
          <w:szCs w:val="20"/>
        </w:rPr>
      </w:pPr>
      <w:r>
        <w:rPr>
          <w:rFonts w:ascii="Arial" w:hAnsi="Arial" w:cs="Arial"/>
          <w:sz w:val="20"/>
          <w:szCs w:val="20"/>
        </w:rPr>
        <w:t>The victim will not be informed of specific details of where the patient is to be located after discharge.</w:t>
      </w:r>
    </w:p>
    <w:p w14:paraId="198A70A6" w14:textId="77777777" w:rsidR="00F2123B" w:rsidRDefault="00200CFB">
      <w:pPr>
        <w:spacing w:before="100" w:after="240" w:line="280" w:lineRule="exact"/>
        <w:rPr>
          <w:rFonts w:ascii="Arial" w:hAnsi="Arial" w:cs="Arial"/>
          <w:sz w:val="20"/>
          <w:szCs w:val="20"/>
        </w:rPr>
      </w:pPr>
      <w:r>
        <w:rPr>
          <w:rFonts w:ascii="Arial" w:hAnsi="Arial" w:cs="Arial"/>
          <w:sz w:val="20"/>
          <w:szCs w:val="20"/>
        </w:rPr>
        <w:t>26.78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198A70A7" w14:textId="77777777" w:rsidR="00F2123B" w:rsidRDefault="00200CFB">
      <w:pPr>
        <w:spacing w:before="100" w:after="240" w:line="280" w:lineRule="exact"/>
      </w:pPr>
      <w:r>
        <w:rPr>
          <w:rFonts w:ascii="Arial" w:hAnsi="Arial" w:cs="Arial"/>
          <w:sz w:val="20"/>
          <w:szCs w:val="20"/>
        </w:rPr>
        <w:t xml:space="preserve">26.79 Where the offender is subject to an unrestricted hospital order, victims have the same statutory entitlement to information as when a restricted hospital order is made, provided the conviction is for a qualifying offence.  The decision-makers are the hospital managers, the Responsible Clinician and the Tribunal.  The </w:t>
      </w:r>
      <w:r>
        <w:rPr>
          <w:rFonts w:ascii="Arial" w:hAnsi="Arial" w:cs="Arial"/>
          <w:color w:val="333333"/>
          <w:sz w:val="20"/>
          <w:szCs w:val="20"/>
        </w:rPr>
        <w:t xml:space="preserve">Probation Service </w:t>
      </w:r>
      <w:r>
        <w:rPr>
          <w:rFonts w:ascii="Arial" w:hAnsi="Arial" w:cs="Arial"/>
          <w:sz w:val="20"/>
          <w:szCs w:val="20"/>
        </w:rPr>
        <w:t xml:space="preserve">Victim Liaison Unit is responsible for passing the victim’s details to the hospital, should the victim want this.  There will be no further involvement from the </w:t>
      </w:r>
      <w:r>
        <w:rPr>
          <w:rFonts w:ascii="Arial" w:hAnsi="Arial" w:cs="Arial"/>
          <w:color w:val="333333"/>
          <w:sz w:val="20"/>
          <w:szCs w:val="20"/>
        </w:rPr>
        <w:t>Probation Service</w:t>
      </w:r>
      <w:r>
        <w:rPr>
          <w:rFonts w:ascii="Arial" w:hAnsi="Arial" w:cs="Arial"/>
          <w:sz w:val="20"/>
          <w:szCs w:val="20"/>
        </w:rPr>
        <w:t xml:space="preserve">.  The hospital managers have the legal responsibility for passing information to the victim, and the victim will not be allocated a </w:t>
      </w:r>
      <w:r>
        <w:rPr>
          <w:rFonts w:ascii="Arial" w:hAnsi="Arial" w:cs="Arial"/>
          <w:color w:val="333333"/>
          <w:sz w:val="20"/>
          <w:szCs w:val="20"/>
        </w:rPr>
        <w:t xml:space="preserve">Probation Service </w:t>
      </w:r>
      <w:r>
        <w:rPr>
          <w:rFonts w:ascii="Arial" w:hAnsi="Arial" w:cs="Arial"/>
          <w:sz w:val="20"/>
          <w:szCs w:val="20"/>
        </w:rPr>
        <w:t>VLO.</w:t>
      </w:r>
    </w:p>
    <w:p w14:paraId="198A70A8" w14:textId="77777777" w:rsidR="00F2123B" w:rsidRDefault="00200CFB">
      <w:pPr>
        <w:spacing w:before="100" w:after="240" w:line="280" w:lineRule="exact"/>
      </w:pPr>
      <w:r>
        <w:rPr>
          <w:rFonts w:ascii="Arial" w:hAnsi="Arial" w:cs="Arial"/>
          <w:sz w:val="20"/>
          <w:szCs w:val="20"/>
        </w:rPr>
        <w:t xml:space="preserve">26.80 Where the sentence was passed before the relevant Act, the victim has no statutory rights.  However, common practice in cases involving restricted patients is to give victims who request contact under the </w:t>
      </w:r>
      <w:r>
        <w:rPr>
          <w:rFonts w:ascii="Arial" w:hAnsi="Arial" w:cs="Arial"/>
          <w:color w:val="333333"/>
          <w:sz w:val="20"/>
          <w:szCs w:val="20"/>
        </w:rPr>
        <w:t xml:space="preserve">Probation Service </w:t>
      </w:r>
      <w:r>
        <w:rPr>
          <w:rFonts w:ascii="Arial" w:hAnsi="Arial" w:cs="Arial"/>
          <w:sz w:val="20"/>
          <w:szCs w:val="20"/>
        </w:rPr>
        <w:t>Victim Contact Service the information to which they would be entitled had the DVCA 2004 been in force.</w:t>
      </w: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his applies whether or not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67"/>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68"/>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69"/>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(whether or not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(whether or not</w:t>
      </w:r>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From Harassment Act 1997</w:t>
      </w:r>
      <w:r>
        <w:rPr>
          <w:rStyle w:val="FootnoteReference"/>
          <w:rFonts w:ascii="Arial" w:hAnsi="Arial" w:cs="Arial"/>
          <w:sz w:val="20"/>
          <w:szCs w:val="20"/>
        </w:rPr>
        <w:footnoteReference w:id="70"/>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men may be victims of women, </w:t>
      </w:r>
    </w:p>
    <w:p w14:paraId="198A70D4"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rsidP="00AD2BEF">
      <w:pPr>
        <w:pStyle w:val="ListParagraph"/>
        <w:numPr>
          <w:ilvl w:val="0"/>
          <w:numId w:val="51"/>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rsidP="00AD2BEF">
      <w:pPr>
        <w:pStyle w:val="ListParagraph"/>
        <w:numPr>
          <w:ilvl w:val="0"/>
          <w:numId w:val="51"/>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2" w:name="_Hlk76711301"/>
      <w:r>
        <w:rPr>
          <w:rFonts w:ascii="Arial" w:hAnsi="Arial" w:cs="Arial"/>
          <w:sz w:val="20"/>
          <w:szCs w:val="20"/>
        </w:rPr>
        <w:t xml:space="preserve">or breaches of civil orders (such as restraining orders or Domestic Abuse Prevention Orders) </w:t>
      </w:r>
      <w:bookmarkEnd w:id="22"/>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1"/>
      </w:r>
      <w:r>
        <w:rPr>
          <w:rFonts w:ascii="Arial" w:hAnsi="Arial" w:cs="Arial"/>
          <w:sz w:val="20"/>
          <w:szCs w:val="20"/>
        </w:rPr>
        <w:t xml:space="preserve">  Even though less visible than physical abuse, these behaviours are considered to be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escalations should be shared with partnership agencies and trigger prompt re-consideration of the MAPPA level and a referral into MAPPA Level 2 or 3 using Category 3 where necessary.  Practitioners may need to challenge their own thinking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is capable of causing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Standard - Multi-agency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In considering the correct level of management, practitioners must pay particular attention to  repeat and high risk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Level 2 or 3 management should also be actively considered for those with convictions for stalking or who display stalking behaviours, using Category 3 where necessary.  Practitioners should have an understanding of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2"/>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for more information on the criteria for Level 2 and 3 management.  Where the case is not appropriate for management at Level 2 or 3, the rationale must be evidenced and recorded on agency systems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77777777"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Professionals meetings should be used as appropriate (see Chapter 13a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ViSOR for those nominals with a current ViSOR record.  See Chapter 8 – ViSOR for further information.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as a result of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ViSOR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as a result of an appropriate risk assessment/screening, such as the Domestic Abuse, Stalking and Honour-Based Violence (DASH) Risk Identification, Assessment and Management Model, or as a result of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When sharing the RMP with the offender it is important to remember that it must not include information that could either place the victim at continued or increased risk or prejudice any safety plan that has been put in place.  The RMP should not mention MARAC by name and the offender must not be told that the victim’s case is being discussed at MARAC.</w:t>
      </w:r>
    </w:p>
    <w:p w14:paraId="198A70F8" w14:textId="77777777" w:rsidR="00F2123B" w:rsidRDefault="00200CFB">
      <w:pPr>
        <w:spacing w:after="240" w:line="280" w:lineRule="exact"/>
      </w:pPr>
      <w:r>
        <w:rPr>
          <w:rFonts w:ascii="Arial" w:hAnsi="Arial" w:cs="Arial"/>
          <w:sz w:val="20"/>
          <w:szCs w:val="20"/>
        </w:rPr>
        <w:t>27.32</w:t>
      </w:r>
      <w:r>
        <w:rPr>
          <w:rFonts w:ascii="Arial" w:hAnsi="Arial" w:cs="Arial"/>
          <w:sz w:val="20"/>
          <w:szCs w:val="20"/>
        </w:rPr>
        <w:tab/>
        <w:t xml:space="preserve">Information discussed at MAPPA meetings and executive summaries of the MAPPA meeting minutes may only be disclosed to the MARAC in line with the requirements set out in Chapter 13b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all of the information available to them on prison systems (including ViSOR)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ViSOR for all offenders with a ViSOR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46"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Victims of domestic abuse are likely to be some of the most vulnerable because in many cases they are still at risk from an abusive ex-partner, whether or not they have separated from them (separation is one of the most significant risk factors in domestic abuse</w:t>
      </w:r>
      <w:r>
        <w:rPr>
          <w:rStyle w:val="FootnoteReference"/>
          <w:rFonts w:ascii="Arial" w:hAnsi="Arial" w:cs="Arial"/>
          <w:sz w:val="20"/>
          <w:szCs w:val="20"/>
        </w:rPr>
        <w:footnoteReference w:id="73"/>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particular issues.  Resources and advice on victims from different groups can be found at </w:t>
      </w:r>
      <w:hyperlink r:id="rId47"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offenders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The Government has introduced a number of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The Strategic Management Board (SMB) is the means by which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"keep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The SMB is therefore responsible for managing MAPPA activity in its area (see Chapter 4 – MAPPA SMB for details of the SMB’s responsibilities).  With regard to Domestic Abuse and Stalking the SMB should;</w:t>
      </w:r>
    </w:p>
    <w:p w14:paraId="198A7114"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rsidP="00AD2BEF">
      <w:pPr>
        <w:pStyle w:val="ListParagraph"/>
        <w:numPr>
          <w:ilvl w:val="0"/>
          <w:numId w:val="52"/>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rsidP="00AD2BEF">
      <w:pPr>
        <w:pStyle w:val="ListParagraph"/>
        <w:numPr>
          <w:ilvl w:val="0"/>
          <w:numId w:val="52"/>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ViSOR.</w:t>
      </w:r>
    </w:p>
    <w:p w14:paraId="198A7134" w14:textId="77777777"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13b: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13a.6).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body in itself, it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29.3 The Responsible Authority (RA) and Duty to Co-operate (DTC) agencies will have their own complaints procedures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29.5 The MAPPA Co-ordinator should report all complaints received, and the findings from them,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On receipt of a complaint, the MAPPA Co-ordinator consults the Chair of the SMB and they agree how to proceed.</w:t>
      </w:r>
    </w:p>
    <w:p w14:paraId="198A7163" w14:textId="684053E2"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particular agency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rsidP="00AD2BEF">
      <w:pPr>
        <w:pStyle w:val="ListParagraph"/>
        <w:numPr>
          <w:ilvl w:val="0"/>
          <w:numId w:val="53"/>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rsidP="00AD2BEF">
      <w:pPr>
        <w:pStyle w:val="ListParagraph"/>
        <w:numPr>
          <w:ilvl w:val="0"/>
          <w:numId w:val="53"/>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t>29.7 Complaints should be dealt with as quickly as possible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rsidP="00AD2BEF">
      <w:pPr>
        <w:numPr>
          <w:ilvl w:val="0"/>
          <w:numId w:val="5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rsidP="00AD2BEF">
      <w:pPr>
        <w:numPr>
          <w:ilvl w:val="0"/>
          <w:numId w:val="54"/>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effective use and development of ViSOR.</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rsidP="00AD2BEF">
      <w:pPr>
        <w:numPr>
          <w:ilvl w:val="0"/>
          <w:numId w:val="55"/>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rsidP="00AD2BEF">
      <w:pPr>
        <w:numPr>
          <w:ilvl w:val="0"/>
          <w:numId w:val="55"/>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public protection leads in prisons and probation to inform policy and practice developments.</w:t>
      </w:r>
    </w:p>
    <w:p w14:paraId="198A7185"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rsidP="00AD2BEF">
      <w:pPr>
        <w:numPr>
          <w:ilvl w:val="0"/>
          <w:numId w:val="56"/>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rsidP="00AD2BEF">
      <w:pPr>
        <w:numPr>
          <w:ilvl w:val="0"/>
          <w:numId w:val="56"/>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ViSOR community on behalf of HMPPS and contributing to its development in line with the business needs of HMPPS.</w:t>
      </w:r>
    </w:p>
    <w:p w14:paraId="198A718D" w14:textId="77777777" w:rsidR="00F2123B" w:rsidRDefault="00200CFB" w:rsidP="00AD2BEF">
      <w:pPr>
        <w:numPr>
          <w:ilvl w:val="0"/>
          <w:numId w:val="56"/>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 the effective use and development of ViSOR.</w:t>
      </w:r>
    </w:p>
    <w:p w14:paraId="198A7194" w14:textId="77777777" w:rsidR="00F2123B" w:rsidRDefault="00200CFB" w:rsidP="00AD2BEF">
      <w:pPr>
        <w:numPr>
          <w:ilvl w:val="0"/>
          <w:numId w:val="57"/>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rsidP="00AD2BEF">
      <w:pPr>
        <w:numPr>
          <w:ilvl w:val="0"/>
          <w:numId w:val="57"/>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3" w:name="6864564"/>
      <w:bookmarkEnd w:id="23"/>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ViSOR Groups</w:t>
      </w:r>
    </w:p>
    <w:p w14:paraId="198A7197" w14:textId="77777777" w:rsidR="00F2123B" w:rsidRDefault="00200CFB">
      <w:pPr>
        <w:shd w:val="clear" w:color="auto" w:fill="FFFFFF"/>
        <w:suppressAutoHyphens w:val="0"/>
        <w:spacing w:before="100" w:after="240" w:line="280" w:lineRule="exact"/>
        <w:textAlignment w:val="auto"/>
      </w:pPr>
      <w:bookmarkStart w:id="24" w:name="6864596"/>
      <w:bookmarkEnd w:id="24"/>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30.7 The aim of the ViSOR NUG is to support the development and use of ViSOR at a national level across the different UK jurisdictions in order to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30.8 The NUG meets three times a year. Membership comprises Regional User Group (RUG) Chairs and senior customer representatives. The NUG Chair should be the ViSOR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ViSOR.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r>
        <w:rPr>
          <w:rFonts w:ascii="Arial" w:hAnsi="Arial" w:cs="Arial"/>
          <w:b/>
          <w:bCs/>
          <w:color w:val="333333"/>
          <w:lang w:eastAsia="en-GB"/>
        </w:rPr>
        <w:t>ViSOR</w:t>
      </w:r>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30.12 The remit of the CMG is to approve or reject proposals for change received from RUGs, PPG and the Police College, and to prioritise the implementation of approved proposals. The group also has a mandate to consider improvements to ViSOR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30.13 The CMG is obliged to consult other relevant change management groups where proposed changes may impact on other interfaced systems of customer infra-structures. Similarly, other groups are obliged to consult the CMG in cases where their proposed changes may impact on the ViSOR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30.15 All proposed ViSOR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r>
        <w:rPr>
          <w:rFonts w:ascii="Arial" w:hAnsi="Arial" w:cs="Arial"/>
          <w:b/>
          <w:color w:val="333333"/>
          <w:lang w:eastAsia="en-GB"/>
        </w:rPr>
        <w:t>ViSOR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30.16 The ViSOR training working group is a forum for all training issues to be discussed, changes and/or amendments agreed and managed. The group membership consists of ViSOR trainers from each of the RAs and reports to the NUG on all matters relating to ViSOR Training.</w:t>
      </w:r>
    </w:p>
    <w:p w14:paraId="198A71A5" w14:textId="77777777" w:rsidR="00F2123B" w:rsidRDefault="00200CFB">
      <w:pPr>
        <w:pStyle w:val="Heading1"/>
        <w:pageBreakBefore/>
        <w:spacing w:line="280" w:lineRule="atLeast"/>
      </w:pPr>
      <w:r>
        <w:rPr>
          <w:bCs/>
          <w:sz w:val="36"/>
        </w:rPr>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198A71A6" w14:textId="77777777" w:rsidR="00F2123B" w:rsidRDefault="00F2123B">
      <w:pPr>
        <w:pStyle w:val="Heading2"/>
        <w:spacing w:line="280" w:lineRule="atLeast"/>
        <w:jc w:val="left"/>
        <w:rPr>
          <w:sz w:val="20"/>
        </w:rPr>
      </w:pPr>
    </w:p>
    <w:p w14:paraId="198A71A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rPr>
          <w:sz w:val="28"/>
          <w:szCs w:val="28"/>
        </w:rPr>
      </w:pPr>
      <w:r>
        <w:rPr>
          <w:sz w:val="28"/>
          <w:szCs w:val="28"/>
        </w:rPr>
        <w:t>Introduction</w:t>
      </w:r>
    </w:p>
    <w:p w14:paraId="198A71A8" w14:textId="77777777" w:rsidR="00F2123B" w:rsidRDefault="00F2123B">
      <w:pPr>
        <w:spacing w:line="280" w:lineRule="atLeast"/>
        <w:rPr>
          <w:rFonts w:ascii="Arial" w:hAnsi="Arial" w:cs="Arial"/>
          <w:sz w:val="20"/>
        </w:rPr>
      </w:pPr>
    </w:p>
    <w:p w14:paraId="198A71A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have</w:t>
      </w:r>
      <w:r>
        <w:rPr>
          <w:rFonts w:ascii="Arial" w:eastAsia="Arial" w:hAnsi="Arial" w:cs="Arial"/>
          <w:b/>
        </w:rPr>
        <w:t xml:space="preserve"> </w:t>
      </w:r>
      <w:r>
        <w:rPr>
          <w:rFonts w:ascii="Arial" w:hAnsi="Arial" w:cs="Arial"/>
          <w:b/>
        </w:rPr>
        <w:t>arrangements</w:t>
      </w:r>
      <w:r>
        <w:rPr>
          <w:rFonts w:ascii="Arial" w:eastAsia="Arial" w:hAnsi="Arial" w:cs="Arial"/>
          <w:b/>
        </w:rPr>
        <w:t xml:space="preserve"> </w:t>
      </w:r>
      <w:r>
        <w:rPr>
          <w:rFonts w:ascii="Arial" w:hAnsi="Arial" w:cs="Arial"/>
          <w:b/>
        </w:rPr>
        <w:t>in</w:t>
      </w:r>
      <w:r>
        <w:rPr>
          <w:rFonts w:ascii="Arial" w:eastAsia="Arial" w:hAnsi="Arial" w:cs="Arial"/>
          <w:b/>
        </w:rPr>
        <w:t xml:space="preserve"> </w:t>
      </w:r>
      <w:r>
        <w:rPr>
          <w:rFonts w:ascii="Arial" w:hAnsi="Arial" w:cs="Arial"/>
          <w:b/>
        </w:rPr>
        <w:t>place</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monitor</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operation</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Key Performance Indicators (“</w:t>
      </w:r>
      <w:r>
        <w:rPr>
          <w:rFonts w:ascii="Arial" w:hAnsi="Arial" w:cs="Arial"/>
          <w:b/>
        </w:rPr>
        <w:t>KPIs”)</w:t>
      </w:r>
    </w:p>
    <w:p w14:paraId="198A71AA" w14:textId="77777777" w:rsidR="00F2123B" w:rsidRDefault="00F2123B">
      <w:pPr>
        <w:spacing w:line="280" w:lineRule="atLeast"/>
        <w:rPr>
          <w:rFonts w:ascii="Arial" w:hAnsi="Arial" w:cs="Arial"/>
          <w:sz w:val="20"/>
        </w:rPr>
      </w:pPr>
    </w:p>
    <w:p w14:paraId="198A71AB" w14:textId="77777777" w:rsidR="00F2123B" w:rsidRDefault="00200CFB">
      <w:pPr>
        <w:spacing w:line="280" w:lineRule="atLeast"/>
      </w:pPr>
      <w:r>
        <w:rPr>
          <w:rFonts w:ascii="Arial" w:hAnsi="Arial" w:cs="Arial"/>
          <w:sz w:val="20"/>
        </w:rPr>
        <w:t>31.1</w:t>
      </w:r>
      <w:r>
        <w:rPr>
          <w:rFonts w:ascii="Arial" w:hAnsi="Arial" w:cs="Arial"/>
          <w:sz w:val="20"/>
        </w:rPr>
        <w:tab/>
        <w:t>For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fulfil</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legal</w:t>
      </w:r>
      <w:r>
        <w:rPr>
          <w:rFonts w:ascii="Arial" w:eastAsia="Arial" w:hAnsi="Arial" w:cs="Arial"/>
          <w:sz w:val="20"/>
        </w:rPr>
        <w:t xml:space="preserve"> </w:t>
      </w:r>
      <w:r>
        <w:rPr>
          <w:rFonts w:ascii="Arial" w:hAnsi="Arial" w:cs="Arial"/>
          <w:sz w:val="20"/>
        </w:rPr>
        <w:t>obligations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robust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defensible</w:t>
      </w:r>
      <w:r>
        <w:rPr>
          <w:rFonts w:ascii="Arial" w:eastAsia="Arial" w:hAnsi="Arial" w:cs="Arial"/>
          <w:sz w:val="20"/>
        </w:rPr>
        <w:t xml:space="preserve"> </w:t>
      </w:r>
      <w:r>
        <w:rPr>
          <w:rFonts w:ascii="Arial" w:hAnsi="Arial" w:cs="Arial"/>
          <w:sz w:val="20"/>
        </w:rPr>
        <w:t>risk</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Responsible Authority</w:t>
      </w:r>
      <w:r>
        <w:rPr>
          <w:rFonts w:ascii="Arial" w:hAnsi="Arial" w:cs="Arial"/>
          <w:sz w:val="20"/>
        </w:rPr>
        <w:t>,</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Strategic Management Board (“</w:t>
      </w:r>
      <w:r>
        <w:rPr>
          <w:rFonts w:ascii="Arial" w:hAnsi="Arial" w:cs="Arial"/>
          <w:sz w:val="20"/>
        </w:rPr>
        <w:t>SMB”),</w:t>
      </w:r>
      <w:r>
        <w:rPr>
          <w:rFonts w:ascii="Arial" w:eastAsia="Arial" w:hAnsi="Arial" w:cs="Arial"/>
          <w:sz w:val="20"/>
        </w:rPr>
        <w:t xml:space="preserve"> </w:t>
      </w:r>
      <w:r>
        <w:rPr>
          <w:rFonts w:ascii="Arial" w:hAnsi="Arial" w:cs="Arial"/>
          <w:sz w:val="20"/>
        </w:rPr>
        <w:t>needs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demonstrate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empirically</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evaluation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its</w:t>
      </w:r>
      <w:r>
        <w:rPr>
          <w:rFonts w:ascii="Arial" w:eastAsia="Arial" w:hAnsi="Arial" w:cs="Arial"/>
          <w:sz w:val="20"/>
        </w:rPr>
        <w:t xml:space="preserve"> </w:t>
      </w:r>
      <w:r>
        <w:rPr>
          <w:rFonts w:ascii="Arial" w:hAnsi="Arial" w:cs="Arial"/>
          <w:sz w:val="20"/>
        </w:rPr>
        <w:t>performance.</w:t>
      </w:r>
    </w:p>
    <w:p w14:paraId="198A71AC" w14:textId="77777777" w:rsidR="00F2123B" w:rsidRDefault="00F2123B">
      <w:pPr>
        <w:spacing w:line="280" w:lineRule="atLeast"/>
        <w:rPr>
          <w:rFonts w:ascii="Arial" w:hAnsi="Arial" w:cs="Arial"/>
          <w:sz w:val="20"/>
        </w:rPr>
      </w:pPr>
    </w:p>
    <w:p w14:paraId="198A71AD" w14:textId="77777777" w:rsidR="00F2123B" w:rsidRDefault="00200CFB">
      <w:pPr>
        <w:spacing w:line="280" w:lineRule="atLeast"/>
      </w:pPr>
      <w:r>
        <w:rPr>
          <w:rFonts w:ascii="Arial" w:hAnsi="Arial" w:cs="Arial"/>
          <w:sz w:val="20"/>
        </w:rPr>
        <w:t>31.2</w:t>
      </w:r>
      <w:r>
        <w:rPr>
          <w:rFonts w:ascii="Arial" w:hAnsi="Arial" w:cs="Arial"/>
          <w:sz w:val="20"/>
        </w:rPr>
        <w:tab/>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therefore</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objectives:</w:t>
      </w:r>
    </w:p>
    <w:p w14:paraId="198A71AE" w14:textId="77777777" w:rsidR="00F2123B" w:rsidRDefault="00200CFB" w:rsidP="00AD2BEF">
      <w:pPr>
        <w:numPr>
          <w:ilvl w:val="0"/>
          <w:numId w:val="58"/>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statutory</w:t>
      </w:r>
      <w:r>
        <w:rPr>
          <w:rFonts w:ascii="Arial" w:eastAsia="Arial" w:hAnsi="Arial" w:cs="Arial"/>
          <w:sz w:val="20"/>
        </w:rPr>
        <w:t xml:space="preserve"> </w:t>
      </w:r>
      <w:r>
        <w:rPr>
          <w:rFonts w:ascii="Arial" w:hAnsi="Arial" w:cs="Arial"/>
          <w:sz w:val="20"/>
        </w:rPr>
        <w:t>duties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organisation</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delivery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delivered,</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Statistics.</w:t>
      </w:r>
    </w:p>
    <w:p w14:paraId="198A71AF" w14:textId="77777777" w:rsidR="00F2123B" w:rsidRDefault="00200CFB" w:rsidP="00AD2BEF">
      <w:pPr>
        <w:numPr>
          <w:ilvl w:val="0"/>
          <w:numId w:val="58"/>
        </w:numPr>
        <w:spacing w:before="240" w:line="280" w:lineRule="atLeast"/>
      </w:pPr>
      <w:r>
        <w:rPr>
          <w:rFonts w:ascii="Arial" w:hAnsi="Arial" w:cs="Arial"/>
          <w:sz w:val="20"/>
        </w:rPr>
        <w:t>To</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evidence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defensibility</w:t>
      </w:r>
      <w:r>
        <w:rPr>
          <w:rFonts w:ascii="Arial" w:eastAsia="Arial" w:hAnsi="Arial" w:cs="Arial"/>
          <w:sz w:val="20"/>
        </w:rPr>
        <w:t xml:space="preserve"> </w:t>
      </w:r>
      <w:r>
        <w:rPr>
          <w:rFonts w:ascii="Arial" w:hAnsi="Arial" w:cs="Arial"/>
          <w:sz w:val="20"/>
        </w:rPr>
        <w:t>test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met,</w:t>
      </w:r>
      <w:r>
        <w:rPr>
          <w:rFonts w:ascii="Arial" w:eastAsia="Arial" w:hAnsi="Arial" w:cs="Arial"/>
          <w:sz w:val="20"/>
        </w:rPr>
        <w:t xml:space="preserve"> </w:t>
      </w:r>
      <w:r>
        <w:rPr>
          <w:rFonts w:ascii="Arial" w:hAnsi="Arial" w:cs="Arial"/>
          <w:sz w:val="20"/>
        </w:rPr>
        <w:t>i.e.</w:t>
      </w:r>
      <w:r>
        <w:rPr>
          <w:rFonts w:ascii="Arial" w:eastAsia="Arial" w:hAnsi="Arial" w:cs="Arial"/>
          <w:sz w:val="20"/>
        </w:rPr>
        <w:t xml:space="preserve"> </w:t>
      </w:r>
      <w:r>
        <w:rPr>
          <w:rFonts w:ascii="Arial" w:hAnsi="Arial" w:cs="Arial"/>
          <w:sz w:val="20"/>
        </w:rPr>
        <w:t>w</w:t>
      </w:r>
      <w:r>
        <w:rPr>
          <w:rFonts w:ascii="Arial" w:hAnsi="Arial" w:cs="Arial"/>
          <w:bCs/>
          <w:sz w:val="20"/>
        </w:rPr>
        <w:t>as</w:t>
      </w:r>
      <w:r>
        <w:rPr>
          <w:rFonts w:ascii="Arial" w:eastAsia="Arial" w:hAnsi="Arial" w:cs="Arial"/>
          <w:bCs/>
          <w:sz w:val="20"/>
        </w:rPr>
        <w:t xml:space="preserve"> </w:t>
      </w:r>
      <w:r>
        <w:rPr>
          <w:rFonts w:ascii="Arial" w:hAnsi="Arial" w:cs="Arial"/>
          <w:bCs/>
          <w:sz w:val="20"/>
        </w:rPr>
        <w:t>everything</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that</w:t>
      </w:r>
      <w:r>
        <w:rPr>
          <w:rFonts w:ascii="Arial" w:eastAsia="Arial" w:hAnsi="Arial" w:cs="Arial"/>
          <w:bCs/>
          <w:sz w:val="20"/>
        </w:rPr>
        <w:t xml:space="preserve"> </w:t>
      </w:r>
      <w:r>
        <w:rPr>
          <w:rFonts w:ascii="Arial" w:hAnsi="Arial" w:cs="Arial"/>
          <w:bCs/>
          <w:sz w:val="20"/>
        </w:rPr>
        <w:t>could</w:t>
      </w:r>
      <w:r>
        <w:rPr>
          <w:rFonts w:ascii="Arial" w:eastAsia="Arial" w:hAnsi="Arial" w:cs="Arial"/>
          <w:bCs/>
          <w:sz w:val="20"/>
        </w:rPr>
        <w:t xml:space="preserve"> </w:t>
      </w:r>
      <w:r>
        <w:rPr>
          <w:rFonts w:ascii="Arial" w:hAnsi="Arial" w:cs="Arial"/>
          <w:bCs/>
          <w:sz w:val="20"/>
        </w:rPr>
        <w:t>reasonably</w:t>
      </w:r>
      <w:r>
        <w:rPr>
          <w:rFonts w:ascii="Arial" w:eastAsia="Arial" w:hAnsi="Arial" w:cs="Arial"/>
          <w:bCs/>
          <w:sz w:val="20"/>
        </w:rPr>
        <w:t xml:space="preserve"> </w:t>
      </w:r>
      <w:r>
        <w:rPr>
          <w:rFonts w:ascii="Arial" w:hAnsi="Arial" w:cs="Arial"/>
          <w:bCs/>
          <w:sz w:val="20"/>
        </w:rPr>
        <w:t>have</w:t>
      </w:r>
      <w:r>
        <w:rPr>
          <w:rFonts w:ascii="Arial" w:eastAsia="Arial" w:hAnsi="Arial" w:cs="Arial"/>
          <w:bCs/>
          <w:sz w:val="20"/>
        </w:rPr>
        <w:t xml:space="preserve"> </w:t>
      </w:r>
      <w:r>
        <w:rPr>
          <w:rFonts w:ascii="Arial" w:hAnsi="Arial" w:cs="Arial"/>
          <w:bCs/>
          <w:sz w:val="20"/>
        </w:rPr>
        <w:t>been</w:t>
      </w:r>
      <w:r>
        <w:rPr>
          <w:rFonts w:ascii="Arial" w:eastAsia="Arial" w:hAnsi="Arial" w:cs="Arial"/>
          <w:bCs/>
          <w:sz w:val="20"/>
        </w:rPr>
        <w:t xml:space="preserve"> </w:t>
      </w:r>
      <w:r>
        <w:rPr>
          <w:rFonts w:ascii="Arial" w:hAnsi="Arial" w:cs="Arial"/>
          <w:bCs/>
          <w:sz w:val="20"/>
        </w:rPr>
        <w:t>done</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prevent</w:t>
      </w:r>
      <w:r>
        <w:rPr>
          <w:rFonts w:ascii="Arial" w:eastAsia="Arial" w:hAnsi="Arial" w:cs="Arial"/>
          <w:bCs/>
          <w:sz w:val="20"/>
        </w:rPr>
        <w:t xml:space="preserve"> </w:t>
      </w:r>
      <w:r>
        <w:rPr>
          <w:rFonts w:ascii="Arial" w:hAnsi="Arial" w:cs="Arial"/>
          <w:bCs/>
          <w:sz w:val="20"/>
        </w:rPr>
        <w:t>offenders</w:t>
      </w:r>
      <w:r>
        <w:rPr>
          <w:rFonts w:ascii="Arial" w:eastAsia="Arial" w:hAnsi="Arial" w:cs="Arial"/>
          <w:bCs/>
          <w:sz w:val="20"/>
        </w:rPr>
        <w:t xml:space="preserve"> </w:t>
      </w:r>
      <w:r>
        <w:rPr>
          <w:rFonts w:ascii="Arial" w:hAnsi="Arial" w:cs="Arial"/>
          <w:bCs/>
          <w:sz w:val="20"/>
        </w:rPr>
        <w:t>from</w:t>
      </w:r>
      <w:r>
        <w:rPr>
          <w:rFonts w:ascii="Arial" w:eastAsia="Arial" w:hAnsi="Arial" w:cs="Arial"/>
          <w:bCs/>
          <w:sz w:val="20"/>
        </w:rPr>
        <w:t xml:space="preserve"> </w:t>
      </w:r>
      <w:r>
        <w:rPr>
          <w:rFonts w:ascii="Arial" w:hAnsi="Arial" w:cs="Arial"/>
          <w:bCs/>
          <w:sz w:val="20"/>
        </w:rPr>
        <w:t>re-offending?</w:t>
      </w:r>
    </w:p>
    <w:p w14:paraId="198A71B0" w14:textId="77777777" w:rsidR="00F2123B" w:rsidRDefault="00F2123B">
      <w:pPr>
        <w:spacing w:line="280" w:lineRule="atLeast"/>
        <w:rPr>
          <w:rFonts w:ascii="Arial" w:hAnsi="Arial" w:cs="Arial"/>
          <w:bCs/>
          <w:sz w:val="20"/>
        </w:rPr>
      </w:pPr>
    </w:p>
    <w:p w14:paraId="198A71B1" w14:textId="77777777" w:rsidR="00F2123B" w:rsidRDefault="00200CFB">
      <w:pPr>
        <w:spacing w:line="280" w:lineRule="atLeast"/>
      </w:pPr>
      <w:r>
        <w:rPr>
          <w:rFonts w:ascii="Arial" w:hAnsi="Arial" w:cs="Arial"/>
          <w:sz w:val="20"/>
        </w:rPr>
        <w:t>31.3</w:t>
      </w:r>
      <w:r>
        <w:rPr>
          <w:rFonts w:ascii="Arial" w:hAnsi="Arial" w:cs="Arial"/>
          <w:sz w:val="20"/>
        </w:rPr>
        <w:tab/>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necessary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collect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analyse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quantitative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(see</w:t>
      </w:r>
      <w:r>
        <w:rPr>
          <w:rFonts w:ascii="Arial" w:eastAsia="Arial" w:hAnsi="Arial" w:cs="Arial"/>
          <w:sz w:val="20"/>
        </w:rPr>
        <w:t xml:space="preserve"> paragraph 21 </w:t>
      </w:r>
      <w:r>
        <w:rPr>
          <w:rFonts w:ascii="Arial" w:hAnsi="Arial" w:cs="Arial"/>
          <w:sz w:val="20"/>
        </w:rPr>
        <w:t>below).</w:t>
      </w:r>
    </w:p>
    <w:p w14:paraId="198A71B2" w14:textId="77777777" w:rsidR="00F2123B" w:rsidRDefault="00F2123B">
      <w:pPr>
        <w:spacing w:line="280" w:lineRule="atLeast"/>
        <w:rPr>
          <w:rFonts w:ascii="Arial" w:hAnsi="Arial" w:cs="Arial"/>
          <w:sz w:val="20"/>
        </w:rPr>
      </w:pPr>
    </w:p>
    <w:p w14:paraId="198A71B3" w14:textId="77777777" w:rsidR="00F2123B" w:rsidRDefault="00200CFB">
      <w:pPr>
        <w:spacing w:line="280" w:lineRule="atLeast"/>
      </w:pPr>
      <w:r>
        <w:rPr>
          <w:rFonts w:ascii="Arial" w:hAnsi="Arial" w:cs="Arial"/>
          <w:sz w:val="20"/>
        </w:rPr>
        <w:t>31.4</w:t>
      </w:r>
      <w:r>
        <w:rPr>
          <w:rFonts w:ascii="Arial" w:hAnsi="Arial" w:cs="Arial"/>
          <w:sz w:val="20"/>
        </w:rPr>
        <w:tab/>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determine</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achieve</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objectives.</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choose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establish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sub-group,</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arrangements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permissible.</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section</w:t>
      </w:r>
      <w:r>
        <w:rPr>
          <w:rFonts w:ascii="Arial" w:eastAsia="Arial" w:hAnsi="Arial" w:cs="Arial"/>
          <w:sz w:val="20"/>
        </w:rPr>
        <w:t xml:space="preserve"> </w:t>
      </w:r>
      <w:r>
        <w:rPr>
          <w:rFonts w:ascii="Arial" w:hAnsi="Arial" w:cs="Arial"/>
          <w:sz w:val="20"/>
        </w:rPr>
        <w:t>provides</w:t>
      </w:r>
      <w:r>
        <w:rPr>
          <w:rFonts w:ascii="Arial" w:eastAsia="Arial" w:hAnsi="Arial" w:cs="Arial"/>
          <w:sz w:val="20"/>
        </w:rPr>
        <w:t xml:space="preserve"> </w:t>
      </w:r>
      <w:r>
        <w:rPr>
          <w:rFonts w:ascii="Arial" w:hAnsi="Arial" w:cs="Arial"/>
          <w:sz w:val="20"/>
        </w:rPr>
        <w:t>guidance</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part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SMBs,</w:t>
      </w:r>
      <w:r>
        <w:rPr>
          <w:rFonts w:ascii="Arial" w:eastAsia="Arial" w:hAnsi="Arial" w:cs="Arial"/>
          <w:sz w:val="20"/>
        </w:rPr>
        <w:t xml:space="preserve"> </w:t>
      </w:r>
      <w:r>
        <w:rPr>
          <w:rFonts w:ascii="Arial" w:hAnsi="Arial" w:cs="Arial"/>
          <w:sz w:val="20"/>
        </w:rPr>
        <w:t>Responsible</w:t>
      </w:r>
      <w:r>
        <w:rPr>
          <w:rFonts w:ascii="Arial" w:eastAsia="Arial" w:hAnsi="Arial" w:cs="Arial"/>
          <w:sz w:val="20"/>
        </w:rPr>
        <w:t xml:space="preserve"> </w:t>
      </w:r>
      <w:r>
        <w:rPr>
          <w:rFonts w:ascii="Arial" w:hAnsi="Arial" w:cs="Arial"/>
          <w:sz w:val="20"/>
        </w:rPr>
        <w:t>Authority</w:t>
      </w:r>
      <w:r>
        <w:rPr>
          <w:rFonts w:ascii="Arial" w:eastAsia="Arial" w:hAnsi="Arial" w:cs="Arial"/>
          <w:sz w:val="20"/>
        </w:rPr>
        <w:t xml:space="preserve"> </w:t>
      </w:r>
      <w:r>
        <w:rPr>
          <w:rFonts w:ascii="Arial" w:hAnsi="Arial" w:cs="Arial"/>
          <w:sz w:val="20"/>
        </w:rPr>
        <w:t>Leads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Co-ordinators.</w:t>
      </w:r>
      <w:r>
        <w:rPr>
          <w:rFonts w:ascii="Arial" w:eastAsia="Arial" w:hAnsi="Arial" w:cs="Arial"/>
          <w:b/>
          <w:bCs/>
          <w:sz w:val="20"/>
        </w:rPr>
        <w:t xml:space="preserve"> </w:t>
      </w:r>
    </w:p>
    <w:p w14:paraId="198A71B4" w14:textId="77777777" w:rsidR="00F2123B" w:rsidRDefault="00F2123B">
      <w:pPr>
        <w:spacing w:line="280" w:lineRule="atLeast"/>
        <w:rPr>
          <w:rFonts w:ascii="Arial" w:hAnsi="Arial" w:cs="Arial"/>
          <w:b/>
          <w:bCs/>
          <w:sz w:val="20"/>
        </w:rPr>
      </w:pPr>
    </w:p>
    <w:p w14:paraId="198A71B5" w14:textId="320C690E" w:rsidR="00F2123B" w:rsidRDefault="00200CFB">
      <w:pPr>
        <w:spacing w:line="280" w:lineRule="atLeast"/>
      </w:pPr>
      <w:r>
        <w:rPr>
          <w:rFonts w:ascii="Arial" w:hAnsi="Arial" w:cs="Arial"/>
          <w:bCs/>
          <w:sz w:val="20"/>
        </w:rPr>
        <w:t>31.5</w:t>
      </w:r>
      <w:r>
        <w:rPr>
          <w:rFonts w:ascii="Arial" w:hAnsi="Arial" w:cs="Arial"/>
          <w:bCs/>
          <w:sz w:val="20"/>
        </w:rPr>
        <w:tab/>
        <w:t>The</w:t>
      </w:r>
      <w:r>
        <w:rPr>
          <w:rFonts w:ascii="Arial" w:eastAsia="Arial" w:hAnsi="Arial" w:cs="Arial"/>
          <w:bCs/>
          <w:sz w:val="20"/>
        </w:rPr>
        <w:t xml:space="preserve"> </w:t>
      </w:r>
      <w:r>
        <w:rPr>
          <w:rFonts w:ascii="Arial" w:hAnsi="Arial" w:cs="Arial"/>
          <w:bCs/>
          <w:sz w:val="20"/>
        </w:rPr>
        <w:t>SMB</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respond</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HM Inspectorate of Probation </w:t>
      </w:r>
      <w:r>
        <w:rPr>
          <w:rFonts w:ascii="Arial" w:hAnsi="Arial" w:cs="Arial"/>
          <w:bCs/>
          <w:sz w:val="20"/>
        </w:rPr>
        <w:t>inspections</w:t>
      </w:r>
      <w:r>
        <w:rPr>
          <w:rFonts w:ascii="Arial" w:eastAsia="Arial" w:hAnsi="Arial" w:cs="Arial"/>
          <w:bCs/>
          <w:sz w:val="20"/>
        </w:rPr>
        <w:t xml:space="preserve"> </w:t>
      </w:r>
      <w:r>
        <w:rPr>
          <w:rFonts w:ascii="Arial" w:hAnsi="Arial" w:cs="Arial"/>
          <w:bCs/>
          <w:sz w:val="20"/>
        </w:rPr>
        <w:t>which</w:t>
      </w:r>
      <w:r>
        <w:rPr>
          <w:rFonts w:ascii="Arial" w:eastAsia="Arial" w:hAnsi="Arial" w:cs="Arial"/>
          <w:bCs/>
          <w:sz w:val="20"/>
        </w:rPr>
        <w:t xml:space="preserve"> </w:t>
      </w:r>
      <w:r>
        <w:rPr>
          <w:rFonts w:ascii="Arial" w:hAnsi="Arial" w:cs="Arial"/>
          <w:bCs/>
          <w:sz w:val="20"/>
        </w:rPr>
        <w:t>link</w:t>
      </w:r>
      <w:r>
        <w:rPr>
          <w:rFonts w:ascii="Arial" w:eastAsia="Arial" w:hAnsi="Arial" w:cs="Arial"/>
          <w:bCs/>
          <w:sz w:val="20"/>
        </w:rPr>
        <w:t xml:space="preserve"> </w:t>
      </w:r>
      <w:r>
        <w:rPr>
          <w:rFonts w:ascii="Arial" w:hAnsi="Arial" w:cs="Arial"/>
          <w:bCs/>
          <w:sz w:val="20"/>
        </w:rPr>
        <w:t>to</w:t>
      </w:r>
      <w:r>
        <w:rPr>
          <w:rFonts w:ascii="Arial" w:eastAsia="Arial" w:hAnsi="Arial" w:cs="Arial"/>
          <w:bCs/>
          <w:sz w:val="20"/>
        </w:rPr>
        <w:t xml:space="preserve"> </w:t>
      </w:r>
      <w:r>
        <w:rPr>
          <w:rFonts w:ascii="Arial" w:hAnsi="Arial" w:cs="Arial"/>
          <w:bCs/>
          <w:sz w:val="20"/>
        </w:rPr>
        <w:t>MAPPA</w:t>
      </w:r>
      <w:r>
        <w:rPr>
          <w:rFonts w:ascii="Arial" w:eastAsia="Arial" w:hAnsi="Arial" w:cs="Arial"/>
          <w:bCs/>
          <w:sz w:val="20"/>
        </w:rPr>
        <w:t xml:space="preserve"> </w:t>
      </w:r>
      <w:r>
        <w:rPr>
          <w:rFonts w:ascii="Arial" w:hAnsi="Arial" w:cs="Arial"/>
          <w:bCs/>
          <w:sz w:val="20"/>
        </w:rPr>
        <w:t>and</w:t>
      </w:r>
      <w:r>
        <w:rPr>
          <w:rFonts w:ascii="Arial" w:eastAsia="Arial" w:hAnsi="Arial" w:cs="Arial"/>
          <w:bCs/>
          <w:sz w:val="20"/>
        </w:rPr>
        <w:t xml:space="preserve"> </w:t>
      </w:r>
      <w:r>
        <w:rPr>
          <w:rFonts w:ascii="Arial" w:hAnsi="Arial" w:cs="Arial"/>
          <w:bCs/>
          <w:sz w:val="20"/>
        </w:rPr>
        <w:t>will</w:t>
      </w:r>
      <w:r>
        <w:rPr>
          <w:rFonts w:ascii="Arial" w:eastAsia="Arial" w:hAnsi="Arial" w:cs="Arial"/>
          <w:bCs/>
          <w:sz w:val="20"/>
        </w:rPr>
        <w:t xml:space="preserve"> </w:t>
      </w:r>
      <w:r>
        <w:rPr>
          <w:rFonts w:ascii="Arial" w:hAnsi="Arial" w:cs="Arial"/>
          <w:bCs/>
          <w:sz w:val="20"/>
        </w:rPr>
        <w:t>make</w:t>
      </w:r>
      <w:r>
        <w:rPr>
          <w:rFonts w:ascii="Arial" w:eastAsia="Arial" w:hAnsi="Arial" w:cs="Arial"/>
          <w:bCs/>
          <w:sz w:val="20"/>
        </w:rPr>
        <w:t xml:space="preserve"> </w:t>
      </w:r>
      <w:r>
        <w:rPr>
          <w:rFonts w:ascii="Arial" w:hAnsi="Arial" w:cs="Arial"/>
          <w:bCs/>
          <w:sz w:val="20"/>
        </w:rPr>
        <w:t>appropriate</w:t>
      </w:r>
      <w:r>
        <w:rPr>
          <w:rFonts w:ascii="Arial" w:eastAsia="Arial" w:hAnsi="Arial" w:cs="Arial"/>
          <w:bCs/>
          <w:sz w:val="20"/>
        </w:rPr>
        <w:t xml:space="preserve"> </w:t>
      </w:r>
      <w:r>
        <w:rPr>
          <w:rFonts w:ascii="Arial" w:hAnsi="Arial" w:cs="Arial"/>
          <w:bCs/>
          <w:sz w:val="20"/>
        </w:rPr>
        <w:t>adjustments.</w:t>
      </w:r>
    </w:p>
    <w:p w14:paraId="198A71B6" w14:textId="77777777" w:rsidR="00F2123B" w:rsidRDefault="00F2123B">
      <w:pPr>
        <w:spacing w:line="280" w:lineRule="atLeast"/>
        <w:ind w:left="-720"/>
        <w:rPr>
          <w:rFonts w:ascii="Arial" w:hAnsi="Arial" w:cs="Arial"/>
          <w:b/>
          <w:bCs/>
          <w:sz w:val="20"/>
        </w:rPr>
      </w:pPr>
    </w:p>
    <w:p w14:paraId="198A71B7"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quantitative</w:t>
      </w:r>
      <w:r>
        <w:rPr>
          <w:rFonts w:eastAsia="Arial"/>
          <w:sz w:val="28"/>
          <w:szCs w:val="28"/>
        </w:rPr>
        <w:t xml:space="preserve"> </w:t>
      </w:r>
      <w:r>
        <w:rPr>
          <w:sz w:val="28"/>
          <w:szCs w:val="28"/>
        </w:rPr>
        <w:t>data</w:t>
      </w:r>
      <w:r>
        <w:rPr>
          <w:rFonts w:eastAsia="Arial"/>
          <w:sz w:val="28"/>
          <w:szCs w:val="28"/>
        </w:rPr>
        <w:t xml:space="preserve"> </w:t>
      </w:r>
    </w:p>
    <w:p w14:paraId="198A71B8" w14:textId="77777777" w:rsidR="00F2123B" w:rsidRDefault="00F2123B">
      <w:pPr>
        <w:spacing w:line="280" w:lineRule="atLeast"/>
        <w:rPr>
          <w:rFonts w:ascii="Arial" w:hAnsi="Arial" w:cs="Arial"/>
          <w:sz w:val="20"/>
        </w:rPr>
      </w:pPr>
    </w:p>
    <w:p w14:paraId="198A71B9"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quantitative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BA" w14:textId="77777777" w:rsidR="00F2123B" w:rsidRDefault="00F2123B">
      <w:pPr>
        <w:spacing w:line="280" w:lineRule="atLeast"/>
        <w:rPr>
          <w:rFonts w:ascii="Arial" w:hAnsi="Arial" w:cs="Arial"/>
          <w:sz w:val="20"/>
        </w:rPr>
      </w:pPr>
    </w:p>
    <w:p w14:paraId="198A71BB" w14:textId="77777777" w:rsidR="00F2123B" w:rsidRDefault="00200CFB">
      <w:pPr>
        <w:spacing w:line="280" w:lineRule="atLeast"/>
      </w:pPr>
      <w:r>
        <w:rPr>
          <w:rFonts w:ascii="Arial" w:hAnsi="Arial" w:cs="Arial"/>
          <w:sz w:val="20"/>
        </w:rPr>
        <w:t>31.6</w:t>
      </w:r>
      <w:r>
        <w:rPr>
          <w:rFonts w:ascii="Arial" w:hAnsi="Arial" w:cs="Arial"/>
          <w:sz w:val="20"/>
        </w:rPr>
        <w:tab/>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regular</w:t>
      </w:r>
      <w:r>
        <w:rPr>
          <w:rFonts w:ascii="Arial" w:eastAsia="Arial" w:hAnsi="Arial" w:cs="Arial"/>
          <w:sz w:val="20"/>
        </w:rPr>
        <w:t xml:space="preserve"> </w:t>
      </w:r>
      <w:r>
        <w:rPr>
          <w:rFonts w:ascii="Arial" w:hAnsi="Arial" w:cs="Arial"/>
          <w:sz w:val="20"/>
        </w:rPr>
        <w:t>basis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over</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whether</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questions</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asked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issue.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drops</w:t>
      </w:r>
      <w:r>
        <w:rPr>
          <w:rFonts w:ascii="Arial" w:eastAsia="Arial" w:hAnsi="Arial" w:cs="Arial"/>
          <w:sz w:val="20"/>
        </w:rPr>
        <w:t xml:space="preserve"> </w:t>
      </w:r>
      <w:r>
        <w:rPr>
          <w:rFonts w:ascii="Arial" w:hAnsi="Arial" w:cs="Arial"/>
          <w:sz w:val="20"/>
        </w:rPr>
        <w:t>dramatically,</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want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check</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screening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appropriately.</w:t>
      </w:r>
      <w:r>
        <w:rPr>
          <w:rFonts w:ascii="Arial" w:eastAsia="Arial" w:hAnsi="Arial" w:cs="Arial"/>
          <w:sz w:val="20"/>
        </w:rPr>
        <w:t xml:space="preserve"> </w:t>
      </w:r>
      <w:r>
        <w:rPr>
          <w:rFonts w:ascii="Arial" w:hAnsi="Arial" w:cs="Arial"/>
          <w:sz w:val="20"/>
        </w:rPr>
        <w:t>Similarly,</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marked</w:t>
      </w:r>
      <w:r>
        <w:rPr>
          <w:rFonts w:ascii="Arial" w:eastAsia="Arial" w:hAnsi="Arial" w:cs="Arial"/>
          <w:sz w:val="20"/>
        </w:rPr>
        <w:t xml:space="preserve"> </w:t>
      </w:r>
      <w:r>
        <w:rPr>
          <w:rFonts w:ascii="Arial" w:hAnsi="Arial" w:cs="Arial"/>
          <w:sz w:val="20"/>
        </w:rPr>
        <w:t>increase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suggest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one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referring</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into</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lack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confidence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ability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manage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genuine</w:t>
      </w:r>
      <w:r>
        <w:rPr>
          <w:rFonts w:ascii="Arial" w:eastAsia="Arial" w:hAnsi="Arial" w:cs="Arial"/>
          <w:sz w:val="20"/>
        </w:rPr>
        <w:t xml:space="preserve"> </w:t>
      </w:r>
      <w:r>
        <w:rPr>
          <w:rFonts w:ascii="Arial" w:hAnsi="Arial" w:cs="Arial"/>
          <w:sz w:val="20"/>
        </w:rPr>
        <w:t>need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inter-agency</w:t>
      </w:r>
      <w:r>
        <w:rPr>
          <w:rFonts w:ascii="Arial" w:eastAsia="Arial" w:hAnsi="Arial" w:cs="Arial"/>
          <w:sz w:val="20"/>
        </w:rPr>
        <w:t xml:space="preserve"> </w:t>
      </w:r>
      <w:r>
        <w:rPr>
          <w:rFonts w:ascii="Arial" w:hAnsi="Arial" w:cs="Arial"/>
          <w:sz w:val="20"/>
        </w:rPr>
        <w:t>management.</w:t>
      </w:r>
    </w:p>
    <w:p w14:paraId="198A71BC" w14:textId="77777777" w:rsidR="00F2123B" w:rsidRDefault="00F2123B">
      <w:pPr>
        <w:spacing w:line="280" w:lineRule="atLeast"/>
        <w:rPr>
          <w:rFonts w:ascii="Arial" w:hAnsi="Arial" w:cs="Arial"/>
          <w:sz w:val="20"/>
        </w:rPr>
      </w:pPr>
    </w:p>
    <w:p w14:paraId="198A71BD" w14:textId="77777777" w:rsidR="00F2123B" w:rsidRDefault="00200CFB">
      <w:pPr>
        <w:spacing w:line="280" w:lineRule="atLeast"/>
      </w:pPr>
      <w:r>
        <w:rPr>
          <w:rFonts w:ascii="Arial" w:hAnsi="Arial" w:cs="Arial"/>
          <w:sz w:val="20"/>
        </w:rPr>
        <w:t>31.7</w:t>
      </w:r>
      <w:r>
        <w:rPr>
          <w:rFonts w:ascii="Arial" w:hAnsi="Arial" w:cs="Arial"/>
          <w:sz w:val="20"/>
        </w:rPr>
        <w:tab/>
        <w:t>ViSOR</w:t>
      </w:r>
      <w:r>
        <w:rPr>
          <w:rFonts w:ascii="Arial" w:eastAsia="Arial" w:hAnsi="Arial" w:cs="Arial"/>
          <w:sz w:val="20"/>
        </w:rPr>
        <w:t xml:space="preserve"> </w:t>
      </w:r>
      <w:r>
        <w:rPr>
          <w:rFonts w:ascii="Arial" w:hAnsi="Arial" w:cs="Arial"/>
          <w:sz w:val="20"/>
        </w:rPr>
        <w:t>was</w:t>
      </w:r>
      <w:r>
        <w:rPr>
          <w:rFonts w:ascii="Arial" w:eastAsia="Arial" w:hAnsi="Arial" w:cs="Arial"/>
          <w:sz w:val="20"/>
        </w:rPr>
        <w:t xml:space="preserve"> </w:t>
      </w:r>
      <w:r>
        <w:rPr>
          <w:rFonts w:ascii="Arial" w:hAnsi="Arial" w:cs="Arial"/>
          <w:sz w:val="20"/>
        </w:rPr>
        <w:t>created</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system,</w:t>
      </w:r>
      <w:r>
        <w:rPr>
          <w:rFonts w:ascii="Arial" w:eastAsia="Arial" w:hAnsi="Arial" w:cs="Arial"/>
          <w:sz w:val="20"/>
        </w:rPr>
        <w:t xml:space="preserve"> </w:t>
      </w:r>
      <w:r>
        <w:rPr>
          <w:rFonts w:ascii="Arial" w:hAnsi="Arial" w:cs="Arial"/>
          <w:sz w:val="20"/>
        </w:rPr>
        <w:t>but</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rich</w:t>
      </w:r>
      <w:r>
        <w:rPr>
          <w:rFonts w:ascii="Arial" w:eastAsia="Arial" w:hAnsi="Arial" w:cs="Arial"/>
          <w:sz w:val="20"/>
        </w:rPr>
        <w:t xml:space="preserve"> </w:t>
      </w:r>
      <w:r>
        <w:rPr>
          <w:rFonts w:ascii="Arial" w:hAnsi="Arial" w:cs="Arial"/>
          <w:sz w:val="20"/>
        </w:rPr>
        <w:t>source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advanced</w:t>
      </w:r>
      <w:r>
        <w:rPr>
          <w:rFonts w:ascii="Arial" w:eastAsia="Arial" w:hAnsi="Arial" w:cs="Arial"/>
          <w:sz w:val="20"/>
        </w:rPr>
        <w:t xml:space="preserve"> </w:t>
      </w:r>
      <w:r>
        <w:rPr>
          <w:rFonts w:ascii="Arial" w:hAnsi="Arial" w:cs="Arial"/>
          <w:sz w:val="20"/>
        </w:rPr>
        <w:t>searches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allow</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gather</w:t>
      </w:r>
      <w:r>
        <w:rPr>
          <w:rFonts w:ascii="Arial" w:eastAsia="Arial" w:hAnsi="Arial" w:cs="Arial"/>
          <w:sz w:val="20"/>
        </w:rPr>
        <w:t xml:space="preserve"> </w:t>
      </w:r>
      <w:r>
        <w:rPr>
          <w:rFonts w:ascii="Arial" w:hAnsi="Arial" w:cs="Arial"/>
          <w:sz w:val="20"/>
        </w:rPr>
        <w:t>both</w:t>
      </w:r>
      <w:r>
        <w:rPr>
          <w:rFonts w:ascii="Arial" w:eastAsia="Arial" w:hAnsi="Arial" w:cs="Arial"/>
          <w:sz w:val="20"/>
        </w:rPr>
        <w:t xml:space="preserve"> </w:t>
      </w:r>
      <w:r>
        <w:rPr>
          <w:rFonts w:ascii="Arial" w:hAnsi="Arial" w:cs="Arial"/>
          <w:sz w:val="20"/>
        </w:rPr>
        <w:t>numerical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case-related</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MAPPA offender</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p>
    <w:p w14:paraId="198A71BE" w14:textId="77777777" w:rsidR="00F2123B" w:rsidRDefault="00200CFB">
      <w:pPr>
        <w:spacing w:line="280" w:lineRule="atLeast"/>
      </w:pPr>
      <w:r>
        <w:rPr>
          <w:rFonts w:ascii="Arial" w:hAnsi="Arial" w:cs="Arial"/>
          <w:sz w:val="20"/>
        </w:rPr>
        <w:t>31.8</w:t>
      </w:r>
      <w:r>
        <w:rPr>
          <w:rFonts w:ascii="Arial" w:hAnsi="Arial" w:cs="Arial"/>
          <w:sz w:val="20"/>
        </w:rPr>
        <w:tab/>
        <w:t>For</w:t>
      </w:r>
      <w:r>
        <w:rPr>
          <w:rFonts w:ascii="Arial" w:eastAsia="Arial" w:hAnsi="Arial" w:cs="Arial"/>
          <w:sz w:val="20"/>
        </w:rPr>
        <w:t xml:space="preserve"> </w:t>
      </w:r>
      <w:r>
        <w:rPr>
          <w:rFonts w:ascii="Arial" w:hAnsi="Arial" w:cs="Arial"/>
          <w:sz w:val="20"/>
        </w:rPr>
        <w:t>those</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holding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Statistics</w:t>
      </w:r>
      <w:r>
        <w:rPr>
          <w:rFonts w:ascii="Arial" w:eastAsia="Arial" w:hAnsi="Arial" w:cs="Arial"/>
          <w:sz w:val="20"/>
        </w:rPr>
        <w:t xml:space="preserve"> </w:t>
      </w:r>
      <w:r>
        <w:rPr>
          <w:rFonts w:ascii="Arial" w:hAnsi="Arial" w:cs="Arial"/>
          <w:sz w:val="20"/>
        </w:rPr>
        <w:t>Token</w:t>
      </w:r>
      <w:r>
        <w:rPr>
          <w:rFonts w:ascii="Arial" w:eastAsia="Arial" w:hAnsi="Arial" w:cs="Arial"/>
          <w:sz w:val="20"/>
        </w:rPr>
        <w:t xml:space="preserve"> </w:t>
      </w:r>
      <w:r>
        <w:rPr>
          <w:rFonts w:ascii="Arial" w:hAnsi="Arial" w:cs="Arial"/>
          <w:sz w:val="20"/>
        </w:rPr>
        <w:t>(normally</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Contact</w:t>
      </w:r>
      <w:r>
        <w:rPr>
          <w:rFonts w:ascii="Arial" w:eastAsia="Arial" w:hAnsi="Arial" w:cs="Arial"/>
          <w:sz w:val="20"/>
        </w:rPr>
        <w:t xml:space="preserve"> – </w:t>
      </w:r>
      <w:r>
        <w:rPr>
          <w:rFonts w:ascii="Arial" w:hAnsi="Arial" w:cs="Arial"/>
          <w:sz w:val="20"/>
        </w:rPr>
        <w:t>CPCs</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delegated</w:t>
      </w:r>
      <w:r>
        <w:rPr>
          <w:rFonts w:ascii="Arial" w:eastAsia="Arial" w:hAnsi="Arial" w:cs="Arial"/>
          <w:sz w:val="20"/>
        </w:rPr>
        <w:t xml:space="preserve"> </w:t>
      </w:r>
      <w:r>
        <w:rPr>
          <w:rFonts w:ascii="Arial" w:hAnsi="Arial" w:cs="Arial"/>
          <w:sz w:val="20"/>
        </w:rPr>
        <w:t>others),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r>
        <w:rPr>
          <w:rFonts w:ascii="Arial" w:hAnsi="Arial" w:cs="Arial"/>
          <w:sz w:val="20"/>
        </w:rPr>
        <w:t>functionality</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range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measures</w:t>
      </w:r>
      <w:r>
        <w:rPr>
          <w:rFonts w:ascii="Arial" w:eastAsia="Arial" w:hAnsi="Arial" w:cs="Arial"/>
          <w:sz w:val="20"/>
        </w:rPr>
        <w:t xml:space="preserve"> </w:t>
      </w:r>
      <w:r>
        <w:rPr>
          <w:rFonts w:ascii="Arial" w:hAnsi="Arial" w:cs="Arial"/>
          <w:sz w:val="20"/>
        </w:rPr>
        <w:t>including:</w:t>
      </w:r>
    </w:p>
    <w:p w14:paraId="198A71BF"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reconvicted</w:t>
      </w:r>
      <w:r>
        <w:rPr>
          <w:rFonts w:ascii="Arial" w:eastAsia="Arial" w:hAnsi="Arial" w:cs="Arial"/>
          <w:sz w:val="20"/>
        </w:rPr>
        <w:t xml:space="preserve"> </w:t>
      </w:r>
      <w:r>
        <w:rPr>
          <w:rFonts w:ascii="Arial" w:hAnsi="Arial" w:cs="Arial"/>
          <w:sz w:val="20"/>
        </w:rPr>
        <w:t>during</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0"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cases.</w:t>
      </w:r>
    </w:p>
    <w:p w14:paraId="198A71C1"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total</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new,</w:t>
      </w:r>
      <w:r>
        <w:rPr>
          <w:rFonts w:ascii="Arial" w:eastAsia="Arial" w:hAnsi="Arial" w:cs="Arial"/>
          <w:sz w:val="20"/>
        </w:rPr>
        <w:t xml:space="preserve"> </w:t>
      </w:r>
      <w:r>
        <w:rPr>
          <w:rFonts w:ascii="Arial" w:hAnsi="Arial" w:cs="Arial"/>
          <w:sz w:val="20"/>
        </w:rPr>
        <w:t>archived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unarchived</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2"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active</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who</w:t>
      </w:r>
      <w:r>
        <w:rPr>
          <w:rFonts w:ascii="Arial" w:eastAsia="Arial" w:hAnsi="Arial" w:cs="Arial"/>
          <w:sz w:val="20"/>
        </w:rPr>
        <w:t xml:space="preserve"> </w:t>
      </w:r>
      <w:r>
        <w:rPr>
          <w:rFonts w:ascii="Arial" w:hAnsi="Arial" w:cs="Arial"/>
          <w:sz w:val="20"/>
        </w:rPr>
        <w:t>commit</w:t>
      </w:r>
      <w:r>
        <w:rPr>
          <w:rFonts w:ascii="Arial" w:eastAsia="Arial" w:hAnsi="Arial" w:cs="Arial"/>
          <w:sz w:val="20"/>
        </w:rPr>
        <w:t xml:space="preserve"> </w:t>
      </w:r>
      <w:r>
        <w:rPr>
          <w:rFonts w:ascii="Arial" w:hAnsi="Arial" w:cs="Arial"/>
          <w:sz w:val="20"/>
        </w:rPr>
        <w:t>a Serious Further Offence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given</w:t>
      </w:r>
      <w:r>
        <w:rPr>
          <w:rFonts w:ascii="Arial" w:eastAsia="Arial" w:hAnsi="Arial" w:cs="Arial"/>
          <w:sz w:val="20"/>
        </w:rPr>
        <w:t xml:space="preserve"> </w:t>
      </w:r>
      <w:r>
        <w:rPr>
          <w:rFonts w:ascii="Arial" w:hAnsi="Arial" w:cs="Arial"/>
          <w:sz w:val="20"/>
        </w:rPr>
        <w:t>period.</w:t>
      </w:r>
    </w:p>
    <w:p w14:paraId="198A71C3"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recalls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custody.</w:t>
      </w:r>
    </w:p>
    <w:p w14:paraId="198A71C4"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subject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joint</w:t>
      </w:r>
      <w:r>
        <w:rPr>
          <w:rFonts w:ascii="Arial" w:eastAsia="Arial" w:hAnsi="Arial" w:cs="Arial"/>
          <w:sz w:val="20"/>
        </w:rPr>
        <w:t xml:space="preserve"> </w:t>
      </w:r>
      <w:r>
        <w:rPr>
          <w:rFonts w:ascii="Arial" w:hAnsi="Arial" w:cs="Arial"/>
          <w:sz w:val="20"/>
        </w:rPr>
        <w:t>management.</w:t>
      </w:r>
    </w:p>
    <w:p w14:paraId="198A71C5"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type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civil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criminal</w:t>
      </w:r>
      <w:r>
        <w:rPr>
          <w:rFonts w:ascii="Arial" w:eastAsia="Arial" w:hAnsi="Arial" w:cs="Arial"/>
          <w:sz w:val="20"/>
        </w:rPr>
        <w:t xml:space="preserve"> </w:t>
      </w:r>
      <w:r>
        <w:rPr>
          <w:rFonts w:ascii="Arial" w:hAnsi="Arial" w:cs="Arial"/>
          <w:sz w:val="20"/>
        </w:rPr>
        <w:t>Restrictive</w:t>
      </w:r>
      <w:r>
        <w:rPr>
          <w:rFonts w:ascii="Arial" w:eastAsia="Arial" w:hAnsi="Arial" w:cs="Arial"/>
          <w:sz w:val="20"/>
        </w:rPr>
        <w:t xml:space="preserve"> </w:t>
      </w:r>
      <w:r>
        <w:rPr>
          <w:rFonts w:ascii="Arial" w:hAnsi="Arial" w:cs="Arial"/>
          <w:sz w:val="20"/>
        </w:rPr>
        <w:t>Orders</w:t>
      </w:r>
      <w:r>
        <w:rPr>
          <w:rFonts w:ascii="Arial" w:eastAsia="Arial" w:hAnsi="Arial" w:cs="Arial"/>
          <w:sz w:val="20"/>
        </w:rPr>
        <w:t xml:space="preserve"> </w:t>
      </w:r>
      <w:r>
        <w:rPr>
          <w:rFonts w:ascii="Arial" w:hAnsi="Arial" w:cs="Arial"/>
          <w:sz w:val="20"/>
        </w:rPr>
        <w:t>applied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granted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rejected.</w:t>
      </w:r>
    </w:p>
    <w:p w14:paraId="198A71C6" w14:textId="77777777" w:rsidR="00F2123B" w:rsidRDefault="00200CFB" w:rsidP="00AD2BEF">
      <w:pPr>
        <w:numPr>
          <w:ilvl w:val="0"/>
          <w:numId w:val="59"/>
        </w:numPr>
        <w:spacing w:before="240" w:after="240" w:line="280" w:lineRule="atLeast"/>
      </w:pPr>
      <w:r>
        <w:rPr>
          <w:rFonts w:ascii="Arial" w:hAnsi="Arial" w:cs="Arial"/>
          <w:sz w:val="20"/>
        </w:rPr>
        <w:t>The</w:t>
      </w:r>
      <w:r>
        <w:rPr>
          <w:rFonts w:ascii="Arial" w:eastAsia="Arial" w:hAnsi="Arial" w:cs="Arial"/>
          <w:sz w:val="20"/>
        </w:rPr>
        <w:t xml:space="preserve"> </w:t>
      </w:r>
      <w:r>
        <w:rPr>
          <w:rFonts w:ascii="Arial" w:hAnsi="Arial" w:cs="Arial"/>
          <w:sz w:val="20"/>
        </w:rPr>
        <w:t>numbers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breaches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Orders.</w:t>
      </w:r>
    </w:p>
    <w:p w14:paraId="198A71C7" w14:textId="77777777" w:rsidR="00F2123B" w:rsidRDefault="00200CFB" w:rsidP="00AD2BEF">
      <w:pPr>
        <w:numPr>
          <w:ilvl w:val="0"/>
          <w:numId w:val="59"/>
        </w:numPr>
        <w:spacing w:before="240" w:after="240" w:line="280" w:lineRule="atLeast"/>
      </w:pPr>
      <w:r>
        <w:rPr>
          <w:rFonts w:ascii="Arial" w:hAnsi="Arial" w:cs="Arial"/>
          <w:sz w:val="20"/>
        </w:rPr>
        <w:t>Wanted</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missing</w:t>
      </w:r>
      <w:r>
        <w:rPr>
          <w:rFonts w:ascii="Arial" w:eastAsia="Arial" w:hAnsi="Arial" w:cs="Arial"/>
          <w:sz w:val="20"/>
        </w:rPr>
        <w:t xml:space="preserve"> </w:t>
      </w:r>
      <w:r>
        <w:rPr>
          <w:rFonts w:ascii="Arial" w:hAnsi="Arial" w:cs="Arial"/>
          <w:sz w:val="20"/>
        </w:rPr>
        <w:t>nominals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agency.</w:t>
      </w:r>
    </w:p>
    <w:p w14:paraId="198A71C8" w14:textId="77777777" w:rsidR="00F2123B" w:rsidRDefault="00200CFB">
      <w:pPr>
        <w:spacing w:line="280" w:lineRule="atLeast"/>
      </w:pPr>
      <w:r>
        <w:rPr>
          <w:rFonts w:ascii="Arial" w:hAnsi="Arial" w:cs="Arial"/>
          <w:sz w:val="20"/>
        </w:rPr>
        <w:t>31.9</w:t>
      </w:r>
      <w:r>
        <w:rPr>
          <w:rFonts w:ascii="Arial" w:hAnsi="Arial" w:cs="Arial"/>
          <w:sz w:val="20"/>
        </w:rPr>
        <w:tab/>
        <w:t>Each</w:t>
      </w:r>
      <w:r>
        <w:rPr>
          <w:rFonts w:ascii="Arial" w:eastAsia="Arial" w:hAnsi="Arial" w:cs="Arial"/>
          <w:sz w:val="20"/>
        </w:rPr>
        <w:t xml:space="preserve"> </w:t>
      </w:r>
      <w:r>
        <w:rPr>
          <w:rFonts w:ascii="Arial" w:hAnsi="Arial" w:cs="Arial"/>
          <w:sz w:val="20"/>
        </w:rPr>
        <w:t>pre-set</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statistical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variables</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users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select</w:t>
      </w:r>
      <w:r>
        <w:rPr>
          <w:rFonts w:ascii="Arial" w:eastAsia="Arial" w:hAnsi="Arial" w:cs="Arial"/>
          <w:sz w:val="20"/>
        </w:rPr>
        <w:t xml:space="preserve"> </w:t>
      </w:r>
      <w:r>
        <w:rPr>
          <w:rFonts w:ascii="Arial" w:hAnsi="Arial" w:cs="Arial"/>
          <w:sz w:val="20"/>
        </w:rPr>
        <w:t>including</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occupation,</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and </w:t>
      </w:r>
      <w:r>
        <w:rPr>
          <w:rFonts w:ascii="Arial" w:hAnsi="Arial" w:cs="Arial"/>
          <w:sz w:val="20"/>
        </w:rPr>
        <w:t>risk</w:t>
      </w:r>
      <w:r>
        <w:rPr>
          <w:rFonts w:ascii="Arial" w:eastAsia="Arial" w:hAnsi="Arial" w:cs="Arial"/>
          <w:sz w:val="20"/>
        </w:rPr>
        <w:t xml:space="preserve"> </w:t>
      </w:r>
      <w:r>
        <w:rPr>
          <w:rFonts w:ascii="Arial" w:hAnsi="Arial" w:cs="Arial"/>
          <w:sz w:val="20"/>
        </w:rPr>
        <w:t>level.</w:t>
      </w:r>
    </w:p>
    <w:p w14:paraId="198A71C9" w14:textId="77777777" w:rsidR="00F2123B" w:rsidRDefault="00F2123B">
      <w:pPr>
        <w:spacing w:line="280" w:lineRule="atLeast"/>
        <w:rPr>
          <w:rFonts w:ascii="Arial" w:hAnsi="Arial" w:cs="Arial"/>
          <w:sz w:val="20"/>
        </w:rPr>
      </w:pPr>
    </w:p>
    <w:p w14:paraId="198A71CA" w14:textId="77777777" w:rsidR="00F2123B" w:rsidRDefault="00200CFB">
      <w:pPr>
        <w:spacing w:line="280" w:lineRule="atLeast"/>
      </w:pPr>
      <w:r>
        <w:rPr>
          <w:rFonts w:ascii="Arial" w:hAnsi="Arial" w:cs="Arial"/>
          <w:sz w:val="20"/>
        </w:rPr>
        <w:t>31.10</w:t>
      </w:r>
      <w:r>
        <w:rPr>
          <w:rFonts w:ascii="Arial" w:hAnsi="Arial" w:cs="Arial"/>
          <w:sz w:val="20"/>
        </w:rPr>
        <w:tab/>
        <w:t>There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generic</w:t>
      </w:r>
      <w:r>
        <w:rPr>
          <w:rFonts w:ascii="Arial" w:eastAsia="Arial" w:hAnsi="Arial" w:cs="Arial"/>
          <w:sz w:val="20"/>
        </w:rPr>
        <w:t xml:space="preserve"> </w:t>
      </w:r>
      <w:r>
        <w:rPr>
          <w:rFonts w:ascii="Arial" w:hAnsi="Arial" w:cs="Arial"/>
          <w:sz w:val="20"/>
        </w:rPr>
        <w:t>nominal</w:t>
      </w:r>
      <w:r>
        <w:rPr>
          <w:rFonts w:ascii="Arial" w:eastAsia="Arial" w:hAnsi="Arial" w:cs="Arial"/>
          <w:sz w:val="20"/>
        </w:rPr>
        <w:t xml:space="preserve"> </w:t>
      </w:r>
      <w:r>
        <w:rPr>
          <w:rFonts w:ascii="Arial" w:hAnsi="Arial" w:cs="Arial"/>
          <w:sz w:val="20"/>
        </w:rPr>
        <w:t>record</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allows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user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create</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number</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demographic</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as</w:t>
      </w:r>
      <w:r>
        <w:rPr>
          <w:rFonts w:ascii="Arial" w:eastAsia="Arial" w:hAnsi="Arial" w:cs="Arial"/>
          <w:sz w:val="20"/>
        </w:rPr>
        <w:t xml:space="preserve"> </w:t>
      </w:r>
      <w:r>
        <w:rPr>
          <w:rFonts w:ascii="Arial" w:hAnsi="Arial" w:cs="Arial"/>
          <w:sz w:val="20"/>
        </w:rPr>
        <w:t>age,</w:t>
      </w:r>
      <w:r>
        <w:rPr>
          <w:rFonts w:ascii="Arial" w:eastAsia="Arial" w:hAnsi="Arial" w:cs="Arial"/>
          <w:sz w:val="20"/>
        </w:rPr>
        <w:t xml:space="preserve"> </w:t>
      </w:r>
      <w:r>
        <w:rPr>
          <w:rFonts w:ascii="Arial" w:hAnsi="Arial" w:cs="Arial"/>
          <w:sz w:val="20"/>
        </w:rPr>
        <w:t>gender</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ethnicity</w:t>
      </w:r>
      <w:r>
        <w:rPr>
          <w:rFonts w:ascii="Arial" w:eastAsia="Arial" w:hAnsi="Arial" w:cs="Arial"/>
          <w:sz w:val="20"/>
        </w:rPr>
        <w:t xml:space="preserve"> </w:t>
      </w:r>
      <w:r>
        <w:rPr>
          <w:rFonts w:ascii="Arial" w:hAnsi="Arial" w:cs="Arial"/>
          <w:sz w:val="20"/>
        </w:rPr>
        <w:t>(except</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Category</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1</w:t>
      </w:r>
      <w:r>
        <w:rPr>
          <w:rFonts w:ascii="Arial" w:eastAsia="Arial" w:hAnsi="Arial" w:cs="Arial"/>
          <w:sz w:val="20"/>
        </w:rPr>
        <w:t xml:space="preserve"> </w:t>
      </w:r>
      <w:r>
        <w:rPr>
          <w:rFonts w:ascii="Arial" w:hAnsi="Arial" w:cs="Arial"/>
          <w:sz w:val="20"/>
        </w:rPr>
        <w:t>cases).</w:t>
      </w:r>
    </w:p>
    <w:p w14:paraId="198A71CB" w14:textId="77777777" w:rsidR="00F2123B" w:rsidRDefault="00F2123B">
      <w:pPr>
        <w:spacing w:line="280" w:lineRule="atLeast"/>
        <w:ind w:left="-360"/>
        <w:rPr>
          <w:rFonts w:ascii="Arial" w:hAnsi="Arial" w:cs="Arial"/>
          <w:sz w:val="20"/>
        </w:rPr>
      </w:pPr>
    </w:p>
    <w:p w14:paraId="198A71CC" w14:textId="77777777" w:rsidR="00F2123B" w:rsidRDefault="00200CFB">
      <w:pPr>
        <w:spacing w:line="280" w:lineRule="atLeast"/>
      </w:pPr>
      <w:r>
        <w:rPr>
          <w:rFonts w:ascii="Arial" w:hAnsi="Arial" w:cs="Arial"/>
          <w:sz w:val="20"/>
        </w:rPr>
        <w:t>31.11</w:t>
      </w:r>
      <w:r>
        <w:rPr>
          <w:rFonts w:ascii="Arial" w:hAnsi="Arial" w:cs="Arial"/>
          <w:sz w:val="20"/>
        </w:rPr>
        <w:tab/>
        <w:t>If</w:t>
      </w:r>
      <w:r>
        <w:rPr>
          <w:rFonts w:ascii="Arial" w:eastAsia="Arial" w:hAnsi="Arial" w:cs="Arial"/>
          <w:sz w:val="20"/>
        </w:rPr>
        <w:t xml:space="preserve"> the </w:t>
      </w:r>
      <w:r>
        <w:rPr>
          <w:rFonts w:ascii="Arial" w:hAnsi="Arial" w:cs="Arial"/>
          <w:sz w:val="20"/>
        </w:rPr>
        <w:t>data</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ViSOR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accurate,</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provide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fast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efficient</w:t>
      </w:r>
      <w:r>
        <w:rPr>
          <w:rFonts w:ascii="Arial" w:eastAsia="Arial" w:hAnsi="Arial" w:cs="Arial"/>
          <w:sz w:val="20"/>
        </w:rPr>
        <w:t xml:space="preserve"> </w:t>
      </w:r>
      <w:r>
        <w:rPr>
          <w:rFonts w:ascii="Arial" w:hAnsi="Arial" w:cs="Arial"/>
          <w:sz w:val="20"/>
        </w:rPr>
        <w:t>way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providing</w:t>
      </w:r>
      <w:r>
        <w:rPr>
          <w:rFonts w:ascii="Arial" w:eastAsia="Arial" w:hAnsi="Arial" w:cs="Arial"/>
          <w:sz w:val="20"/>
        </w:rPr>
        <w:t xml:space="preserve"> </w:t>
      </w:r>
      <w:r>
        <w:rPr>
          <w:rFonts w:ascii="Arial" w:hAnsi="Arial" w:cs="Arial"/>
          <w:sz w:val="20"/>
        </w:rPr>
        <w:t>much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w:t>
      </w:r>
    </w:p>
    <w:p w14:paraId="198A71CD" w14:textId="77777777" w:rsidR="00F2123B" w:rsidRDefault="00F2123B">
      <w:pPr>
        <w:spacing w:line="280" w:lineRule="atLeast"/>
        <w:rPr>
          <w:rFonts w:ascii="Arial" w:hAnsi="Arial" w:cs="Arial"/>
          <w:sz w:val="20"/>
        </w:rPr>
      </w:pPr>
    </w:p>
    <w:p w14:paraId="198A71CE" w14:textId="77777777" w:rsidR="00F2123B" w:rsidRDefault="00200CFB">
      <w:pPr>
        <w:spacing w:line="280" w:lineRule="atLeast"/>
      </w:pPr>
      <w:r>
        <w:rPr>
          <w:rFonts w:ascii="Arial" w:hAnsi="Arial" w:cs="Arial"/>
          <w:sz w:val="20"/>
        </w:rPr>
        <w:t>31.12</w:t>
      </w:r>
      <w:r>
        <w:rPr>
          <w:rFonts w:ascii="Arial" w:hAnsi="Arial" w:cs="Arial"/>
          <w:sz w:val="20"/>
        </w:rPr>
        <w:tab/>
        <w:t>The</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management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intended</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public</w:t>
      </w:r>
      <w:r>
        <w:rPr>
          <w:rFonts w:ascii="Arial" w:eastAsia="Arial" w:hAnsi="Arial" w:cs="Arial"/>
          <w:sz w:val="20"/>
        </w:rPr>
        <w:t xml:space="preserve"> </w:t>
      </w:r>
      <w:r>
        <w:rPr>
          <w:rFonts w:ascii="Arial" w:hAnsi="Arial" w:cs="Arial"/>
          <w:sz w:val="20"/>
        </w:rPr>
        <w:t>domain,</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exception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used</w:t>
      </w:r>
      <w:r>
        <w:rPr>
          <w:rFonts w:ascii="Arial" w:eastAsia="Arial" w:hAnsi="Arial" w:cs="Arial"/>
          <w:sz w:val="20"/>
        </w:rPr>
        <w:t xml:space="preserve"> </w:t>
      </w:r>
      <w:r>
        <w:rPr>
          <w:rFonts w:ascii="Arial" w:hAnsi="Arial" w:cs="Arial"/>
          <w:sz w:val="20"/>
        </w:rPr>
        <w:t>within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annual</w:t>
      </w:r>
      <w:r>
        <w:rPr>
          <w:rFonts w:ascii="Arial" w:eastAsia="Arial" w:hAnsi="Arial" w:cs="Arial"/>
          <w:sz w:val="20"/>
        </w:rPr>
        <w:t xml:space="preserve"> </w:t>
      </w:r>
      <w:r>
        <w:rPr>
          <w:rFonts w:ascii="Arial" w:hAnsi="Arial" w:cs="Arial"/>
          <w:sz w:val="20"/>
        </w:rPr>
        <w:t>reports.</w:t>
      </w:r>
      <w:r>
        <w:rPr>
          <w:rFonts w:ascii="Arial" w:eastAsia="Arial" w:hAnsi="Arial" w:cs="Arial"/>
          <w:sz w:val="20"/>
        </w:rPr>
        <w:t xml:space="preserve"> Freedom of Information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dealt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owning</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internal</w:t>
      </w:r>
      <w:r>
        <w:rPr>
          <w:rFonts w:ascii="Arial" w:eastAsia="Arial" w:hAnsi="Arial" w:cs="Arial"/>
          <w:sz w:val="20"/>
        </w:rPr>
        <w:t xml:space="preserve"> </w:t>
      </w:r>
      <w:r>
        <w:rPr>
          <w:rFonts w:ascii="Arial" w:hAnsi="Arial" w:cs="Arial"/>
          <w:sz w:val="20"/>
        </w:rPr>
        <w:t>processes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managing</w:t>
      </w:r>
      <w:r>
        <w:rPr>
          <w:rFonts w:ascii="Arial" w:eastAsia="Arial" w:hAnsi="Arial" w:cs="Arial"/>
          <w:sz w:val="20"/>
        </w:rPr>
        <w:t xml:space="preserve"> </w:t>
      </w:r>
      <w:r>
        <w:rPr>
          <w:rFonts w:ascii="Arial" w:hAnsi="Arial" w:cs="Arial"/>
          <w:sz w:val="20"/>
        </w:rPr>
        <w:t>FOI</w:t>
      </w:r>
      <w:r>
        <w:rPr>
          <w:rFonts w:ascii="Arial" w:eastAsia="Arial" w:hAnsi="Arial" w:cs="Arial"/>
          <w:sz w:val="20"/>
        </w:rPr>
        <w:t xml:space="preserve"> </w:t>
      </w:r>
      <w:r>
        <w:rPr>
          <w:rFonts w:ascii="Arial" w:hAnsi="Arial" w:cs="Arial"/>
          <w:sz w:val="20"/>
        </w:rPr>
        <w:t>requests.</w:t>
      </w:r>
      <w:r>
        <w:rPr>
          <w:rFonts w:ascii="Arial" w:eastAsia="Arial" w:hAnsi="Arial" w:cs="Arial"/>
          <w:sz w:val="20"/>
        </w:rPr>
        <w:t xml:space="preserve"> </w:t>
      </w:r>
      <w:r>
        <w:rPr>
          <w:rFonts w:ascii="Arial" w:hAnsi="Arial" w:cs="Arial"/>
          <w:sz w:val="20"/>
        </w:rPr>
        <w:t>However,</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would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good</w:t>
      </w:r>
      <w:r>
        <w:rPr>
          <w:rFonts w:ascii="Arial" w:eastAsia="Arial" w:hAnsi="Arial" w:cs="Arial"/>
          <w:sz w:val="20"/>
        </w:rPr>
        <w:t xml:space="preserve"> </w:t>
      </w:r>
      <w:r>
        <w:rPr>
          <w:rFonts w:ascii="Arial" w:hAnsi="Arial" w:cs="Arial"/>
          <w:sz w:val="20"/>
        </w:rPr>
        <w:t>practice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liaise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partner</w:t>
      </w:r>
      <w:r>
        <w:rPr>
          <w:rFonts w:ascii="Arial" w:eastAsia="Arial" w:hAnsi="Arial" w:cs="Arial"/>
          <w:sz w:val="20"/>
        </w:rPr>
        <w:t xml:space="preserve"> </w:t>
      </w:r>
      <w:r>
        <w:rPr>
          <w:rFonts w:ascii="Arial" w:hAnsi="Arial" w:cs="Arial"/>
          <w:sz w:val="20"/>
        </w:rPr>
        <w:t>Responsible Authority</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central</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team</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relevant</w:t>
      </w:r>
      <w:r>
        <w:rPr>
          <w:rFonts w:ascii="Arial" w:eastAsia="Arial" w:hAnsi="Arial" w:cs="Arial"/>
          <w:sz w:val="20"/>
        </w:rPr>
        <w:t xml:space="preserve"> </w:t>
      </w:r>
      <w:r>
        <w:rPr>
          <w:rFonts w:ascii="Arial" w:hAnsi="Arial" w:cs="Arial"/>
          <w:sz w:val="20"/>
        </w:rPr>
        <w:t>ACPO</w:t>
      </w:r>
      <w:r>
        <w:rPr>
          <w:rFonts w:ascii="Arial" w:eastAsia="Arial" w:hAnsi="Arial" w:cs="Arial"/>
          <w:sz w:val="20"/>
        </w:rPr>
        <w:t xml:space="preserve"> </w:t>
      </w:r>
      <w:r>
        <w:rPr>
          <w:rFonts w:ascii="Arial" w:hAnsi="Arial" w:cs="Arial"/>
          <w:sz w:val="20"/>
        </w:rPr>
        <w:t>lead</w:t>
      </w:r>
      <w:r>
        <w:rPr>
          <w:rFonts w:ascii="Arial" w:eastAsia="Arial" w:hAnsi="Arial" w:cs="Arial"/>
          <w:sz w:val="20"/>
        </w:rPr>
        <w:t xml:space="preserve"> </w:t>
      </w:r>
      <w:r>
        <w:rPr>
          <w:rFonts w:ascii="Arial" w:hAnsi="Arial" w:cs="Arial"/>
          <w:sz w:val="20"/>
        </w:rPr>
        <w:t>before</w:t>
      </w:r>
      <w:r>
        <w:rPr>
          <w:rFonts w:ascii="Arial" w:eastAsia="Arial" w:hAnsi="Arial" w:cs="Arial"/>
          <w:sz w:val="20"/>
        </w:rPr>
        <w:t xml:space="preserve"> </w:t>
      </w:r>
      <w:r>
        <w:rPr>
          <w:rFonts w:ascii="Arial" w:hAnsi="Arial" w:cs="Arial"/>
          <w:sz w:val="20"/>
        </w:rPr>
        <w:t>responding</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request</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might</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national</w:t>
      </w:r>
      <w:r>
        <w:rPr>
          <w:rFonts w:ascii="Arial" w:eastAsia="Arial" w:hAnsi="Arial" w:cs="Arial"/>
          <w:sz w:val="20"/>
        </w:rPr>
        <w:t xml:space="preserve"> </w:t>
      </w:r>
      <w:r>
        <w:rPr>
          <w:rFonts w:ascii="Arial" w:hAnsi="Arial" w:cs="Arial"/>
          <w:sz w:val="20"/>
        </w:rPr>
        <w:t>implications.</w:t>
      </w:r>
    </w:p>
    <w:p w14:paraId="198A71CF" w14:textId="77777777" w:rsidR="00F2123B" w:rsidRDefault="00F2123B">
      <w:pPr>
        <w:spacing w:line="280" w:lineRule="atLeast"/>
        <w:ind w:left="-360"/>
        <w:rPr>
          <w:rFonts w:ascii="Arial" w:hAnsi="Arial" w:cs="Arial"/>
          <w:sz w:val="20"/>
        </w:rPr>
      </w:pPr>
    </w:p>
    <w:p w14:paraId="198A71D0"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Analysis</w:t>
      </w:r>
      <w:r>
        <w:rPr>
          <w:rFonts w:eastAsia="Arial"/>
          <w:sz w:val="28"/>
          <w:szCs w:val="28"/>
        </w:rPr>
        <w:t xml:space="preserve"> </w:t>
      </w:r>
      <w:r>
        <w:rPr>
          <w:sz w:val="28"/>
          <w:szCs w:val="28"/>
        </w:rPr>
        <w:t>of</w:t>
      </w:r>
      <w:r>
        <w:rPr>
          <w:rFonts w:eastAsia="Arial"/>
          <w:sz w:val="28"/>
          <w:szCs w:val="28"/>
        </w:rPr>
        <w:t xml:space="preserve"> </w:t>
      </w:r>
      <w:r>
        <w:rPr>
          <w:sz w:val="28"/>
          <w:szCs w:val="28"/>
        </w:rPr>
        <w:t>qualitative</w:t>
      </w:r>
      <w:r>
        <w:rPr>
          <w:rFonts w:eastAsia="Arial"/>
          <w:sz w:val="28"/>
          <w:szCs w:val="28"/>
        </w:rPr>
        <w:t xml:space="preserve"> </w:t>
      </w:r>
      <w:r>
        <w:rPr>
          <w:sz w:val="28"/>
          <w:szCs w:val="28"/>
        </w:rPr>
        <w:t>data</w:t>
      </w:r>
      <w:r>
        <w:rPr>
          <w:rFonts w:eastAsia="Arial"/>
          <w:sz w:val="28"/>
          <w:szCs w:val="28"/>
        </w:rPr>
        <w:t xml:space="preserve"> </w:t>
      </w:r>
    </w:p>
    <w:p w14:paraId="198A71D1" w14:textId="77777777" w:rsidR="00F2123B" w:rsidRDefault="00F2123B">
      <w:pPr>
        <w:spacing w:line="280" w:lineRule="atLeast"/>
        <w:ind w:left="-360"/>
        <w:rPr>
          <w:rFonts w:ascii="Arial" w:hAnsi="Arial" w:cs="Arial"/>
          <w:sz w:val="20"/>
        </w:rPr>
      </w:pPr>
    </w:p>
    <w:p w14:paraId="198A71D2"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that</w:t>
      </w:r>
      <w:r>
        <w:rPr>
          <w:rFonts w:ascii="Arial" w:eastAsia="Arial" w:hAnsi="Arial" w:cs="Arial"/>
          <w:b/>
        </w:rPr>
        <w:t xml:space="preserve"> </w:t>
      </w:r>
      <w:r>
        <w:rPr>
          <w:rFonts w:ascii="Arial" w:hAnsi="Arial" w:cs="Arial"/>
          <w:b/>
        </w:rPr>
        <w:t>qualitative</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is</w:t>
      </w:r>
      <w:r>
        <w:rPr>
          <w:rFonts w:ascii="Arial" w:eastAsia="Arial" w:hAnsi="Arial" w:cs="Arial"/>
          <w:b/>
        </w:rPr>
        <w:t xml:space="preserve"> </w:t>
      </w:r>
      <w:r>
        <w:rPr>
          <w:rFonts w:ascii="Arial" w:hAnsi="Arial" w:cs="Arial"/>
          <w:b/>
        </w:rPr>
        <w:t>used</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improve</w:t>
      </w:r>
      <w:r>
        <w:rPr>
          <w:rFonts w:ascii="Arial" w:eastAsia="Arial" w:hAnsi="Arial" w:cs="Arial"/>
          <w:b/>
        </w:rPr>
        <w:t xml:space="preserve"> </w:t>
      </w:r>
      <w:r>
        <w:rPr>
          <w:rFonts w:ascii="Arial" w:hAnsi="Arial" w:cs="Arial"/>
          <w:b/>
        </w:rPr>
        <w:t>performance</w:t>
      </w:r>
    </w:p>
    <w:p w14:paraId="198A71D3" w14:textId="77777777" w:rsidR="00F2123B" w:rsidRDefault="00F2123B">
      <w:pPr>
        <w:spacing w:line="280" w:lineRule="atLeast"/>
        <w:rPr>
          <w:rFonts w:ascii="Arial" w:hAnsi="Arial" w:cs="Arial"/>
          <w:sz w:val="20"/>
        </w:rPr>
      </w:pPr>
    </w:p>
    <w:p w14:paraId="198A71D4" w14:textId="77777777" w:rsidR="00F2123B" w:rsidRDefault="00200CFB">
      <w:pPr>
        <w:spacing w:line="280" w:lineRule="atLeast"/>
      </w:pPr>
      <w:r>
        <w:rPr>
          <w:rFonts w:ascii="Arial" w:hAnsi="Arial" w:cs="Arial"/>
          <w:sz w:val="20"/>
        </w:rPr>
        <w:t>31.13</w:t>
      </w:r>
      <w:r>
        <w:rPr>
          <w:rFonts w:ascii="Arial" w:hAnsi="Arial" w:cs="Arial"/>
          <w:sz w:val="20"/>
        </w:rPr>
        <w:tab/>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qualitative</w:t>
      </w:r>
      <w:r>
        <w:rPr>
          <w:rFonts w:ascii="Arial" w:eastAsia="Arial" w:hAnsi="Arial" w:cs="Arial"/>
          <w:sz w:val="20"/>
        </w:rPr>
        <w:t xml:space="preserve"> </w:t>
      </w:r>
      <w:r>
        <w:rPr>
          <w:rFonts w:ascii="Arial" w:hAnsi="Arial" w:cs="Arial"/>
          <w:sz w:val="20"/>
        </w:rPr>
        <w:t>data</w:t>
      </w:r>
      <w:r>
        <w:rPr>
          <w:rFonts w:ascii="Arial" w:eastAsia="Arial" w:hAnsi="Arial" w:cs="Arial"/>
          <w:sz w:val="20"/>
        </w:rPr>
        <w:t xml:space="preserve"> </w:t>
      </w:r>
      <w:r>
        <w:rPr>
          <w:rFonts w:ascii="Arial" w:hAnsi="Arial" w:cs="Arial"/>
          <w:sz w:val="20"/>
        </w:rPr>
        <w:t>gives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more</w:t>
      </w:r>
      <w:r>
        <w:rPr>
          <w:rFonts w:ascii="Arial" w:eastAsia="Arial" w:hAnsi="Arial" w:cs="Arial"/>
          <w:sz w:val="20"/>
        </w:rPr>
        <w:t xml:space="preserve"> </w:t>
      </w:r>
      <w:r>
        <w:rPr>
          <w:rFonts w:ascii="Arial" w:hAnsi="Arial" w:cs="Arial"/>
          <w:sz w:val="20"/>
        </w:rPr>
        <w:t>detailed</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contribute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outcomes.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enables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judgement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made</w:t>
      </w:r>
      <w:r>
        <w:rPr>
          <w:rFonts w:ascii="Arial" w:eastAsia="Arial" w:hAnsi="Arial" w:cs="Arial"/>
          <w:sz w:val="20"/>
        </w:rPr>
        <w:t xml:space="preserve"> </w:t>
      </w:r>
      <w:r>
        <w:rPr>
          <w:rFonts w:ascii="Arial" w:hAnsi="Arial" w:cs="Arial"/>
          <w:sz w:val="20"/>
        </w:rPr>
        <w:t>about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quality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undertaken</w:t>
      </w:r>
      <w:r>
        <w:rPr>
          <w:rFonts w:ascii="Arial" w:eastAsia="Arial" w:hAnsi="Arial" w:cs="Arial"/>
          <w:sz w:val="20"/>
        </w:rPr>
        <w:t xml:space="preserve"> </w:t>
      </w:r>
      <w:r>
        <w:rPr>
          <w:rFonts w:ascii="Arial" w:hAnsi="Arial" w:cs="Arial"/>
          <w:sz w:val="20"/>
        </w:rPr>
        <w:t>individually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collectively</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assessment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contributed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outcome.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points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plans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identified.</w:t>
      </w:r>
      <w:r>
        <w:rPr>
          <w:rFonts w:ascii="Arial" w:eastAsia="Arial" w:hAnsi="Arial" w:cs="Arial"/>
          <w:sz w:val="20"/>
        </w:rPr>
        <w:t xml:space="preserve"> </w:t>
      </w:r>
    </w:p>
    <w:p w14:paraId="198A71D5" w14:textId="77777777" w:rsidR="00F2123B" w:rsidRDefault="00F2123B">
      <w:pPr>
        <w:spacing w:line="280" w:lineRule="atLeast"/>
        <w:rPr>
          <w:rFonts w:ascii="Arial" w:hAnsi="Arial" w:cs="Arial"/>
          <w:sz w:val="20"/>
        </w:rPr>
      </w:pPr>
    </w:p>
    <w:p w14:paraId="198A71D6" w14:textId="77777777" w:rsidR="00F2123B" w:rsidRDefault="00200CFB">
      <w:pPr>
        <w:spacing w:line="280" w:lineRule="atLeast"/>
      </w:pPr>
      <w:r>
        <w:rPr>
          <w:rFonts w:ascii="Arial" w:hAnsi="Arial" w:cs="Arial"/>
          <w:sz w:val="20"/>
        </w:rPr>
        <w:t>31.14</w:t>
      </w:r>
      <w:r>
        <w:rPr>
          <w:rFonts w:ascii="Arial" w:hAnsi="Arial" w:cs="Arial"/>
          <w:sz w:val="20"/>
        </w:rPr>
        <w:tab/>
        <w:t>Qualitative</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sources</w:t>
      </w:r>
      <w:r>
        <w:rPr>
          <w:rFonts w:ascii="Arial" w:eastAsia="Arial" w:hAnsi="Arial" w:cs="Arial"/>
          <w:sz w:val="20"/>
        </w:rPr>
        <w:t xml:space="preserve"> </w:t>
      </w:r>
      <w:r>
        <w:rPr>
          <w:rFonts w:ascii="Arial" w:hAnsi="Arial" w:cs="Arial"/>
          <w:sz w:val="20"/>
        </w:rPr>
        <w:t>include</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observations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considering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learning</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Serious Case Reviews (“SCRs”).</w:t>
      </w:r>
    </w:p>
    <w:p w14:paraId="198A71D7" w14:textId="77777777" w:rsidR="00F2123B" w:rsidRDefault="00F2123B">
      <w:pPr>
        <w:spacing w:line="280" w:lineRule="atLeast"/>
        <w:rPr>
          <w:rFonts w:ascii="Arial" w:hAnsi="Arial" w:cs="Arial"/>
          <w:b/>
          <w:sz w:val="20"/>
        </w:rPr>
      </w:pPr>
    </w:p>
    <w:p w14:paraId="198A71D8" w14:textId="77777777" w:rsidR="00F2123B" w:rsidRDefault="00200CFB">
      <w:pPr>
        <w:spacing w:line="280" w:lineRule="atLeast"/>
      </w:pPr>
      <w:r>
        <w:rPr>
          <w:rFonts w:ascii="Arial" w:hAnsi="Arial" w:cs="Arial"/>
          <w:b/>
        </w:rPr>
        <w:t>Case</w:t>
      </w:r>
      <w:r>
        <w:rPr>
          <w:rFonts w:ascii="Arial" w:eastAsia="Arial" w:hAnsi="Arial" w:cs="Arial"/>
          <w:b/>
        </w:rPr>
        <w:t xml:space="preserve"> </w:t>
      </w:r>
      <w:r>
        <w:rPr>
          <w:rFonts w:ascii="Arial" w:hAnsi="Arial" w:cs="Arial"/>
          <w:b/>
        </w:rPr>
        <w:t>Audits</w:t>
      </w:r>
    </w:p>
    <w:p w14:paraId="198A71D9" w14:textId="7246C25B" w:rsidR="00F2123B" w:rsidRDefault="00200CFB">
      <w:pPr>
        <w:spacing w:line="280" w:lineRule="atLeast"/>
      </w:pPr>
      <w:r>
        <w:rPr>
          <w:rFonts w:ascii="Arial" w:hAnsi="Arial" w:cs="Arial"/>
          <w:sz w:val="20"/>
        </w:rPr>
        <w:t>31.15</w:t>
      </w:r>
      <w:r>
        <w:rPr>
          <w:rFonts w:ascii="Arial" w:hAnsi="Arial" w:cs="Arial"/>
          <w:sz w:val="20"/>
        </w:rPr>
        <w:tab/>
        <w:t>An</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sidR="009014C7">
        <w:rPr>
          <w:rFonts w:ascii="Arial" w:hAnsi="Arial" w:cs="Arial"/>
          <w:sz w:val="20"/>
        </w:rPr>
        <w:t>randomly selected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monitoring</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improving</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purpose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audit</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consider</w:t>
      </w:r>
      <w:r>
        <w:rPr>
          <w:rFonts w:ascii="Arial" w:eastAsia="Arial" w:hAnsi="Arial" w:cs="Arial"/>
          <w:sz w:val="20"/>
        </w:rPr>
        <w:t xml:space="preserve"> </w:t>
      </w:r>
      <w:r>
        <w:rPr>
          <w:rFonts w:ascii="Arial" w:hAnsi="Arial" w:cs="Arial"/>
          <w:sz w:val="20"/>
        </w:rPr>
        <w:t>how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operated</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inspect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work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individual</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K</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case</w:t>
      </w:r>
      <w:r>
        <w:rPr>
          <w:rFonts w:ascii="Arial" w:eastAsia="Arial" w:hAnsi="Arial" w:cs="Arial"/>
          <w:sz w:val="20"/>
        </w:rPr>
        <w:t xml:space="preserve"> </w:t>
      </w:r>
      <w:r>
        <w:rPr>
          <w:rFonts w:ascii="Arial" w:hAnsi="Arial" w:cs="Arial"/>
          <w:sz w:val="20"/>
        </w:rPr>
        <w:t>audits.</w:t>
      </w:r>
    </w:p>
    <w:p w14:paraId="198A71DA" w14:textId="77777777" w:rsidR="00F2123B" w:rsidRDefault="00F2123B">
      <w:pPr>
        <w:spacing w:line="280" w:lineRule="atLeast"/>
        <w:rPr>
          <w:rFonts w:ascii="Arial" w:hAnsi="Arial" w:cs="Arial"/>
          <w:b/>
        </w:rPr>
      </w:pPr>
    </w:p>
    <w:p w14:paraId="198A71DB" w14:textId="77777777" w:rsidR="00F2123B" w:rsidRDefault="00200CFB">
      <w:pPr>
        <w:spacing w:line="280" w:lineRule="atLeast"/>
      </w:pPr>
      <w:r>
        <w:rPr>
          <w:rFonts w:ascii="Arial" w:hAnsi="Arial" w:cs="Arial"/>
          <w:b/>
        </w:rPr>
        <w:t>Audit</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level</w:t>
      </w:r>
      <w:r>
        <w:rPr>
          <w:rFonts w:ascii="Arial" w:eastAsia="Arial" w:hAnsi="Arial" w:cs="Arial"/>
          <w:b/>
        </w:rPr>
        <w:t xml:space="preserve"> </w:t>
      </w:r>
      <w:r>
        <w:rPr>
          <w:rFonts w:ascii="Arial" w:hAnsi="Arial" w:cs="Arial"/>
          <w:b/>
        </w:rPr>
        <w:t>2</w:t>
      </w:r>
      <w:r>
        <w:rPr>
          <w:rFonts w:ascii="Arial" w:eastAsia="Arial" w:hAnsi="Arial" w:cs="Arial"/>
          <w:b/>
        </w:rPr>
        <w:t xml:space="preserve"> </w:t>
      </w:r>
      <w:r>
        <w:rPr>
          <w:rFonts w:ascii="Arial" w:hAnsi="Arial" w:cs="Arial"/>
          <w:b/>
        </w:rPr>
        <w:t>and</w:t>
      </w:r>
      <w:r>
        <w:rPr>
          <w:rFonts w:ascii="Arial" w:eastAsia="Arial" w:hAnsi="Arial" w:cs="Arial"/>
          <w:b/>
        </w:rPr>
        <w:t xml:space="preserve"> </w:t>
      </w:r>
      <w:r>
        <w:rPr>
          <w:rFonts w:ascii="Arial" w:hAnsi="Arial" w:cs="Arial"/>
          <w:b/>
        </w:rPr>
        <w:t>3</w:t>
      </w:r>
      <w:r>
        <w:rPr>
          <w:rFonts w:ascii="Arial" w:eastAsia="Arial" w:hAnsi="Arial" w:cs="Arial"/>
          <w:b/>
        </w:rPr>
        <w:t xml:space="preserve"> </w:t>
      </w:r>
      <w:r>
        <w:rPr>
          <w:rFonts w:ascii="Arial" w:hAnsi="Arial" w:cs="Arial"/>
          <w:b/>
        </w:rPr>
        <w:t>MAPP meetings</w:t>
      </w:r>
    </w:p>
    <w:p w14:paraId="198A71DC" w14:textId="77777777" w:rsidR="00F2123B" w:rsidRDefault="00200CFB">
      <w:pPr>
        <w:spacing w:line="280" w:lineRule="atLeast"/>
      </w:pPr>
      <w:r>
        <w:rPr>
          <w:rFonts w:ascii="Arial" w:hAnsi="Arial" w:cs="Arial"/>
          <w:sz w:val="20"/>
        </w:rPr>
        <w:t>31.16</w:t>
      </w:r>
      <w:r>
        <w:rPr>
          <w:rFonts w:ascii="Arial" w:hAnsi="Arial" w:cs="Arial"/>
          <w:sz w:val="20"/>
        </w:rPr>
        <w:tab/>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effectively</w:t>
      </w:r>
      <w:r>
        <w:rPr>
          <w:rFonts w:ascii="Arial" w:eastAsia="Arial" w:hAnsi="Arial" w:cs="Arial"/>
          <w:sz w:val="20"/>
        </w:rPr>
        <w:t xml:space="preserve"> </w:t>
      </w:r>
      <w:r>
        <w:rPr>
          <w:rFonts w:ascii="Arial" w:hAnsi="Arial" w:cs="Arial"/>
          <w:sz w:val="20"/>
        </w:rPr>
        <w:t>managed,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put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support</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Chairs</w:t>
      </w:r>
      <w:r>
        <w:rPr>
          <w:rFonts w:ascii="Arial" w:eastAsia="Arial" w:hAnsi="Arial" w:cs="Arial"/>
          <w:sz w:val="20"/>
        </w:rPr>
        <w:t xml:space="preserve"> </w:t>
      </w:r>
      <w:r>
        <w:rPr>
          <w:rFonts w:ascii="Arial" w:hAnsi="Arial" w:cs="Arial"/>
          <w:sz w:val="20"/>
        </w:rPr>
        <w:t>through</w:t>
      </w:r>
      <w:r>
        <w:rPr>
          <w:rFonts w:ascii="Arial" w:eastAsia="Arial" w:hAnsi="Arial" w:cs="Arial"/>
          <w:sz w:val="20"/>
        </w:rPr>
        <w:t xml:space="preserve"> </w:t>
      </w:r>
      <w:r>
        <w:rPr>
          <w:rFonts w:ascii="Arial" w:hAnsi="Arial" w:cs="Arial"/>
          <w:sz w:val="20"/>
        </w:rPr>
        <w:t>feedback</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their</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conduct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done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quarterly.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document</w:t>
      </w:r>
      <w:r>
        <w:rPr>
          <w:rFonts w:ascii="Arial" w:eastAsia="Arial" w:hAnsi="Arial" w:cs="Arial"/>
          <w:sz w:val="20"/>
        </w:rPr>
        <w:t xml:space="preserve"> </w:t>
      </w:r>
      <w:r>
        <w:rPr>
          <w:rFonts w:ascii="Arial" w:hAnsi="Arial" w:cs="Arial"/>
          <w:b/>
          <w:sz w:val="20"/>
        </w:rPr>
        <w:t>MAPPA</w:t>
      </w:r>
      <w:r>
        <w:rPr>
          <w:rFonts w:ascii="Arial" w:eastAsia="Arial" w:hAnsi="Arial" w:cs="Arial"/>
          <w:b/>
          <w:sz w:val="20"/>
        </w:rPr>
        <w:t xml:space="preserve"> </w:t>
      </w:r>
      <w:r>
        <w:rPr>
          <w:rFonts w:ascii="Arial" w:hAnsi="Arial" w:cs="Arial"/>
          <w:b/>
          <w:sz w:val="20"/>
        </w:rPr>
        <w:t>L</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assist</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audits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 meetings.</w:t>
      </w:r>
    </w:p>
    <w:p w14:paraId="198A71DD" w14:textId="77777777" w:rsidR="00F2123B" w:rsidRDefault="00F2123B">
      <w:pPr>
        <w:spacing w:line="280" w:lineRule="atLeast"/>
        <w:rPr>
          <w:rFonts w:ascii="Arial" w:hAnsi="Arial" w:cs="Arial"/>
          <w:sz w:val="20"/>
        </w:rPr>
      </w:pPr>
    </w:p>
    <w:p w14:paraId="198A71DE" w14:textId="77777777" w:rsidR="00F2123B" w:rsidRDefault="00200CFB">
      <w:pPr>
        <w:spacing w:line="280" w:lineRule="atLeast"/>
      </w:pPr>
      <w:r>
        <w:rPr>
          <w:rFonts w:ascii="Arial" w:hAnsi="Arial" w:cs="Arial"/>
          <w:b/>
        </w:rPr>
        <w:t>MAPPA</w:t>
      </w:r>
      <w:r>
        <w:rPr>
          <w:rFonts w:ascii="Arial" w:eastAsia="Arial" w:hAnsi="Arial" w:cs="Arial"/>
          <w:b/>
        </w:rPr>
        <w:t xml:space="preserve"> </w:t>
      </w:r>
      <w:r>
        <w:rPr>
          <w:rFonts w:ascii="Arial" w:hAnsi="Arial" w:cs="Arial"/>
          <w:b/>
        </w:rPr>
        <w:t>Serious</w:t>
      </w:r>
      <w:r>
        <w:rPr>
          <w:rFonts w:ascii="Arial" w:eastAsia="Arial" w:hAnsi="Arial" w:cs="Arial"/>
          <w:b/>
        </w:rPr>
        <w:t xml:space="preserve"> </w:t>
      </w:r>
      <w:r>
        <w:rPr>
          <w:rFonts w:ascii="Arial" w:hAnsi="Arial" w:cs="Arial"/>
          <w:b/>
        </w:rPr>
        <w:t>Case</w:t>
      </w:r>
      <w:r>
        <w:rPr>
          <w:rFonts w:ascii="Arial" w:eastAsia="Arial" w:hAnsi="Arial" w:cs="Arial"/>
          <w:b/>
        </w:rPr>
        <w:t xml:space="preserve"> </w:t>
      </w:r>
      <w:r>
        <w:rPr>
          <w:rFonts w:ascii="Arial" w:hAnsi="Arial" w:cs="Arial"/>
          <w:b/>
        </w:rPr>
        <w:t>Review</w:t>
      </w:r>
    </w:p>
    <w:p w14:paraId="198A71DF" w14:textId="77777777" w:rsidR="00F2123B" w:rsidRDefault="00200CFB">
      <w:pPr>
        <w:spacing w:line="280" w:lineRule="atLeast"/>
      </w:pPr>
      <w:r>
        <w:rPr>
          <w:rFonts w:ascii="Arial" w:hAnsi="Arial" w:cs="Arial"/>
          <w:sz w:val="20"/>
        </w:rPr>
        <w:t>31.17</w:t>
      </w:r>
      <w:r>
        <w:rPr>
          <w:rFonts w:ascii="Arial" w:hAnsi="Arial" w:cs="Arial"/>
          <w:sz w:val="20"/>
        </w:rPr>
        <w:tab/>
        <w:t>Where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commits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offence</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triggers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instigate</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using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SCR</w:t>
      </w:r>
      <w:r>
        <w:rPr>
          <w:rFonts w:ascii="Arial" w:eastAsia="Arial" w:hAnsi="Arial" w:cs="Arial"/>
          <w:sz w:val="20"/>
        </w:rPr>
        <w:t xml:space="preserve"> </w:t>
      </w:r>
      <w:r>
        <w:rPr>
          <w:rFonts w:ascii="Arial" w:hAnsi="Arial" w:cs="Arial"/>
          <w:sz w:val="20"/>
        </w:rPr>
        <w:t>process.</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review</w:t>
      </w:r>
      <w:r>
        <w:rPr>
          <w:rFonts w:ascii="Arial" w:eastAsia="Arial" w:hAnsi="Arial" w:cs="Arial"/>
          <w:sz w:val="20"/>
        </w:rPr>
        <w:t xml:space="preserve"> </w:t>
      </w:r>
      <w:r>
        <w:rPr>
          <w:rFonts w:ascii="Arial" w:hAnsi="Arial" w:cs="Arial"/>
          <w:sz w:val="20"/>
        </w:rPr>
        <w:t>has</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must</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discuss</w:t>
      </w:r>
      <w:r>
        <w:rPr>
          <w:rFonts w:ascii="Arial" w:eastAsia="Arial" w:hAnsi="Arial" w:cs="Arial"/>
          <w:sz w:val="20"/>
        </w:rPr>
        <w:t xml:space="preserve"> </w:t>
      </w:r>
      <w:r>
        <w:rPr>
          <w:rFonts w:ascii="Arial" w:hAnsi="Arial" w:cs="Arial"/>
          <w:sz w:val="20"/>
        </w:rPr>
        <w:t>it</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Plan</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implemented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completed.</w:t>
      </w:r>
      <w:r>
        <w:rPr>
          <w:rFonts w:ascii="Arial" w:eastAsia="Arial" w:hAnsi="Arial" w:cs="Arial"/>
          <w:sz w:val="20"/>
        </w:rPr>
        <w:t xml:space="preserve"> </w:t>
      </w:r>
      <w:r>
        <w:rPr>
          <w:rFonts w:ascii="Arial" w:hAnsi="Arial" w:cs="Arial"/>
          <w:sz w:val="20"/>
        </w:rPr>
        <w:t>Lessons</w:t>
      </w:r>
      <w:r>
        <w:rPr>
          <w:rFonts w:ascii="Arial" w:eastAsia="Arial" w:hAnsi="Arial" w:cs="Arial"/>
          <w:sz w:val="20"/>
        </w:rPr>
        <w:t xml:space="preserve"> </w:t>
      </w:r>
      <w:r>
        <w:rPr>
          <w:rFonts w:ascii="Arial" w:hAnsi="Arial" w:cs="Arial"/>
          <w:sz w:val="20"/>
        </w:rPr>
        <w:t>learned</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identifying</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improvement.</w:t>
      </w:r>
    </w:p>
    <w:p w14:paraId="198A71E0" w14:textId="77777777" w:rsidR="00F2123B" w:rsidRDefault="00F2123B">
      <w:pPr>
        <w:spacing w:line="280" w:lineRule="atLeast"/>
        <w:rPr>
          <w:rFonts w:ascii="Arial" w:hAnsi="Arial" w:cs="Arial"/>
          <w:sz w:val="20"/>
        </w:rPr>
      </w:pPr>
    </w:p>
    <w:p w14:paraId="198A71E1" w14:textId="77777777" w:rsidR="00F2123B" w:rsidRDefault="00200CFB">
      <w:pPr>
        <w:spacing w:line="280" w:lineRule="atLeast"/>
      </w:pPr>
      <w:r>
        <w:rPr>
          <w:rFonts w:ascii="Arial" w:hAnsi="Arial" w:cs="Arial"/>
          <w:b/>
        </w:rPr>
        <w:t>Review</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Complaints</w:t>
      </w:r>
    </w:p>
    <w:p w14:paraId="198A71E2" w14:textId="77777777" w:rsidR="00F2123B" w:rsidRDefault="00200CFB">
      <w:pPr>
        <w:spacing w:line="280" w:lineRule="atLeast"/>
      </w:pPr>
      <w:r>
        <w:rPr>
          <w:rFonts w:ascii="Arial" w:hAnsi="Arial" w:cs="Arial"/>
          <w:sz w:val="20"/>
        </w:rPr>
        <w:t>31.18</w:t>
      </w:r>
      <w:r>
        <w:rPr>
          <w:rFonts w:ascii="Arial" w:hAnsi="Arial" w:cs="Arial"/>
          <w:sz w:val="20"/>
        </w:rPr>
        <w:tab/>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Co-ordinator</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report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all</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findings</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particularly</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affect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operational</w:t>
      </w:r>
      <w:r>
        <w:rPr>
          <w:rFonts w:ascii="Arial" w:eastAsia="Arial" w:hAnsi="Arial" w:cs="Arial"/>
          <w:sz w:val="20"/>
        </w:rPr>
        <w:t xml:space="preserve"> </w:t>
      </w:r>
      <w:r>
        <w:rPr>
          <w:rFonts w:ascii="Arial" w:hAnsi="Arial" w:cs="Arial"/>
          <w:sz w:val="20"/>
        </w:rPr>
        <w:t>working</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should</w:t>
      </w:r>
      <w:r>
        <w:rPr>
          <w:rFonts w:ascii="Arial" w:eastAsia="Arial" w:hAnsi="Arial" w:cs="Arial"/>
          <w:sz w:val="20"/>
        </w:rPr>
        <w:t xml:space="preserve"> </w:t>
      </w:r>
      <w:r>
        <w:rPr>
          <w:rFonts w:ascii="Arial" w:hAnsi="Arial" w:cs="Arial"/>
          <w:sz w:val="20"/>
        </w:rPr>
        <w:t>monitor</w:t>
      </w:r>
      <w:r>
        <w:rPr>
          <w:rFonts w:ascii="Arial" w:eastAsia="Arial" w:hAnsi="Arial" w:cs="Arial"/>
          <w:sz w:val="20"/>
        </w:rPr>
        <w:t xml:space="preserve"> </w:t>
      </w:r>
      <w:r>
        <w:rPr>
          <w:rFonts w:ascii="Arial" w:hAnsi="Arial" w:cs="Arial"/>
          <w:sz w:val="20"/>
        </w:rPr>
        <w:t>complaints</w:t>
      </w:r>
      <w:r>
        <w:rPr>
          <w:rFonts w:ascii="Arial" w:eastAsia="Arial" w:hAnsi="Arial" w:cs="Arial"/>
          <w:sz w:val="20"/>
        </w:rPr>
        <w:t xml:space="preserve"> </w:t>
      </w:r>
      <w:r>
        <w:rPr>
          <w:rFonts w:ascii="Arial" w:hAnsi="Arial" w:cs="Arial"/>
          <w:sz w:val="20"/>
        </w:rPr>
        <w:t>received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any</w:t>
      </w:r>
      <w:r>
        <w:rPr>
          <w:rFonts w:ascii="Arial" w:eastAsia="Arial" w:hAnsi="Arial" w:cs="Arial"/>
          <w:sz w:val="20"/>
        </w:rPr>
        <w:t xml:space="preserve"> </w:t>
      </w:r>
      <w:r>
        <w:rPr>
          <w:rFonts w:ascii="Arial" w:hAnsi="Arial" w:cs="Arial"/>
          <w:sz w:val="20"/>
        </w:rPr>
        <w:t>agreed</w:t>
      </w:r>
      <w:r>
        <w:rPr>
          <w:rFonts w:ascii="Arial" w:eastAsia="Arial" w:hAnsi="Arial" w:cs="Arial"/>
          <w:sz w:val="20"/>
        </w:rPr>
        <w:t xml:space="preserve"> </w:t>
      </w:r>
      <w:r>
        <w:rPr>
          <w:rFonts w:ascii="Arial" w:hAnsi="Arial" w:cs="Arial"/>
          <w:sz w:val="20"/>
        </w:rPr>
        <w:t>actions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taken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avoid</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repetition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such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situation</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future.</w:t>
      </w:r>
    </w:p>
    <w:p w14:paraId="198A71E3" w14:textId="77777777" w:rsidR="00F2123B" w:rsidRDefault="00F2123B">
      <w:pPr>
        <w:spacing w:line="280" w:lineRule="atLeast"/>
        <w:rPr>
          <w:rFonts w:ascii="Arial" w:hAnsi="Arial" w:cs="Arial"/>
          <w:sz w:val="20"/>
        </w:rPr>
      </w:pPr>
    </w:p>
    <w:p w14:paraId="198A71E4" w14:textId="77777777" w:rsidR="00F2123B" w:rsidRDefault="00200CFB">
      <w:pPr>
        <w:pStyle w:val="Heading2"/>
        <w:pBdr>
          <w:top w:val="single" w:sz="4" w:space="5" w:color="000000"/>
          <w:left w:val="single" w:sz="4" w:space="5" w:color="000000"/>
          <w:bottom w:val="single" w:sz="4" w:space="5" w:color="000000"/>
          <w:right w:val="single" w:sz="4" w:space="5" w:color="000000"/>
        </w:pBdr>
        <w:shd w:val="clear" w:color="auto" w:fill="B3B3B3"/>
        <w:spacing w:line="280" w:lineRule="atLeast"/>
        <w:jc w:val="left"/>
      </w:pPr>
      <w:r>
        <w:rPr>
          <w:sz w:val="28"/>
          <w:szCs w:val="28"/>
        </w:rPr>
        <w:t>MAPPA</w:t>
      </w:r>
      <w:r>
        <w:rPr>
          <w:rFonts w:eastAsia="Arial"/>
          <w:sz w:val="28"/>
          <w:szCs w:val="28"/>
        </w:rPr>
        <w:t xml:space="preserve"> </w:t>
      </w:r>
      <w:r>
        <w:rPr>
          <w:sz w:val="28"/>
          <w:szCs w:val="28"/>
        </w:rPr>
        <w:t>Key Performance Indicators</w:t>
      </w:r>
    </w:p>
    <w:p w14:paraId="198A71E5" w14:textId="77777777" w:rsidR="00F2123B" w:rsidRDefault="00F2123B">
      <w:pPr>
        <w:spacing w:line="280" w:lineRule="atLeast"/>
        <w:rPr>
          <w:rFonts w:ascii="Arial" w:hAnsi="Arial" w:cs="Arial"/>
          <w:sz w:val="20"/>
        </w:rPr>
      </w:pPr>
    </w:p>
    <w:p w14:paraId="198A71E6"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must</w:t>
      </w:r>
      <w:r>
        <w:rPr>
          <w:rFonts w:ascii="Arial" w:eastAsia="Arial" w:hAnsi="Arial" w:cs="Arial"/>
          <w:b/>
        </w:rPr>
        <w:t xml:space="preserve"> </w:t>
      </w:r>
      <w:r>
        <w:rPr>
          <w:rFonts w:ascii="Arial" w:hAnsi="Arial" w:cs="Arial"/>
          <w:b/>
        </w:rPr>
        <w:t>collect</w:t>
      </w:r>
      <w:r>
        <w:rPr>
          <w:rFonts w:ascii="Arial" w:eastAsia="Arial" w:hAnsi="Arial" w:cs="Arial"/>
          <w:b/>
        </w:rPr>
        <w:t xml:space="preserve"> </w:t>
      </w:r>
      <w:r>
        <w:rPr>
          <w:rFonts w:ascii="Arial" w:hAnsi="Arial" w:cs="Arial"/>
          <w:b/>
        </w:rPr>
        <w:t>data</w:t>
      </w:r>
      <w:r>
        <w:rPr>
          <w:rFonts w:ascii="Arial" w:eastAsia="Arial" w:hAnsi="Arial" w:cs="Arial"/>
          <w:b/>
        </w:rPr>
        <w:t xml:space="preserve"> </w:t>
      </w:r>
      <w:r>
        <w:rPr>
          <w:rFonts w:ascii="Arial" w:hAnsi="Arial" w:cs="Arial"/>
          <w:b/>
        </w:rPr>
        <w:t>to</w:t>
      </w:r>
      <w:r>
        <w:rPr>
          <w:rFonts w:ascii="Arial" w:eastAsia="Arial" w:hAnsi="Arial" w:cs="Arial"/>
          <w:b/>
        </w:rPr>
        <w:t xml:space="preserve"> </w:t>
      </w:r>
      <w:r>
        <w:rPr>
          <w:rFonts w:ascii="Arial" w:hAnsi="Arial" w:cs="Arial"/>
          <w:b/>
        </w:rPr>
        <w:t>demonstrate</w:t>
      </w:r>
      <w:r>
        <w:rPr>
          <w:rFonts w:ascii="Arial" w:eastAsia="Arial" w:hAnsi="Arial" w:cs="Arial"/>
          <w:b/>
        </w:rPr>
        <w:t xml:space="preserve"> </w:t>
      </w:r>
      <w:r>
        <w:rPr>
          <w:rFonts w:ascii="Arial" w:hAnsi="Arial" w:cs="Arial"/>
          <w:b/>
        </w:rPr>
        <w:t>their</w:t>
      </w:r>
      <w:r>
        <w:rPr>
          <w:rFonts w:ascii="Arial" w:eastAsia="Arial" w:hAnsi="Arial" w:cs="Arial"/>
          <w:b/>
        </w:rPr>
        <w:t xml:space="preserve"> </w:t>
      </w:r>
      <w:r>
        <w:rPr>
          <w:rFonts w:ascii="Arial" w:hAnsi="Arial" w:cs="Arial"/>
          <w:b/>
        </w:rPr>
        <w:t>compliance</w:t>
      </w:r>
      <w:r>
        <w:rPr>
          <w:rFonts w:ascii="Arial" w:eastAsia="Arial" w:hAnsi="Arial" w:cs="Arial"/>
          <w:b/>
        </w:rPr>
        <w:t xml:space="preserve"> </w:t>
      </w:r>
      <w:r>
        <w:rPr>
          <w:rFonts w:ascii="Arial" w:hAnsi="Arial" w:cs="Arial"/>
          <w:b/>
        </w:rPr>
        <w:t>with</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MAPPA</w:t>
      </w:r>
      <w:r>
        <w:rPr>
          <w:rFonts w:ascii="Arial" w:eastAsia="Arial" w:hAnsi="Arial" w:cs="Arial"/>
          <w:b/>
        </w:rPr>
        <w:t xml:space="preserve"> </w:t>
      </w:r>
      <w:r>
        <w:rPr>
          <w:rFonts w:ascii="Arial" w:hAnsi="Arial" w:cs="Arial"/>
          <w:b/>
        </w:rPr>
        <w:t>KPIs</w:t>
      </w:r>
    </w:p>
    <w:p w14:paraId="198A71E7" w14:textId="77777777" w:rsidR="00F2123B" w:rsidRDefault="00F2123B">
      <w:pPr>
        <w:rPr>
          <w:rFonts w:ascii="Arial" w:hAnsi="Arial" w:cs="Arial"/>
        </w:rPr>
      </w:pPr>
    </w:p>
    <w:p w14:paraId="198A71E8" w14:textId="77777777" w:rsidR="00F2123B" w:rsidRDefault="00200CFB">
      <w:pPr>
        <w:pBdr>
          <w:top w:val="single" w:sz="4" w:space="5" w:color="000000"/>
          <w:left w:val="single" w:sz="4" w:space="5" w:color="000000"/>
          <w:bottom w:val="single" w:sz="4" w:space="5" w:color="000000"/>
          <w:right w:val="single" w:sz="4" w:space="5" w:color="000000"/>
        </w:pBdr>
        <w:spacing w:line="280" w:lineRule="atLeast"/>
      </w:pPr>
      <w:r>
        <w:rPr>
          <w:rFonts w:ascii="Arial" w:hAnsi="Arial" w:cs="Arial"/>
          <w:b/>
        </w:rPr>
        <w:t>Standard:</w:t>
      </w:r>
      <w:r>
        <w:rPr>
          <w:rFonts w:ascii="Arial" w:eastAsia="Arial" w:hAnsi="Arial" w:cs="Arial"/>
          <w:b/>
        </w:rPr>
        <w:t xml:space="preserve"> </w:t>
      </w:r>
      <w:r>
        <w:rPr>
          <w:rFonts w:ascii="Arial" w:hAnsi="Arial" w:cs="Arial"/>
          <w:b/>
        </w:rPr>
        <w:t>SMBs</w:t>
      </w:r>
      <w:r>
        <w:rPr>
          <w:rFonts w:ascii="Arial" w:eastAsia="Arial" w:hAnsi="Arial" w:cs="Arial"/>
          <w:b/>
        </w:rPr>
        <w:t xml:space="preserve"> </w:t>
      </w:r>
      <w:r>
        <w:rPr>
          <w:rFonts w:ascii="Arial" w:hAnsi="Arial" w:cs="Arial"/>
          <w:b/>
        </w:rPr>
        <w:t>should</w:t>
      </w:r>
      <w:r>
        <w:rPr>
          <w:rFonts w:ascii="Arial" w:eastAsia="Arial" w:hAnsi="Arial" w:cs="Arial"/>
          <w:b/>
        </w:rPr>
        <w:t xml:space="preserve"> </w:t>
      </w:r>
      <w:r>
        <w:rPr>
          <w:rFonts w:ascii="Arial" w:hAnsi="Arial" w:cs="Arial"/>
          <w:b/>
        </w:rPr>
        <w:t>ensure</w:t>
      </w:r>
      <w:r>
        <w:rPr>
          <w:rFonts w:ascii="Arial" w:eastAsia="Arial" w:hAnsi="Arial" w:cs="Arial"/>
          <w:b/>
        </w:rPr>
        <w:t xml:space="preserve"> </w:t>
      </w:r>
      <w:r>
        <w:rPr>
          <w:rFonts w:ascii="Arial" w:hAnsi="Arial" w:cs="Arial"/>
          <w:b/>
        </w:rPr>
        <w:t>the</w:t>
      </w:r>
      <w:r>
        <w:rPr>
          <w:rFonts w:ascii="Arial" w:eastAsia="Arial" w:hAnsi="Arial" w:cs="Arial"/>
          <w:b/>
        </w:rPr>
        <w:t xml:space="preserve"> </w:t>
      </w:r>
      <w:r>
        <w:rPr>
          <w:rFonts w:ascii="Arial" w:hAnsi="Arial" w:cs="Arial"/>
          <w:b/>
        </w:rPr>
        <w:t>regular</w:t>
      </w:r>
      <w:r>
        <w:rPr>
          <w:rFonts w:ascii="Arial" w:eastAsia="Arial" w:hAnsi="Arial" w:cs="Arial"/>
          <w:b/>
        </w:rPr>
        <w:t xml:space="preserve"> </w:t>
      </w:r>
      <w:r>
        <w:rPr>
          <w:rFonts w:ascii="Arial" w:hAnsi="Arial" w:cs="Arial"/>
          <w:b/>
        </w:rPr>
        <w:t>analysis</w:t>
      </w:r>
      <w:r>
        <w:rPr>
          <w:rFonts w:ascii="Arial" w:eastAsia="Arial" w:hAnsi="Arial" w:cs="Arial"/>
          <w:b/>
        </w:rPr>
        <w:t xml:space="preserve"> </w:t>
      </w:r>
      <w:r>
        <w:rPr>
          <w:rFonts w:ascii="Arial" w:hAnsi="Arial" w:cs="Arial"/>
          <w:b/>
        </w:rPr>
        <w:t>of</w:t>
      </w:r>
      <w:r>
        <w:rPr>
          <w:rFonts w:ascii="Arial" w:eastAsia="Arial" w:hAnsi="Arial" w:cs="Arial"/>
          <w:b/>
        </w:rPr>
        <w:t xml:space="preserve"> </w:t>
      </w:r>
      <w:r>
        <w:rPr>
          <w:rFonts w:ascii="Arial" w:hAnsi="Arial" w:cs="Arial"/>
          <w:b/>
        </w:rPr>
        <w:t>KPIs</w:t>
      </w:r>
      <w:r>
        <w:rPr>
          <w:rFonts w:ascii="Arial" w:eastAsia="Arial" w:hAnsi="Arial" w:cs="Arial"/>
          <w:b/>
        </w:rPr>
        <w:t xml:space="preserve"> </w:t>
      </w:r>
    </w:p>
    <w:p w14:paraId="198A71E9" w14:textId="77777777" w:rsidR="00F2123B" w:rsidRDefault="00F2123B">
      <w:pPr>
        <w:spacing w:line="280" w:lineRule="atLeast"/>
        <w:rPr>
          <w:rFonts w:ascii="Arial" w:hAnsi="Arial" w:cs="Arial"/>
          <w:b/>
          <w:sz w:val="20"/>
        </w:rPr>
      </w:pPr>
    </w:p>
    <w:p w14:paraId="198A71EA" w14:textId="77777777" w:rsidR="00F2123B" w:rsidRDefault="00200CFB">
      <w:pPr>
        <w:spacing w:line="280" w:lineRule="atLeast"/>
      </w:pPr>
      <w:r>
        <w:rPr>
          <w:rFonts w:ascii="Arial" w:hAnsi="Arial" w:cs="Arial"/>
          <w:sz w:val="20"/>
        </w:rPr>
        <w:t>31.19</w:t>
      </w:r>
      <w:r>
        <w:rPr>
          <w:rFonts w:ascii="Arial" w:hAnsi="Arial" w:cs="Arial"/>
          <w:sz w:val="20"/>
        </w:rPr>
        <w:tab/>
        <w:t>Although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measure</w:t>
      </w:r>
      <w:r>
        <w:rPr>
          <w:rFonts w:ascii="Arial" w:eastAsia="Arial" w:hAnsi="Arial" w:cs="Arial"/>
          <w:sz w:val="20"/>
        </w:rPr>
        <w:t xml:space="preserve"> </w:t>
      </w:r>
      <w:r>
        <w:rPr>
          <w:rFonts w:ascii="Arial" w:hAnsi="Arial" w:cs="Arial"/>
          <w:sz w:val="20"/>
        </w:rPr>
        <w:t>inputs</w:t>
      </w:r>
      <w:r>
        <w:rPr>
          <w:rFonts w:ascii="Arial" w:eastAsia="Arial" w:hAnsi="Arial" w:cs="Arial"/>
          <w:sz w:val="20"/>
        </w:rPr>
        <w:t xml:space="preserve"> </w:t>
      </w:r>
      <w:r>
        <w:rPr>
          <w:rFonts w:ascii="Arial" w:hAnsi="Arial" w:cs="Arial"/>
          <w:sz w:val="20"/>
        </w:rPr>
        <w:t>rather</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outputs,</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designed</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ensure</w:t>
      </w:r>
      <w:r>
        <w:rPr>
          <w:rFonts w:ascii="Arial" w:eastAsia="Arial" w:hAnsi="Arial" w:cs="Arial"/>
          <w:sz w:val="20"/>
        </w:rPr>
        <w:t xml:space="preserve"> </w:t>
      </w:r>
      <w:r>
        <w:rPr>
          <w:rFonts w:ascii="Arial" w:hAnsi="Arial" w:cs="Arial"/>
          <w:sz w:val="20"/>
        </w:rPr>
        <w:t>that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critical</w:t>
      </w:r>
      <w:r>
        <w:rPr>
          <w:rFonts w:ascii="Arial" w:eastAsia="Arial" w:hAnsi="Arial" w:cs="Arial"/>
          <w:sz w:val="20"/>
        </w:rPr>
        <w:t xml:space="preserve"> </w:t>
      </w:r>
      <w:r>
        <w:rPr>
          <w:rFonts w:ascii="Arial" w:hAnsi="Arial" w:cs="Arial"/>
          <w:sz w:val="20"/>
        </w:rPr>
        <w:t>pre-conditions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effective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people,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meet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right</w:t>
      </w:r>
      <w:r>
        <w:rPr>
          <w:rFonts w:ascii="Arial" w:eastAsia="Arial" w:hAnsi="Arial" w:cs="Arial"/>
          <w:sz w:val="20"/>
        </w:rPr>
        <w:t xml:space="preserve"> </w:t>
      </w:r>
      <w:r>
        <w:rPr>
          <w:rFonts w:ascii="Arial" w:hAnsi="Arial" w:cs="Arial"/>
          <w:sz w:val="20"/>
        </w:rPr>
        <w:t>frequency).</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these</w:t>
      </w:r>
      <w:r>
        <w:rPr>
          <w:rFonts w:ascii="Arial" w:eastAsia="Arial" w:hAnsi="Arial" w:cs="Arial"/>
          <w:sz w:val="20"/>
        </w:rPr>
        <w:t xml:space="preserve"> </w:t>
      </w:r>
      <w:r>
        <w:rPr>
          <w:rFonts w:ascii="Arial" w:hAnsi="Arial" w:cs="Arial"/>
          <w:sz w:val="20"/>
        </w:rPr>
        <w:t>things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place,</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operations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unlikely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effective.</w:t>
      </w:r>
    </w:p>
    <w:p w14:paraId="198A71EB" w14:textId="77777777" w:rsidR="00F2123B" w:rsidRDefault="00F2123B">
      <w:pPr>
        <w:spacing w:line="280" w:lineRule="atLeast"/>
        <w:rPr>
          <w:rFonts w:ascii="Arial" w:hAnsi="Arial" w:cs="Arial"/>
          <w:sz w:val="20"/>
        </w:rPr>
      </w:pPr>
    </w:p>
    <w:p w14:paraId="198A71EC" w14:textId="77777777" w:rsidR="00F2123B" w:rsidRDefault="00200CFB">
      <w:pPr>
        <w:spacing w:line="280" w:lineRule="atLeast"/>
      </w:pPr>
      <w:r>
        <w:rPr>
          <w:rFonts w:ascii="Arial" w:hAnsi="Arial" w:cs="Arial"/>
          <w:sz w:val="20"/>
        </w:rPr>
        <w:t>31.20</w:t>
      </w:r>
      <w:r>
        <w:rPr>
          <w:rFonts w:ascii="Arial" w:hAnsi="Arial" w:cs="Arial"/>
          <w:sz w:val="20"/>
        </w:rPr>
        <w:tab/>
        <w:t>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measured</w:t>
      </w:r>
      <w:r>
        <w:rPr>
          <w:rFonts w:ascii="Arial" w:eastAsia="Arial" w:hAnsi="Arial" w:cs="Arial"/>
          <w:sz w:val="20"/>
        </w:rPr>
        <w:t xml:space="preserve"> </w:t>
      </w:r>
      <w:r>
        <w:rPr>
          <w:rFonts w:ascii="Arial" w:hAnsi="Arial" w:cs="Arial"/>
          <w:sz w:val="20"/>
        </w:rPr>
        <w:t>electronically</w:t>
      </w:r>
      <w:r>
        <w:rPr>
          <w:rFonts w:ascii="Arial" w:eastAsia="Arial" w:hAnsi="Arial" w:cs="Arial"/>
          <w:sz w:val="20"/>
        </w:rPr>
        <w:t xml:space="preserve"> </w:t>
      </w:r>
      <w:r>
        <w:rPr>
          <w:rFonts w:ascii="Arial" w:hAnsi="Arial" w:cs="Arial"/>
          <w:sz w:val="20"/>
        </w:rPr>
        <w:t>via</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existing</w:t>
      </w:r>
      <w:r>
        <w:rPr>
          <w:rFonts w:ascii="Arial" w:eastAsia="Arial" w:hAnsi="Arial" w:cs="Arial"/>
          <w:sz w:val="20"/>
        </w:rPr>
        <w:t xml:space="preserve"> </w:t>
      </w:r>
      <w:r>
        <w:rPr>
          <w:rFonts w:ascii="Arial" w:hAnsi="Arial" w:cs="Arial"/>
          <w:sz w:val="20"/>
        </w:rPr>
        <w:t>NOMS</w:t>
      </w:r>
      <w:r>
        <w:rPr>
          <w:rFonts w:ascii="Arial" w:eastAsia="Arial" w:hAnsi="Arial" w:cs="Arial"/>
          <w:sz w:val="20"/>
        </w:rPr>
        <w:t xml:space="preserve"> </w:t>
      </w:r>
      <w:r>
        <w:rPr>
          <w:rFonts w:ascii="Arial" w:hAnsi="Arial" w:cs="Arial"/>
          <w:sz w:val="20"/>
        </w:rPr>
        <w:t>procedure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Hub).</w:t>
      </w:r>
      <w:r>
        <w:rPr>
          <w:rFonts w:ascii="Arial" w:eastAsia="Arial" w:hAnsi="Arial" w:cs="Arial"/>
          <w:sz w:val="20"/>
        </w:rPr>
        <w:t xml:space="preserve"> </w:t>
      </w:r>
      <w:r>
        <w:rPr>
          <w:rFonts w:ascii="Arial" w:hAnsi="Arial" w:cs="Arial"/>
          <w:sz w:val="20"/>
        </w:rPr>
        <w:t>Local</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draw</w:t>
      </w:r>
      <w:r>
        <w:rPr>
          <w:rFonts w:ascii="Arial" w:eastAsia="Arial" w:hAnsi="Arial" w:cs="Arial"/>
          <w:sz w:val="20"/>
        </w:rPr>
        <w:t xml:space="preserve"> </w:t>
      </w:r>
      <w:r>
        <w:rPr>
          <w:rFonts w:ascii="Arial" w:hAnsi="Arial" w:cs="Arial"/>
          <w:sz w:val="20"/>
        </w:rPr>
        <w:t>off</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summary</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extent</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comply</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also</w:t>
      </w:r>
      <w:r>
        <w:rPr>
          <w:rFonts w:ascii="Arial" w:eastAsia="Arial" w:hAnsi="Arial" w:cs="Arial"/>
          <w:sz w:val="20"/>
        </w:rPr>
        <w:t xml:space="preserve"> </w:t>
      </w:r>
      <w:r>
        <w:rPr>
          <w:rFonts w:ascii="Arial" w:hAnsi="Arial" w:cs="Arial"/>
          <w:sz w:val="20"/>
        </w:rPr>
        <w:t>view</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performance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other</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areas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compliance</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below</w:t>
      </w:r>
      <w:r>
        <w:rPr>
          <w:rFonts w:ascii="Arial" w:eastAsia="Arial" w:hAnsi="Arial" w:cs="Arial"/>
          <w:sz w:val="20"/>
        </w:rPr>
        <w:t xml:space="preserve"> </w:t>
      </w:r>
      <w:r>
        <w:rPr>
          <w:rFonts w:ascii="Arial" w:hAnsi="Arial" w:cs="Arial"/>
          <w:sz w:val="20"/>
        </w:rPr>
        <w:t>target</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indicate</w:t>
      </w:r>
      <w:r>
        <w:rPr>
          <w:rFonts w:ascii="Arial" w:eastAsia="Arial" w:hAnsi="Arial" w:cs="Arial"/>
          <w:sz w:val="20"/>
        </w:rPr>
        <w:t xml:space="preserve"> </w:t>
      </w:r>
      <w:r>
        <w:rPr>
          <w:rFonts w:ascii="Arial" w:hAnsi="Arial" w:cs="Arial"/>
          <w:sz w:val="20"/>
        </w:rPr>
        <w:t>what</w:t>
      </w:r>
      <w:r>
        <w:rPr>
          <w:rFonts w:ascii="Arial" w:eastAsia="Arial" w:hAnsi="Arial" w:cs="Arial"/>
          <w:sz w:val="20"/>
        </w:rPr>
        <w:t xml:space="preserve"> </w:t>
      </w:r>
      <w:r>
        <w:rPr>
          <w:rFonts w:ascii="Arial" w:hAnsi="Arial" w:cs="Arial"/>
          <w:sz w:val="20"/>
        </w:rPr>
        <w:t>further</w:t>
      </w:r>
      <w:r>
        <w:rPr>
          <w:rFonts w:ascii="Arial" w:eastAsia="Arial" w:hAnsi="Arial" w:cs="Arial"/>
          <w:sz w:val="20"/>
        </w:rPr>
        <w:t xml:space="preserve"> </w:t>
      </w:r>
      <w:r>
        <w:rPr>
          <w:rFonts w:ascii="Arial" w:hAnsi="Arial" w:cs="Arial"/>
          <w:sz w:val="20"/>
        </w:rPr>
        <w:t>information</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required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order</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undertake</w:t>
      </w:r>
      <w:r>
        <w:rPr>
          <w:rFonts w:ascii="Arial" w:eastAsia="Arial" w:hAnsi="Arial" w:cs="Arial"/>
          <w:sz w:val="20"/>
        </w:rPr>
        <w:t xml:space="preserve"> </w:t>
      </w:r>
      <w:r>
        <w:rPr>
          <w:rFonts w:ascii="Arial" w:hAnsi="Arial" w:cs="Arial"/>
          <w:sz w:val="20"/>
        </w:rPr>
        <w:t>remedial</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example,</w:t>
      </w:r>
      <w:r>
        <w:rPr>
          <w:rFonts w:ascii="Arial" w:eastAsia="Arial" w:hAnsi="Arial" w:cs="Arial"/>
          <w:sz w:val="20"/>
        </w:rPr>
        <w:t xml:space="preserve"> </w:t>
      </w:r>
      <w:r>
        <w:rPr>
          <w:rFonts w:ascii="Arial" w:hAnsi="Arial" w:cs="Arial"/>
          <w:sz w:val="20"/>
        </w:rPr>
        <w:t>non-compliance</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KPI</w:t>
      </w:r>
      <w:r>
        <w:rPr>
          <w:rFonts w:ascii="Arial" w:eastAsia="Arial" w:hAnsi="Arial" w:cs="Arial"/>
          <w:sz w:val="20"/>
        </w:rPr>
        <w:t xml:space="preserve"> </w:t>
      </w:r>
      <w:r>
        <w:rPr>
          <w:rFonts w:ascii="Arial" w:hAnsi="Arial" w:cs="Arial"/>
          <w:sz w:val="20"/>
        </w:rPr>
        <w:t>regarding</w:t>
      </w:r>
      <w:r>
        <w:rPr>
          <w:rFonts w:ascii="Arial" w:eastAsia="Arial" w:hAnsi="Arial" w:cs="Arial"/>
          <w:sz w:val="20"/>
        </w:rPr>
        <w:t xml:space="preserve"> </w:t>
      </w: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duty</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co-operate</w:t>
      </w:r>
      <w:r>
        <w:rPr>
          <w:rFonts w:ascii="Arial" w:eastAsia="Arial" w:hAnsi="Arial" w:cs="Arial"/>
          <w:sz w:val="20"/>
        </w:rPr>
        <w:t xml:space="preserve"> (“DTC”) </w:t>
      </w:r>
      <w:r>
        <w:rPr>
          <w:rFonts w:ascii="Arial" w:hAnsi="Arial" w:cs="Arial"/>
          <w:sz w:val="20"/>
        </w:rPr>
        <w:t>agencies</w:t>
      </w:r>
      <w:r>
        <w:rPr>
          <w:rFonts w:ascii="Arial" w:eastAsia="Arial" w:hAnsi="Arial" w:cs="Arial"/>
          <w:sz w:val="20"/>
        </w:rPr>
        <w:t xml:space="preserve"> </w:t>
      </w:r>
      <w:r>
        <w:rPr>
          <w:rFonts w:ascii="Arial" w:hAnsi="Arial" w:cs="Arial"/>
          <w:sz w:val="20"/>
        </w:rPr>
        <w:t>could</w:t>
      </w:r>
      <w:r>
        <w:rPr>
          <w:rFonts w:ascii="Arial" w:eastAsia="Arial" w:hAnsi="Arial" w:cs="Arial"/>
          <w:sz w:val="20"/>
        </w:rPr>
        <w:t xml:space="preserve"> </w:t>
      </w:r>
      <w:r>
        <w:rPr>
          <w:rFonts w:ascii="Arial" w:hAnsi="Arial" w:cs="Arial"/>
          <w:sz w:val="20"/>
        </w:rPr>
        <w:t>prompt</w:t>
      </w:r>
      <w:r>
        <w:rPr>
          <w:rFonts w:ascii="Arial" w:eastAsia="Arial" w:hAnsi="Arial" w:cs="Arial"/>
          <w:sz w:val="20"/>
        </w:rPr>
        <w:t xml:space="preserve"> </w:t>
      </w:r>
      <w:r>
        <w:rPr>
          <w:rFonts w:ascii="Arial" w:hAnsi="Arial" w:cs="Arial"/>
          <w:sz w:val="20"/>
        </w:rPr>
        <w:t>analysis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identify</w:t>
      </w:r>
      <w:r>
        <w:rPr>
          <w:rFonts w:ascii="Arial" w:eastAsia="Arial" w:hAnsi="Arial" w:cs="Arial"/>
          <w:sz w:val="20"/>
        </w:rPr>
        <w:t xml:space="preserve"> </w:t>
      </w:r>
      <w:r>
        <w:rPr>
          <w:rFonts w:ascii="Arial" w:hAnsi="Arial" w:cs="Arial"/>
          <w:sz w:val="20"/>
        </w:rPr>
        <w:t>which</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agencies</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not</w:t>
      </w:r>
      <w:r>
        <w:rPr>
          <w:rFonts w:ascii="Arial" w:eastAsia="Arial" w:hAnsi="Arial" w:cs="Arial"/>
          <w:sz w:val="20"/>
        </w:rPr>
        <w:t xml:space="preserve"> </w:t>
      </w:r>
      <w:r>
        <w:rPr>
          <w:rFonts w:ascii="Arial" w:hAnsi="Arial" w:cs="Arial"/>
          <w:sz w:val="20"/>
        </w:rPr>
        <w:t>attending.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reasons</w:t>
      </w:r>
      <w:r>
        <w:rPr>
          <w:rFonts w:ascii="Arial" w:eastAsia="Arial" w:hAnsi="Arial" w:cs="Arial"/>
          <w:sz w:val="20"/>
        </w:rPr>
        <w:t xml:space="preserve"> </w:t>
      </w:r>
      <w:r>
        <w:rPr>
          <w:rFonts w:ascii="Arial" w:hAnsi="Arial" w:cs="Arial"/>
          <w:sz w:val="20"/>
        </w:rPr>
        <w:t>for</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they</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on</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Are</w:t>
      </w:r>
      <w:r>
        <w:rPr>
          <w:rFonts w:ascii="Arial" w:eastAsia="Arial" w:hAnsi="Arial" w:cs="Arial"/>
          <w:sz w:val="20"/>
        </w:rPr>
        <w:t xml:space="preserve"> </w:t>
      </w:r>
      <w:r>
        <w:rPr>
          <w:rFonts w:ascii="Arial" w:hAnsi="Arial" w:cs="Arial"/>
          <w:sz w:val="20"/>
        </w:rPr>
        <w:t>meetings</w:t>
      </w:r>
      <w:r>
        <w:rPr>
          <w:rFonts w:ascii="Arial" w:eastAsia="Arial" w:hAnsi="Arial" w:cs="Arial"/>
          <w:sz w:val="20"/>
        </w:rPr>
        <w:t xml:space="preserve"> </w:t>
      </w:r>
      <w:r>
        <w:rPr>
          <w:rFonts w:ascii="Arial" w:hAnsi="Arial" w:cs="Arial"/>
          <w:sz w:val="20"/>
        </w:rPr>
        <w:t>being</w:t>
      </w:r>
      <w:r>
        <w:rPr>
          <w:rFonts w:ascii="Arial" w:eastAsia="Arial" w:hAnsi="Arial" w:cs="Arial"/>
          <w:sz w:val="20"/>
        </w:rPr>
        <w:t xml:space="preserve"> </w:t>
      </w:r>
      <w:r>
        <w:rPr>
          <w:rFonts w:ascii="Arial" w:hAnsi="Arial" w:cs="Arial"/>
          <w:sz w:val="20"/>
        </w:rPr>
        <w:t>run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make</w:t>
      </w:r>
      <w:r>
        <w:rPr>
          <w:rFonts w:ascii="Arial" w:eastAsia="Arial" w:hAnsi="Arial" w:cs="Arial"/>
          <w:sz w:val="20"/>
        </w:rPr>
        <w:t xml:space="preserve"> </w:t>
      </w:r>
      <w:r>
        <w:rPr>
          <w:rFonts w:ascii="Arial" w:hAnsi="Arial" w:cs="Arial"/>
          <w:sz w:val="20"/>
        </w:rPr>
        <w:t>best</w:t>
      </w:r>
      <w:r>
        <w:rPr>
          <w:rFonts w:ascii="Arial" w:eastAsia="Arial" w:hAnsi="Arial" w:cs="Arial"/>
          <w:sz w:val="20"/>
        </w:rPr>
        <w:t xml:space="preserve"> </w:t>
      </w:r>
      <w:r>
        <w:rPr>
          <w:rFonts w:ascii="Arial" w:hAnsi="Arial" w:cs="Arial"/>
          <w:sz w:val="20"/>
        </w:rPr>
        <w:t>use</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time</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have</w:t>
      </w:r>
      <w:r>
        <w:rPr>
          <w:rFonts w:ascii="Arial" w:eastAsia="Arial" w:hAnsi="Arial" w:cs="Arial"/>
          <w:sz w:val="20"/>
        </w:rPr>
        <w:t xml:space="preserve"> </w:t>
      </w:r>
      <w:r>
        <w:rPr>
          <w:rFonts w:ascii="Arial" w:hAnsi="Arial" w:cs="Arial"/>
          <w:sz w:val="20"/>
        </w:rPr>
        <w:t>there</w:t>
      </w:r>
      <w:r>
        <w:rPr>
          <w:rFonts w:ascii="Arial" w:eastAsia="Arial" w:hAnsi="Arial" w:cs="Arial"/>
          <w:sz w:val="20"/>
        </w:rPr>
        <w:t xml:space="preserve"> </w:t>
      </w:r>
      <w:r>
        <w:rPr>
          <w:rFonts w:ascii="Arial" w:hAnsi="Arial" w:cs="Arial"/>
          <w:sz w:val="20"/>
        </w:rPr>
        <w:t>been</w:t>
      </w:r>
      <w:r>
        <w:rPr>
          <w:rFonts w:ascii="Arial" w:eastAsia="Arial" w:hAnsi="Arial" w:cs="Arial"/>
          <w:sz w:val="20"/>
        </w:rPr>
        <w:t xml:space="preserve"> </w:t>
      </w:r>
      <w:r>
        <w:rPr>
          <w:rFonts w:ascii="Arial" w:hAnsi="Arial" w:cs="Arial"/>
          <w:sz w:val="20"/>
        </w:rPr>
        <w:t>changes</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staff?</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action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address</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problem</w:t>
      </w:r>
      <w:r>
        <w:rPr>
          <w:rFonts w:ascii="Arial" w:eastAsia="Arial" w:hAnsi="Arial" w:cs="Arial"/>
          <w:sz w:val="20"/>
        </w:rPr>
        <w:t xml:space="preserve"> </w:t>
      </w:r>
      <w:r>
        <w:rPr>
          <w:rFonts w:ascii="Arial" w:hAnsi="Arial" w:cs="Arial"/>
          <w:sz w:val="20"/>
        </w:rPr>
        <w:t>can</w:t>
      </w:r>
      <w:r>
        <w:rPr>
          <w:rFonts w:ascii="Arial" w:eastAsia="Arial" w:hAnsi="Arial" w:cs="Arial"/>
          <w:sz w:val="20"/>
        </w:rPr>
        <w:t xml:space="preserve"> </w:t>
      </w:r>
      <w:r>
        <w:rPr>
          <w:rFonts w:ascii="Arial" w:hAnsi="Arial" w:cs="Arial"/>
          <w:sz w:val="20"/>
        </w:rPr>
        <w:t>then</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e.g.</w:t>
      </w:r>
      <w:r>
        <w:rPr>
          <w:rFonts w:ascii="Arial" w:eastAsia="Arial" w:hAnsi="Arial" w:cs="Arial"/>
          <w:sz w:val="20"/>
        </w:rPr>
        <w:t xml:space="preserve"> </w:t>
      </w:r>
      <w:r>
        <w:rPr>
          <w:rFonts w:ascii="Arial" w:hAnsi="Arial" w:cs="Arial"/>
          <w:sz w:val="20"/>
        </w:rPr>
        <w:t>sending</w:t>
      </w:r>
      <w:r>
        <w:rPr>
          <w:rFonts w:ascii="Arial" w:eastAsia="Arial" w:hAnsi="Arial" w:cs="Arial"/>
          <w:sz w:val="20"/>
        </w:rPr>
        <w:t xml:space="preserve"> </w:t>
      </w:r>
      <w:r>
        <w:rPr>
          <w:rFonts w:ascii="Arial" w:hAnsi="Arial" w:cs="Arial"/>
          <w:sz w:val="20"/>
        </w:rPr>
        <w:t>out</w:t>
      </w:r>
      <w:r>
        <w:rPr>
          <w:rFonts w:ascii="Arial" w:eastAsia="Arial" w:hAnsi="Arial" w:cs="Arial"/>
          <w:sz w:val="20"/>
        </w:rPr>
        <w:t xml:space="preserve"> </w:t>
      </w:r>
      <w:r>
        <w:rPr>
          <w:rFonts w:ascii="Arial" w:hAnsi="Arial" w:cs="Arial"/>
          <w:sz w:val="20"/>
        </w:rPr>
        <w:t>invitations</w:t>
      </w:r>
      <w:r>
        <w:rPr>
          <w:rFonts w:ascii="Arial" w:eastAsia="Arial" w:hAnsi="Arial" w:cs="Arial"/>
          <w:sz w:val="20"/>
        </w:rPr>
        <w:t xml:space="preserve"> </w:t>
      </w:r>
      <w:r>
        <w:rPr>
          <w:rFonts w:ascii="Arial" w:hAnsi="Arial" w:cs="Arial"/>
          <w:sz w:val="20"/>
        </w:rPr>
        <w:t>earlier,</w:t>
      </w:r>
      <w:r>
        <w:rPr>
          <w:rFonts w:ascii="Arial" w:eastAsia="Arial" w:hAnsi="Arial" w:cs="Arial"/>
          <w:sz w:val="20"/>
        </w:rPr>
        <w:t xml:space="preserve"> </w:t>
      </w:r>
      <w:r>
        <w:rPr>
          <w:rFonts w:ascii="Arial" w:hAnsi="Arial" w:cs="Arial"/>
          <w:sz w:val="20"/>
        </w:rPr>
        <w:t>following</w:t>
      </w:r>
      <w:r>
        <w:rPr>
          <w:rFonts w:ascii="Arial" w:eastAsia="Arial" w:hAnsi="Arial" w:cs="Arial"/>
          <w:sz w:val="20"/>
        </w:rPr>
        <w:t xml:space="preserve"> </w:t>
      </w:r>
      <w:r>
        <w:rPr>
          <w:rFonts w:ascii="Arial" w:hAnsi="Arial" w:cs="Arial"/>
          <w:sz w:val="20"/>
        </w:rPr>
        <w:t>them</w:t>
      </w:r>
      <w:r>
        <w:rPr>
          <w:rFonts w:ascii="Arial" w:eastAsia="Arial" w:hAnsi="Arial" w:cs="Arial"/>
          <w:sz w:val="20"/>
        </w:rPr>
        <w:t xml:space="preserve"> </w:t>
      </w:r>
      <w:r>
        <w:rPr>
          <w:rFonts w:ascii="Arial" w:hAnsi="Arial" w:cs="Arial"/>
          <w:sz w:val="20"/>
        </w:rPr>
        <w:t>up</w:t>
      </w:r>
      <w:r>
        <w:rPr>
          <w:rFonts w:ascii="Arial" w:eastAsia="Arial" w:hAnsi="Arial" w:cs="Arial"/>
          <w:sz w:val="20"/>
        </w:rPr>
        <w:t xml:space="preserve"> </w:t>
      </w:r>
      <w:r>
        <w:rPr>
          <w:rFonts w:ascii="Arial" w:hAnsi="Arial" w:cs="Arial"/>
          <w:sz w:val="20"/>
        </w:rPr>
        <w:t>with</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phone</w:t>
      </w:r>
      <w:r>
        <w:rPr>
          <w:rFonts w:ascii="Arial" w:eastAsia="Arial" w:hAnsi="Arial" w:cs="Arial"/>
          <w:sz w:val="20"/>
        </w:rPr>
        <w:t xml:space="preserve"> </w:t>
      </w:r>
      <w:r>
        <w:rPr>
          <w:rFonts w:ascii="Arial" w:hAnsi="Arial" w:cs="Arial"/>
          <w:sz w:val="20"/>
        </w:rPr>
        <w:t>call</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re-ordering</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MAPP meeting.</w:t>
      </w:r>
    </w:p>
    <w:p w14:paraId="198A71ED" w14:textId="77777777" w:rsidR="00F2123B" w:rsidRDefault="00200CFB">
      <w:pPr>
        <w:spacing w:line="280" w:lineRule="atLeast"/>
      </w:pPr>
      <w:r>
        <w:rPr>
          <w:rFonts w:ascii="Arial" w:hAnsi="Arial" w:cs="Arial"/>
          <w:sz w:val="20"/>
        </w:rPr>
        <w:t>31.21</w:t>
      </w:r>
      <w:r>
        <w:rPr>
          <w:rFonts w:ascii="Arial" w:hAnsi="Arial" w:cs="Arial"/>
          <w:sz w:val="20"/>
        </w:rPr>
        <w:tab/>
        <w:t>The</w:t>
      </w:r>
      <w:r>
        <w:rPr>
          <w:rFonts w:ascii="Arial" w:eastAsia="Arial" w:hAnsi="Arial" w:cs="Arial"/>
          <w:sz w:val="20"/>
        </w:rPr>
        <w:t xml:space="preserve"> </w:t>
      </w:r>
      <w:r>
        <w:rPr>
          <w:rFonts w:ascii="Arial" w:hAnsi="Arial" w:cs="Arial"/>
          <w:sz w:val="20"/>
        </w:rPr>
        <w:t>KPIs</w:t>
      </w:r>
      <w:r>
        <w:rPr>
          <w:rFonts w:ascii="Arial" w:eastAsia="Arial" w:hAnsi="Arial" w:cs="Arial"/>
          <w:sz w:val="20"/>
        </w:rPr>
        <w:t xml:space="preserve"> </w:t>
      </w:r>
      <w:r>
        <w:rPr>
          <w:rFonts w:ascii="Arial" w:hAnsi="Arial" w:cs="Arial"/>
          <w:sz w:val="20"/>
        </w:rPr>
        <w:t>are:</w:t>
      </w:r>
    </w:p>
    <w:p w14:paraId="198A71EE"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 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8</w:t>
      </w:r>
      <w:r>
        <w:rPr>
          <w:rFonts w:ascii="Arial" w:eastAsia="Arial" w:hAnsi="Arial" w:cs="Arial"/>
          <w:sz w:val="20"/>
        </w:rPr>
        <w:t xml:space="preserve"> </w:t>
      </w:r>
      <w:r>
        <w:rPr>
          <w:rFonts w:ascii="Arial" w:hAnsi="Arial" w:cs="Arial"/>
          <w:sz w:val="20"/>
        </w:rPr>
        <w:t>weeks.</w:t>
      </w:r>
    </w:p>
    <w:p w14:paraId="198A71EF"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cases</w:t>
      </w:r>
      <w:r>
        <w:rPr>
          <w:rFonts w:ascii="Arial" w:eastAsia="Arial" w:hAnsi="Arial" w:cs="Arial"/>
          <w:sz w:val="20"/>
        </w:rPr>
        <w:t xml:space="preserve"> </w:t>
      </w:r>
      <w:r>
        <w:rPr>
          <w:rFonts w:ascii="Arial" w:hAnsi="Arial" w:cs="Arial"/>
          <w:sz w:val="20"/>
        </w:rPr>
        <w:t>reviewed</w:t>
      </w:r>
      <w:r>
        <w:rPr>
          <w:rFonts w:ascii="Arial" w:eastAsia="Arial" w:hAnsi="Arial" w:cs="Arial"/>
          <w:sz w:val="20"/>
        </w:rPr>
        <w:t xml:space="preserve"> </w:t>
      </w:r>
      <w:r>
        <w:rPr>
          <w:rFonts w:ascii="Arial" w:hAnsi="Arial" w:cs="Arial"/>
          <w:sz w:val="20"/>
        </w:rPr>
        <w:t>no</w:t>
      </w:r>
      <w:r>
        <w:rPr>
          <w:rFonts w:ascii="Arial" w:eastAsia="Arial" w:hAnsi="Arial" w:cs="Arial"/>
          <w:sz w:val="20"/>
        </w:rPr>
        <w:t xml:space="preserve"> </w:t>
      </w:r>
      <w:r>
        <w:rPr>
          <w:rFonts w:ascii="Arial" w:hAnsi="Arial" w:cs="Arial"/>
          <w:sz w:val="20"/>
        </w:rPr>
        <w:t>less</w:t>
      </w:r>
      <w:r>
        <w:rPr>
          <w:rFonts w:ascii="Arial" w:eastAsia="Arial" w:hAnsi="Arial" w:cs="Arial"/>
          <w:sz w:val="20"/>
        </w:rPr>
        <w:t xml:space="preserve"> </w:t>
      </w:r>
      <w:r>
        <w:rPr>
          <w:rFonts w:ascii="Arial" w:hAnsi="Arial" w:cs="Arial"/>
          <w:sz w:val="20"/>
        </w:rPr>
        <w:t>than</w:t>
      </w:r>
      <w:r>
        <w:rPr>
          <w:rFonts w:ascii="Arial" w:eastAsia="Arial" w:hAnsi="Arial" w:cs="Arial"/>
          <w:sz w:val="20"/>
        </w:rPr>
        <w:t xml:space="preserve"> </w:t>
      </w:r>
      <w:r>
        <w:rPr>
          <w:rFonts w:ascii="Arial" w:hAnsi="Arial" w:cs="Arial"/>
          <w:sz w:val="20"/>
        </w:rPr>
        <w:t>once</w:t>
      </w:r>
      <w:r>
        <w:rPr>
          <w:rFonts w:ascii="Arial" w:eastAsia="Arial" w:hAnsi="Arial" w:cs="Arial"/>
          <w:sz w:val="20"/>
        </w:rPr>
        <w:t xml:space="preserve"> </w:t>
      </w:r>
      <w:r>
        <w:rPr>
          <w:rFonts w:ascii="Arial" w:hAnsi="Arial" w:cs="Arial"/>
          <w:sz w:val="20"/>
        </w:rPr>
        <w:t>every</w:t>
      </w:r>
      <w:r>
        <w:rPr>
          <w:rFonts w:ascii="Arial" w:eastAsia="Arial" w:hAnsi="Arial" w:cs="Arial"/>
          <w:sz w:val="20"/>
        </w:rPr>
        <w:t xml:space="preserve"> </w:t>
      </w:r>
      <w:r>
        <w:rPr>
          <w:rFonts w:ascii="Arial" w:hAnsi="Arial" w:cs="Arial"/>
          <w:sz w:val="20"/>
        </w:rPr>
        <w:t>16</w:t>
      </w:r>
      <w:r>
        <w:rPr>
          <w:rFonts w:ascii="Arial" w:eastAsia="Arial" w:hAnsi="Arial" w:cs="Arial"/>
          <w:sz w:val="20"/>
        </w:rPr>
        <w:t xml:space="preserve"> </w:t>
      </w:r>
      <w:r>
        <w:rPr>
          <w:rFonts w:ascii="Arial" w:hAnsi="Arial" w:cs="Arial"/>
          <w:sz w:val="20"/>
        </w:rPr>
        <w:t>weeks.</w:t>
      </w:r>
    </w:p>
    <w:p w14:paraId="198A71F0"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Disclosure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considered</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decision</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recorded</w:t>
      </w:r>
      <w:r>
        <w:rPr>
          <w:rFonts w:ascii="Arial" w:eastAsia="Arial" w:hAnsi="Arial" w:cs="Arial"/>
          <w:sz w:val="20"/>
        </w:rPr>
        <w:t xml:space="preserve"> </w:t>
      </w:r>
      <w:r>
        <w:rPr>
          <w:rFonts w:ascii="Arial" w:hAnsi="Arial" w:cs="Arial"/>
          <w:sz w:val="20"/>
        </w:rPr>
        <w:t>in</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minutes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100%</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p>
    <w:p w14:paraId="198A71F1"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100%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Youth</w:t>
      </w:r>
      <w:r>
        <w:rPr>
          <w:rFonts w:ascii="Arial" w:eastAsia="Arial" w:hAnsi="Arial" w:cs="Arial"/>
          <w:sz w:val="20"/>
        </w:rPr>
        <w:t xml:space="preserve"> </w:t>
      </w:r>
      <w:r>
        <w:rPr>
          <w:rFonts w:ascii="Arial" w:hAnsi="Arial" w:cs="Arial"/>
          <w:sz w:val="20"/>
        </w:rPr>
        <w:t>Offending</w:t>
      </w:r>
      <w:r>
        <w:rPr>
          <w:rFonts w:ascii="Arial" w:eastAsia="Arial" w:hAnsi="Arial" w:cs="Arial"/>
          <w:sz w:val="20"/>
        </w:rPr>
        <w:t xml:space="preserve"> </w:t>
      </w:r>
      <w:r>
        <w:rPr>
          <w:rFonts w:ascii="Arial" w:hAnsi="Arial" w:cs="Arial"/>
          <w:sz w:val="20"/>
        </w:rPr>
        <w:t>Teams</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Children</w:t>
      </w:r>
      <w:r>
        <w:rPr>
          <w:rFonts w:ascii="Arial" w:eastAsia="Arial" w:hAnsi="Arial" w:cs="Arial"/>
          <w:sz w:val="20"/>
        </w:rPr>
        <w:t>’</w:t>
      </w:r>
      <w:r>
        <w:rPr>
          <w:rFonts w:ascii="Arial" w:hAnsi="Arial" w:cs="Arial"/>
          <w:sz w:val="20"/>
        </w:rPr>
        <w:t>s</w:t>
      </w:r>
      <w:r>
        <w:rPr>
          <w:rFonts w:ascii="Arial" w:eastAsia="Arial" w:hAnsi="Arial" w:cs="Arial"/>
          <w:sz w:val="20"/>
        </w:rPr>
        <w:t xml:space="preserve"> </w:t>
      </w:r>
      <w:r>
        <w:rPr>
          <w:rFonts w:ascii="Arial" w:hAnsi="Arial" w:cs="Arial"/>
          <w:sz w:val="20"/>
        </w:rPr>
        <w:t>Services</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where</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offender</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aged</w:t>
      </w:r>
      <w:r>
        <w:rPr>
          <w:rFonts w:ascii="Arial" w:eastAsia="Arial" w:hAnsi="Arial" w:cs="Arial"/>
          <w:sz w:val="20"/>
        </w:rPr>
        <w:t xml:space="preserve"> </w:t>
      </w:r>
      <w:r>
        <w:rPr>
          <w:rFonts w:ascii="Arial" w:hAnsi="Arial" w:cs="Arial"/>
          <w:sz w:val="20"/>
        </w:rPr>
        <w:t>under</w:t>
      </w:r>
      <w:r>
        <w:rPr>
          <w:rFonts w:ascii="Arial" w:eastAsia="Arial" w:hAnsi="Arial" w:cs="Arial"/>
          <w:sz w:val="20"/>
        </w:rPr>
        <w:t xml:space="preserve"> </w:t>
      </w:r>
      <w:r>
        <w:rPr>
          <w:rFonts w:ascii="Arial" w:hAnsi="Arial" w:cs="Arial"/>
          <w:sz w:val="20"/>
        </w:rPr>
        <w:t>18.</w:t>
      </w:r>
      <w:r>
        <w:rPr>
          <w:rFonts w:ascii="Arial" w:eastAsia="Arial" w:hAnsi="Arial" w:cs="Arial"/>
          <w:sz w:val="20"/>
        </w:rPr>
        <w:t xml:space="preserve"> </w:t>
      </w:r>
    </w:p>
    <w:p w14:paraId="198A71F2"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75%</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member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SMB</w:t>
      </w:r>
      <w:r>
        <w:rPr>
          <w:rFonts w:ascii="Arial" w:eastAsia="Arial" w:hAnsi="Arial" w:cs="Arial"/>
          <w:sz w:val="20"/>
        </w:rPr>
        <w:t xml:space="preserve"> </w:t>
      </w:r>
      <w:r>
        <w:rPr>
          <w:rFonts w:ascii="Arial" w:hAnsi="Arial" w:cs="Arial"/>
          <w:sz w:val="20"/>
        </w:rPr>
        <w:t>meetings.</w:t>
      </w:r>
    </w:p>
    <w:p w14:paraId="198A71F3"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DTC</w:t>
      </w:r>
      <w:r>
        <w:rPr>
          <w:rFonts w:ascii="Arial" w:eastAsia="Arial" w:hAnsi="Arial" w:cs="Arial"/>
          <w:sz w:val="20"/>
        </w:rPr>
        <w:t xml:space="preserve"> </w:t>
      </w:r>
      <w:r>
        <w:rPr>
          <w:rFonts w:ascii="Arial" w:hAnsi="Arial" w:cs="Arial"/>
          <w:sz w:val="20"/>
        </w:rPr>
        <w:t>agency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meetings</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may</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p>
    <w:p w14:paraId="198A71F4"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invited</w:t>
      </w:r>
      <w:r>
        <w:rPr>
          <w:rFonts w:ascii="Arial" w:eastAsia="Arial" w:hAnsi="Arial" w:cs="Arial"/>
          <w:sz w:val="20"/>
        </w:rPr>
        <w:t xml:space="preserve"> </w:t>
      </w:r>
      <w:r>
        <w:rPr>
          <w:rFonts w:ascii="Arial" w:hAnsi="Arial" w:cs="Arial"/>
          <w:sz w:val="20"/>
        </w:rPr>
        <w:t>Prison</w:t>
      </w:r>
      <w:r>
        <w:rPr>
          <w:rFonts w:ascii="Arial" w:eastAsia="Arial" w:hAnsi="Arial" w:cs="Arial"/>
          <w:sz w:val="20"/>
        </w:rPr>
        <w:t xml:space="preserve"> </w:t>
      </w:r>
      <w:r>
        <w:rPr>
          <w:rFonts w:ascii="Arial" w:hAnsi="Arial" w:cs="Arial"/>
          <w:sz w:val="20"/>
        </w:rPr>
        <w:t>Service</w:t>
      </w:r>
      <w:r>
        <w:rPr>
          <w:rFonts w:ascii="Arial" w:eastAsia="Arial" w:hAnsi="Arial" w:cs="Arial"/>
          <w:sz w:val="20"/>
        </w:rPr>
        <w:t xml:space="preserve"> </w:t>
      </w:r>
      <w:r>
        <w:rPr>
          <w:rFonts w:ascii="Arial" w:hAnsi="Arial" w:cs="Arial"/>
          <w:sz w:val="20"/>
        </w:rPr>
        <w:t>representative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an</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seniority</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(if</w:t>
      </w:r>
      <w:r>
        <w:rPr>
          <w:rFonts w:ascii="Arial" w:eastAsia="Arial" w:hAnsi="Arial" w:cs="Arial"/>
          <w:sz w:val="20"/>
        </w:rPr>
        <w:t xml:space="preserve"> </w:t>
      </w:r>
      <w:r>
        <w:rPr>
          <w:rFonts w:ascii="Arial" w:hAnsi="Arial" w:cs="Arial"/>
          <w:sz w:val="20"/>
        </w:rPr>
        <w:t>unable</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attend,</w:t>
      </w:r>
      <w:r>
        <w:rPr>
          <w:rFonts w:ascii="Arial" w:eastAsia="Arial" w:hAnsi="Arial" w:cs="Arial"/>
          <w:sz w:val="20"/>
        </w:rPr>
        <w:t xml:space="preserve"> </w:t>
      </w:r>
      <w:r>
        <w:rPr>
          <w:rFonts w:ascii="Arial" w:hAnsi="Arial" w:cs="Arial"/>
          <w:sz w:val="20"/>
        </w:rPr>
        <w:t>video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telephone</w:t>
      </w:r>
      <w:r>
        <w:rPr>
          <w:rFonts w:ascii="Arial" w:eastAsia="Arial" w:hAnsi="Arial" w:cs="Arial"/>
          <w:sz w:val="20"/>
        </w:rPr>
        <w:t xml:space="preserve"> </w:t>
      </w:r>
      <w:r>
        <w:rPr>
          <w:rFonts w:ascii="Arial" w:hAnsi="Arial" w:cs="Arial"/>
          <w:sz w:val="20"/>
        </w:rPr>
        <w:t>conferencing</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provision</w:t>
      </w:r>
      <w:r>
        <w:rPr>
          <w:rFonts w:ascii="Arial" w:eastAsia="Arial" w:hAnsi="Arial" w:cs="Arial"/>
          <w:sz w:val="20"/>
        </w:rPr>
        <w:t xml:space="preserve"> </w:t>
      </w:r>
      <w:r>
        <w:rPr>
          <w:rFonts w:ascii="Arial" w:hAnsi="Arial" w:cs="Arial"/>
          <w:sz w:val="20"/>
        </w:rPr>
        <w:t>of</w:t>
      </w:r>
      <w:r>
        <w:rPr>
          <w:rFonts w:ascii="Arial" w:eastAsia="Arial" w:hAnsi="Arial" w:cs="Arial"/>
          <w:sz w:val="20"/>
        </w:rPr>
        <w:t xml:space="preserve"> </w:t>
      </w:r>
      <w:r>
        <w:rPr>
          <w:rFonts w:ascii="Arial" w:hAnsi="Arial" w:cs="Arial"/>
          <w:sz w:val="20"/>
        </w:rPr>
        <w:t>MAPPA</w:t>
      </w:r>
      <w:r>
        <w:rPr>
          <w:rFonts w:ascii="Arial" w:eastAsia="Arial" w:hAnsi="Arial" w:cs="Arial"/>
          <w:sz w:val="20"/>
        </w:rPr>
        <w:t xml:space="preserve"> </w:t>
      </w:r>
      <w:r>
        <w:rPr>
          <w:rFonts w:ascii="Arial" w:hAnsi="Arial" w:cs="Arial"/>
          <w:sz w:val="20"/>
        </w:rPr>
        <w:t>F</w:t>
      </w:r>
      <w:r>
        <w:rPr>
          <w:rFonts w:ascii="Arial" w:eastAsia="Arial" w:hAnsi="Arial" w:cs="Arial"/>
          <w:sz w:val="20"/>
        </w:rPr>
        <w:t xml:space="preserve"> </w:t>
      </w:r>
      <w:r>
        <w:rPr>
          <w:rFonts w:ascii="Arial" w:hAnsi="Arial" w:cs="Arial"/>
          <w:sz w:val="20"/>
        </w:rPr>
        <w:t>to</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meeting</w:t>
      </w:r>
      <w:r>
        <w:rPr>
          <w:rFonts w:ascii="Arial" w:eastAsia="Arial" w:hAnsi="Arial" w:cs="Arial"/>
          <w:sz w:val="20"/>
        </w:rPr>
        <w:t xml:space="preserve"> </w:t>
      </w:r>
      <w:r>
        <w:rPr>
          <w:rFonts w:ascii="Arial" w:hAnsi="Arial" w:cs="Arial"/>
          <w:sz w:val="20"/>
        </w:rPr>
        <w:t>will</w:t>
      </w:r>
      <w:r>
        <w:rPr>
          <w:rFonts w:ascii="Arial" w:eastAsia="Arial" w:hAnsi="Arial" w:cs="Arial"/>
          <w:sz w:val="20"/>
        </w:rPr>
        <w:t xml:space="preserve"> </w:t>
      </w:r>
      <w:r>
        <w:rPr>
          <w:rFonts w:ascii="Arial" w:hAnsi="Arial" w:cs="Arial"/>
          <w:sz w:val="20"/>
        </w:rPr>
        <w:t>be</w:t>
      </w:r>
      <w:r>
        <w:rPr>
          <w:rFonts w:ascii="Arial" w:eastAsia="Arial" w:hAnsi="Arial" w:cs="Arial"/>
          <w:sz w:val="20"/>
        </w:rPr>
        <w:t xml:space="preserve"> </w:t>
      </w:r>
      <w:r>
        <w:rPr>
          <w:rFonts w:ascii="Arial" w:hAnsi="Arial" w:cs="Arial"/>
          <w:sz w:val="20"/>
        </w:rPr>
        <w:t>acceptable).</w:t>
      </w:r>
      <w:r>
        <w:rPr>
          <w:rFonts w:ascii="Arial" w:eastAsia="Arial" w:hAnsi="Arial" w:cs="Arial"/>
          <w:sz w:val="20"/>
        </w:rPr>
        <w:t xml:space="preserve"> </w:t>
      </w:r>
    </w:p>
    <w:p w14:paraId="198A71F5"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police</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Inspector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Superintendent</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p>
    <w:p w14:paraId="198A71F6" w14:textId="77777777" w:rsidR="00F2123B" w:rsidRDefault="00200CFB" w:rsidP="00AD2BEF">
      <w:pPr>
        <w:numPr>
          <w:ilvl w:val="0"/>
          <w:numId w:val="60"/>
        </w:numPr>
        <w:tabs>
          <w:tab w:val="left" w:pos="720"/>
          <w:tab w:val="left" w:pos="1080"/>
        </w:tabs>
        <w:spacing w:before="240" w:line="280" w:lineRule="atLeast"/>
        <w:ind w:left="720"/>
      </w:pPr>
      <w:r>
        <w:rPr>
          <w:rFonts w:ascii="Arial" w:hAnsi="Arial" w:cs="Arial"/>
          <w:sz w:val="20"/>
        </w:rPr>
        <w:t>90%</w:t>
      </w:r>
      <w:r>
        <w:rPr>
          <w:rFonts w:ascii="Arial" w:eastAsia="Arial" w:hAnsi="Arial" w:cs="Arial"/>
          <w:sz w:val="20"/>
        </w:rPr>
        <w:t xml:space="preserve"> </w:t>
      </w:r>
      <w:r>
        <w:rPr>
          <w:rFonts w:ascii="Arial" w:hAnsi="Arial" w:cs="Arial"/>
          <w:sz w:val="20"/>
        </w:rPr>
        <w:t>attendance</w:t>
      </w:r>
      <w:r>
        <w:rPr>
          <w:rFonts w:ascii="Arial" w:eastAsia="Arial" w:hAnsi="Arial" w:cs="Arial"/>
          <w:sz w:val="20"/>
        </w:rPr>
        <w:t xml:space="preserve"> </w:t>
      </w:r>
      <w:r>
        <w:rPr>
          <w:rFonts w:ascii="Arial" w:hAnsi="Arial" w:cs="Arial"/>
          <w:sz w:val="20"/>
        </w:rPr>
        <w:t>by</w:t>
      </w:r>
      <w:r>
        <w:rPr>
          <w:rFonts w:ascii="Arial" w:eastAsia="Arial" w:hAnsi="Arial" w:cs="Arial"/>
          <w:sz w:val="20"/>
        </w:rPr>
        <w:t xml:space="preserve"> </w:t>
      </w:r>
      <w:r>
        <w:rPr>
          <w:rFonts w:ascii="Arial" w:hAnsi="Arial" w:cs="Arial"/>
          <w:sz w:val="20"/>
        </w:rPr>
        <w:t>the</w:t>
      </w:r>
      <w:r>
        <w:rPr>
          <w:rFonts w:ascii="Arial" w:eastAsia="Arial" w:hAnsi="Arial" w:cs="Arial"/>
          <w:sz w:val="20"/>
        </w:rPr>
        <w:t xml:space="preserve"> </w:t>
      </w:r>
      <w:r>
        <w:rPr>
          <w:rFonts w:ascii="Arial" w:hAnsi="Arial" w:cs="Arial"/>
          <w:sz w:val="20"/>
        </w:rPr>
        <w:t>appropriate</w:t>
      </w:r>
      <w:r>
        <w:rPr>
          <w:rFonts w:ascii="Arial" w:eastAsia="Arial" w:hAnsi="Arial" w:cs="Arial"/>
          <w:sz w:val="20"/>
        </w:rPr>
        <w:t xml:space="preserve"> </w:t>
      </w:r>
      <w:r>
        <w:rPr>
          <w:rFonts w:ascii="Arial" w:hAnsi="Arial" w:cs="Arial"/>
          <w:sz w:val="20"/>
        </w:rPr>
        <w:t>grade</w:t>
      </w:r>
      <w:r>
        <w:rPr>
          <w:rFonts w:ascii="Arial" w:eastAsia="Arial" w:hAnsi="Arial" w:cs="Arial"/>
          <w:sz w:val="20"/>
        </w:rPr>
        <w:t xml:space="preserve"> </w:t>
      </w:r>
      <w:r>
        <w:rPr>
          <w:rFonts w:ascii="Arial" w:hAnsi="Arial" w:cs="Arial"/>
          <w:sz w:val="20"/>
        </w:rPr>
        <w:t>from the</w:t>
      </w:r>
      <w:r>
        <w:rPr>
          <w:rFonts w:ascii="Arial" w:eastAsia="Arial" w:hAnsi="Arial" w:cs="Arial"/>
          <w:sz w:val="20"/>
        </w:rPr>
        <w:t xml:space="preserve"> </w:t>
      </w:r>
      <w:r>
        <w:rPr>
          <w:rFonts w:ascii="Arial" w:hAnsi="Arial" w:cs="Arial"/>
          <w:sz w:val="20"/>
          <w:szCs w:val="20"/>
        </w:rPr>
        <w:t>Probation Trust</w:t>
      </w:r>
      <w:r>
        <w:rPr>
          <w:rFonts w:ascii="Arial" w:hAnsi="Arial" w:cs="Arial"/>
          <w:sz w:val="20"/>
        </w:rPr>
        <w:t xml:space="preserve"> at</w:t>
      </w:r>
      <w:r>
        <w:rPr>
          <w:rFonts w:ascii="Arial" w:eastAsia="Arial" w:hAnsi="Arial" w:cs="Arial"/>
          <w:sz w:val="20"/>
        </w:rPr>
        <w:t xml:space="preserve"> </w:t>
      </w:r>
      <w:r>
        <w:rPr>
          <w:rFonts w:ascii="Arial" w:hAnsi="Arial" w:cs="Arial"/>
          <w:sz w:val="20"/>
        </w:rPr>
        <w:t>each</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r>
        <w:rPr>
          <w:rFonts w:ascii="Arial" w:hAnsi="Arial" w:cs="Arial"/>
          <w:sz w:val="20"/>
        </w:rPr>
        <w:t>MAPP meeting.</w:t>
      </w:r>
      <w:r>
        <w:rPr>
          <w:rFonts w:ascii="Arial" w:eastAsia="Arial" w:hAnsi="Arial" w:cs="Arial"/>
          <w:sz w:val="20"/>
        </w:rPr>
        <w:t xml:space="preserve"> </w:t>
      </w:r>
      <w:r>
        <w:rPr>
          <w:rFonts w:ascii="Arial" w:hAnsi="Arial" w:cs="Arial"/>
          <w:sz w:val="20"/>
        </w:rPr>
        <w:t>This</w:t>
      </w:r>
      <w:r>
        <w:rPr>
          <w:rFonts w:ascii="Arial" w:eastAsia="Arial" w:hAnsi="Arial" w:cs="Arial"/>
          <w:sz w:val="20"/>
        </w:rPr>
        <w:t xml:space="preserve"> </w:t>
      </w:r>
      <w:r>
        <w:rPr>
          <w:rFonts w:ascii="Arial" w:hAnsi="Arial" w:cs="Arial"/>
          <w:sz w:val="20"/>
        </w:rPr>
        <w:t>is</w:t>
      </w:r>
      <w:r>
        <w:rPr>
          <w:rFonts w:ascii="Arial" w:eastAsia="Arial" w:hAnsi="Arial" w:cs="Arial"/>
          <w:sz w:val="20"/>
        </w:rPr>
        <w:t xml:space="preserve"> </w:t>
      </w:r>
      <w:r>
        <w:rPr>
          <w:rFonts w:ascii="Arial" w:hAnsi="Arial" w:cs="Arial"/>
          <w:sz w:val="20"/>
        </w:rPr>
        <w:t>a</w:t>
      </w:r>
      <w:r>
        <w:rPr>
          <w:rFonts w:ascii="Arial" w:eastAsia="Arial" w:hAnsi="Arial" w:cs="Arial"/>
          <w:sz w:val="20"/>
        </w:rPr>
        <w:t xml:space="preserve"> </w:t>
      </w:r>
      <w:r>
        <w:rPr>
          <w:rFonts w:ascii="Arial" w:hAnsi="Arial" w:cs="Arial"/>
          <w:sz w:val="20"/>
        </w:rPr>
        <w:t>middle</w:t>
      </w:r>
      <w:r>
        <w:rPr>
          <w:rFonts w:ascii="Arial" w:eastAsia="Arial" w:hAnsi="Arial" w:cs="Arial"/>
          <w:sz w:val="20"/>
        </w:rPr>
        <w:t xml:space="preserve"> </w:t>
      </w:r>
      <w:r>
        <w:rPr>
          <w:rFonts w:ascii="Arial" w:hAnsi="Arial" w:cs="Arial"/>
          <w:sz w:val="20"/>
        </w:rPr>
        <w:t xml:space="preserve">manager from the </w:t>
      </w:r>
      <w:r>
        <w:rPr>
          <w:rFonts w:ascii="Arial" w:hAnsi="Arial" w:cs="Arial"/>
          <w:sz w:val="20"/>
          <w:szCs w:val="20"/>
        </w:rPr>
        <w:t>Probation Trust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Probation</w:t>
      </w:r>
      <w:r>
        <w:rPr>
          <w:rFonts w:ascii="Arial" w:eastAsia="Arial" w:hAnsi="Arial" w:cs="Arial"/>
          <w:sz w:val="20"/>
        </w:rPr>
        <w:t xml:space="preserve"> </w:t>
      </w:r>
      <w:r>
        <w:rPr>
          <w:rFonts w:ascii="Arial" w:hAnsi="Arial" w:cs="Arial"/>
          <w:sz w:val="20"/>
        </w:rPr>
        <w:t>Officer</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2</w:t>
      </w:r>
      <w:r>
        <w:rPr>
          <w:rFonts w:ascii="Arial" w:eastAsia="Arial" w:hAnsi="Arial" w:cs="Arial"/>
          <w:sz w:val="20"/>
        </w:rPr>
        <w:t xml:space="preserve"> </w:t>
      </w:r>
      <w:r>
        <w:rPr>
          <w:rFonts w:ascii="Arial" w:hAnsi="Arial" w:cs="Arial"/>
          <w:sz w:val="20"/>
        </w:rPr>
        <w:t>and</w:t>
      </w:r>
      <w:r>
        <w:rPr>
          <w:rFonts w:ascii="Arial" w:eastAsia="Arial" w:hAnsi="Arial" w:cs="Arial"/>
          <w:sz w:val="20"/>
        </w:rPr>
        <w:t xml:space="preserve"> </w:t>
      </w:r>
      <w:r>
        <w:rPr>
          <w:rFonts w:ascii="Arial" w:hAnsi="Arial" w:cs="Arial"/>
          <w:sz w:val="20"/>
        </w:rPr>
        <w:t>ACO</w:t>
      </w:r>
      <w:r>
        <w:rPr>
          <w:rFonts w:ascii="Arial" w:eastAsia="Arial" w:hAnsi="Arial" w:cs="Arial"/>
          <w:sz w:val="20"/>
        </w:rPr>
        <w:t xml:space="preserve"> </w:t>
      </w:r>
      <w:r>
        <w:rPr>
          <w:rFonts w:ascii="Arial" w:hAnsi="Arial" w:cs="Arial"/>
          <w:sz w:val="20"/>
        </w:rPr>
        <w:t>(or</w:t>
      </w:r>
      <w:r>
        <w:rPr>
          <w:rFonts w:ascii="Arial" w:eastAsia="Arial" w:hAnsi="Arial" w:cs="Arial"/>
          <w:sz w:val="20"/>
        </w:rPr>
        <w:t xml:space="preserve"> </w:t>
      </w:r>
      <w:r>
        <w:rPr>
          <w:rFonts w:ascii="Arial" w:hAnsi="Arial" w:cs="Arial"/>
          <w:sz w:val="20"/>
        </w:rPr>
        <w:t>equivalent</w:t>
      </w:r>
      <w:r>
        <w:rPr>
          <w:rFonts w:ascii="Arial" w:eastAsia="Arial" w:hAnsi="Arial" w:cs="Arial"/>
          <w:sz w:val="20"/>
        </w:rPr>
        <w:t xml:space="preserve"> </w:t>
      </w:r>
      <w:r>
        <w:rPr>
          <w:rFonts w:ascii="Arial" w:hAnsi="Arial" w:cs="Arial"/>
          <w:sz w:val="20"/>
        </w:rPr>
        <w:t>senior</w:t>
      </w:r>
      <w:r>
        <w:rPr>
          <w:rFonts w:ascii="Arial" w:eastAsia="Arial" w:hAnsi="Arial" w:cs="Arial"/>
          <w:sz w:val="20"/>
        </w:rPr>
        <w:t xml:space="preserve"> </w:t>
      </w:r>
      <w:r>
        <w:rPr>
          <w:rFonts w:ascii="Arial" w:hAnsi="Arial" w:cs="Arial"/>
          <w:sz w:val="20"/>
        </w:rPr>
        <w:t>manager)</w:t>
      </w:r>
      <w:r>
        <w:rPr>
          <w:rFonts w:ascii="Arial" w:eastAsia="Arial" w:hAnsi="Arial" w:cs="Arial"/>
          <w:sz w:val="20"/>
        </w:rPr>
        <w:t xml:space="preserve"> </w:t>
      </w:r>
      <w:r>
        <w:rPr>
          <w:rFonts w:ascii="Arial" w:hAnsi="Arial" w:cs="Arial"/>
          <w:sz w:val="20"/>
        </w:rPr>
        <w:t>at</w:t>
      </w:r>
      <w:r>
        <w:rPr>
          <w:rFonts w:ascii="Arial" w:eastAsia="Arial" w:hAnsi="Arial" w:cs="Arial"/>
          <w:sz w:val="20"/>
        </w:rPr>
        <w:t xml:space="preserve"> </w:t>
      </w:r>
      <w:r>
        <w:rPr>
          <w:rFonts w:ascii="Arial" w:hAnsi="Arial" w:cs="Arial"/>
          <w:sz w:val="20"/>
        </w:rPr>
        <w:t>level</w:t>
      </w:r>
      <w:r>
        <w:rPr>
          <w:rFonts w:ascii="Arial" w:eastAsia="Arial" w:hAnsi="Arial" w:cs="Arial"/>
          <w:sz w:val="20"/>
        </w:rPr>
        <w:t xml:space="preserve"> </w:t>
      </w:r>
      <w:r>
        <w:rPr>
          <w:rFonts w:ascii="Arial" w:hAnsi="Arial" w:cs="Arial"/>
          <w:sz w:val="20"/>
        </w:rPr>
        <w:t>3.</w:t>
      </w:r>
      <w:r>
        <w:rPr>
          <w:rFonts w:ascii="Arial" w:eastAsia="Arial" w:hAnsi="Arial" w:cs="Arial"/>
          <w:sz w:val="20"/>
        </w:rPr>
        <w:t xml:space="preserve"> </w:t>
      </w:r>
    </w:p>
    <w:p w14:paraId="198A71F7" w14:textId="77777777" w:rsidR="00F2123B" w:rsidRDefault="00F2123B">
      <w:pPr>
        <w:spacing w:line="280" w:lineRule="atLeast"/>
        <w:rPr>
          <w:rFonts w:ascii="Arial" w:hAnsi="Arial" w:cs="Arial"/>
          <w:sz w:val="20"/>
        </w:rPr>
      </w:pP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48"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mental health and YOT) must ensure that the MAPPA Co-ordinator has access to, or is supplied with, the relevant data about the offenders they are responsible for. Many offenders will be supervised by more than one agency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BA3EC8">
      <w:pPr>
        <w:spacing w:before="120" w:after="240" w:line="280" w:lineRule="exact"/>
      </w:pPr>
      <w:hyperlink r:id="rId49" w:history="1">
        <w:r w:rsidR="00200CFB">
          <w:rPr>
            <w:rFonts w:ascii="Arial" w:eastAsia="Calibri" w:hAnsi="Arial" w:cs="Arial"/>
            <w:sz w:val="20"/>
            <w:szCs w:val="20"/>
            <w:u w:val="single"/>
            <w:lang w:eastAsia="en-US"/>
          </w:rPr>
          <w:t>http://www.statisticsauthority.gov.uk/assessment/code-of-practice/index.html</w:t>
        </w:r>
      </w:hyperlink>
      <w:r w:rsidR="00200CFB">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IDVA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RMP</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headerReference w:type="default" r:id="rId50"/>
          <w:footerReference w:type="default" r:id="rId51"/>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E1AEB" w14:textId="77777777" w:rsidR="00F332F9" w:rsidRDefault="00F332F9">
      <w:r>
        <w:separator/>
      </w:r>
    </w:p>
  </w:endnote>
  <w:endnote w:type="continuationSeparator" w:id="0">
    <w:p w14:paraId="2260624A" w14:textId="77777777" w:rsidR="00F332F9" w:rsidRDefault="00F332F9">
      <w:r>
        <w:continuationSeparator/>
      </w:r>
    </w:p>
  </w:endnote>
  <w:endnote w:type="continuationNotice" w:id="1">
    <w:p w14:paraId="1EE9AD62" w14:textId="77777777" w:rsidR="004D691E" w:rsidRDefault="004D69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Arial Unicode MS"/>
    <w:charset w:val="80"/>
    <w:family w:val="swiss"/>
    <w:pitch w:val="default"/>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5D0784"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w:t>
                    </w:r>
                    <w:proofErr w:type="spellStart"/>
                    <w:r>
                      <w:rPr>
                        <w:rStyle w:val="PageNumber"/>
                      </w:rPr>
                      <w:t>i</w:t>
                    </w:r>
                    <w:proofErr w:type="spellEnd"/>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5D0784" w:rsidRDefault="0020098A">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5D0784" w:rsidRDefault="0020098A">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5D0784"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90259" w14:textId="77777777" w:rsidR="00F332F9" w:rsidRDefault="00F332F9">
      <w:r>
        <w:rPr>
          <w:color w:val="000000"/>
        </w:rPr>
        <w:separator/>
      </w:r>
    </w:p>
  </w:footnote>
  <w:footnote w:type="continuationSeparator" w:id="0">
    <w:p w14:paraId="593320F0" w14:textId="77777777" w:rsidR="00F332F9" w:rsidRDefault="00F332F9">
      <w:r>
        <w:continuationSeparator/>
      </w:r>
    </w:p>
  </w:footnote>
  <w:footnote w:type="continuationNotice" w:id="1">
    <w:p w14:paraId="1A0CE92B" w14:textId="77777777" w:rsidR="004D691E" w:rsidRDefault="004D691E"/>
  </w:footnote>
  <w:footnote w:id="2">
    <w:p w14:paraId="5D1C5B7E" w14:textId="77777777" w:rsidR="009E0DD4" w:rsidRDefault="009E0DD4" w:rsidP="009E0DD4">
      <w:pPr>
        <w:pStyle w:val="FootnoteText"/>
      </w:pPr>
      <w:r>
        <w:rPr>
          <w:rStyle w:val="FootnoteReference"/>
        </w:rPr>
        <w:footnoteRef/>
      </w:r>
      <w:r>
        <w:t xml:space="preserve"> Wording in CJA 2003 is “Ministers of the Crown exercising functions in relation to social security, child support, war pensions, employment and training.”</w:t>
      </w:r>
    </w:p>
  </w:footnote>
  <w:footnote w:id="3">
    <w:p w14:paraId="23EEC5BF" w14:textId="77777777" w:rsidR="009E0DD4" w:rsidRDefault="009E0DD4" w:rsidP="009E0DD4">
      <w:pPr>
        <w:pStyle w:val="FootnoteText"/>
      </w:pPr>
      <w:r>
        <w:rPr>
          <w:rStyle w:val="FootnoteReference"/>
        </w:rPr>
        <w:footnoteRef/>
      </w:r>
      <w:r>
        <w:t xml:space="preserve"> In the capacity of exercising functions in relation to war pensions.</w:t>
      </w:r>
    </w:p>
  </w:footnote>
  <w:footnote w:id="4">
    <w:p w14:paraId="1A24E31E" w14:textId="77777777" w:rsidR="009E0DD4" w:rsidRDefault="009E0DD4" w:rsidP="009E0DD4">
      <w:pPr>
        <w:pStyle w:val="FootnoteText"/>
      </w:pPr>
      <w:r>
        <w:rPr>
          <w:rStyle w:val="FootnoteReference"/>
        </w:rPr>
        <w:footnoteRef/>
      </w:r>
      <w:r>
        <w:t xml:space="preserve"> Originally education authority and social services authority amended by The Local Education Authorities and Children's Services Authorities (Integration of Functions) Order 2010, Sch.2 s.53.</w:t>
      </w:r>
    </w:p>
  </w:footnote>
  <w:footnote w:id="5">
    <w:p w14:paraId="1429A841" w14:textId="77777777" w:rsidR="009E0DD4" w:rsidRDefault="009E0DD4" w:rsidP="009E0DD4">
      <w:pPr>
        <w:pStyle w:val="FootnoteText"/>
      </w:pPr>
      <w:r>
        <w:rPr>
          <w:rStyle w:val="FootnoteReference"/>
        </w:rPr>
        <w:footnoteRef/>
      </w:r>
      <w:r>
        <w:t xml:space="preserve"> Added by The Health and Social Care Act 2012, Sch.5 s.124.</w:t>
      </w:r>
    </w:p>
  </w:footnote>
  <w:footnote w:id="6">
    <w:p w14:paraId="1D287B7D" w14:textId="77777777" w:rsidR="009E0DD4" w:rsidRDefault="009E0DD4" w:rsidP="009E0DD4">
      <w:pPr>
        <w:pStyle w:val="FootnoteText"/>
      </w:pPr>
      <w:r>
        <w:rPr>
          <w:rStyle w:val="FootnoteReference"/>
        </w:rPr>
        <w:footnoteRef/>
      </w:r>
      <w:r>
        <w:t xml:space="preserve"> Added as the NHS Commissioning Board by The Health and Social Care Act 2012, Sch.5 s.124.</w:t>
      </w:r>
    </w:p>
  </w:footnote>
  <w:footnote w:id="7">
    <w:p w14:paraId="351634E4" w14:textId="77777777" w:rsidR="009E0DD4" w:rsidRDefault="009E0DD4" w:rsidP="009E0DD4">
      <w:pPr>
        <w:pStyle w:val="FootnoteText"/>
      </w:pPr>
      <w:r>
        <w:rPr>
          <w:rStyle w:val="FootnoteReference"/>
        </w:rPr>
        <w:footnoteRef/>
      </w:r>
      <w:r>
        <w:t xml:space="preserve"> CCG replaced Primary Care Trust by The Health and Social Care Act 2012, Sch.5 s.124.</w:t>
      </w:r>
    </w:p>
  </w:footnote>
  <w:footnote w:id="8">
    <w:p w14:paraId="2FF7D76F" w14:textId="77777777" w:rsidR="009E0DD4" w:rsidRDefault="009E0DD4" w:rsidP="009E0DD4">
      <w:pPr>
        <w:pStyle w:val="FootnoteText"/>
      </w:pPr>
      <w:r>
        <w:rPr>
          <w:rStyle w:val="FootnoteReference"/>
        </w:rPr>
        <w:footnoteRef/>
      </w:r>
      <w:r>
        <w:t xml:space="preserve"> P</w:t>
      </w:r>
      <w:r>
        <w:rPr>
          <w:rStyle w:val="legaddition5"/>
          <w:lang w:val="en"/>
        </w:rPr>
        <w:t>rivate registered provider of social housing a</w:t>
      </w:r>
      <w:r>
        <w:t>dded by The Housing and Regeneration Act 2008 (Consequential Provisions) Order 2010, Sch.2 s.126</w:t>
      </w:r>
    </w:p>
  </w:footnote>
  <w:footnote w:id="9">
    <w:p w14:paraId="52109789" w14:textId="77777777" w:rsidR="009E0DD4" w:rsidRDefault="009E0DD4" w:rsidP="009E0DD4">
      <w:pPr>
        <w:rPr>
          <w:sz w:val="20"/>
          <w:szCs w:val="20"/>
        </w:rPr>
      </w:pPr>
      <w:r>
        <w:rPr>
          <w:rStyle w:val="FootnoteReference"/>
        </w:rPr>
        <w:footnoteRef/>
      </w:r>
      <w:r>
        <w:t xml:space="preserve"> </w:t>
      </w:r>
      <w:r>
        <w:rPr>
          <w:sz w:val="20"/>
          <w:szCs w:val="20"/>
        </w:rPr>
        <w:t>Added by</w:t>
      </w:r>
      <w:r>
        <w:t xml:space="preserve"> </w:t>
      </w:r>
      <w:r>
        <w:rPr>
          <w:sz w:val="20"/>
          <w:szCs w:val="20"/>
        </w:rPr>
        <w:t>Co-operation in Public Protection Arrangements (UK Border Agency) Order 2011, s.2. Wording is “the persons listed in section 48(1A)(a) to (e) of the UK Borders Act 2007 and any person acting pursuant to arrangements relating to the discharge of a function within section 48(1A) of that Act (persons exercising functions as the UK Border Agency).”</w:t>
      </w:r>
    </w:p>
    <w:p w14:paraId="61925748" w14:textId="77777777" w:rsidR="009E0DD4" w:rsidRDefault="009E0DD4" w:rsidP="009E0DD4">
      <w:pPr>
        <w:pStyle w:val="FootnoteText"/>
      </w:pPr>
    </w:p>
  </w:footnote>
  <w:footnote w:id="10">
    <w:p w14:paraId="462B504E" w14:textId="77777777" w:rsidR="009E0DD4" w:rsidRDefault="009E0DD4" w:rsidP="009E0DD4">
      <w:pPr>
        <w:pStyle w:val="FootnoteText"/>
      </w:pPr>
      <w:r>
        <w:rPr>
          <w:rStyle w:val="FootnoteReference"/>
        </w:rPr>
        <w:footnoteRef/>
      </w:r>
      <w:r>
        <w:t xml:space="preserve"> https://www.gov.uk/government/publications/keeping-children-safe-in-education--2.</w:t>
      </w:r>
    </w:p>
  </w:footnote>
  <w:footnote w:id="11">
    <w:p w14:paraId="06B49070" w14:textId="77777777" w:rsidR="009E0DD4" w:rsidRDefault="009E0DD4" w:rsidP="009E0DD4">
      <w:pPr>
        <w:pStyle w:val="FootnoteText"/>
      </w:pPr>
      <w:r>
        <w:rPr>
          <w:rStyle w:val="FootnoteReference"/>
        </w:rPr>
        <w:footnoteRef/>
      </w:r>
      <w:r>
        <w:t xml:space="preserve"> https://www.gov.uk/government/publications/working-together-to-safeguard-children--2</w:t>
      </w:r>
    </w:p>
  </w:footnote>
  <w:footnote w:id="12">
    <w:p w14:paraId="5815D2D5" w14:textId="77777777" w:rsidR="009E0DD4" w:rsidRDefault="009E0DD4" w:rsidP="009E0DD4">
      <w:pPr>
        <w:pStyle w:val="FootnoteText"/>
      </w:pPr>
      <w:r>
        <w:rPr>
          <w:rStyle w:val="FootnoteReference"/>
        </w:rPr>
        <w:footnoteRef/>
      </w:r>
      <w:hyperlink r:id="rId1" w:history="1">
        <w:r>
          <w:rPr>
            <w:rStyle w:val="Hyperlink"/>
          </w:rPr>
          <w:t>https://www.gov.uk/government/uploads/system/uploads/attachment_data/file/419604/What_to_do_if_you_re_worried_a_child_is_being_abused.pdf</w:t>
        </w:r>
      </w:hyperlink>
      <w:r>
        <w:t xml:space="preserve"> </w:t>
      </w:r>
    </w:p>
  </w:footnote>
  <w:footnote w:id="13">
    <w:p w14:paraId="198A66C9" w14:textId="77777777" w:rsidR="00F2123B" w:rsidRDefault="00200CFB">
      <w:pPr>
        <w:pStyle w:val="FootnoteText"/>
      </w:pPr>
      <w:r>
        <w:rPr>
          <w:rStyle w:val="FootnoteReference"/>
        </w:rPr>
        <w:footnoteRef/>
      </w:r>
      <w:r>
        <w:rPr>
          <w:rFonts w:ascii="Arial" w:hAnsi="Arial" w:cs="Arial"/>
        </w:rPr>
        <w:t xml:space="preserve"> As defined by Section 327 of the Criminal Justice Act 2003.</w:t>
      </w:r>
    </w:p>
  </w:footnote>
  <w:footnote w:id="14">
    <w:p w14:paraId="198A66CA" w14:textId="77777777" w:rsidR="00F2123B" w:rsidRDefault="00200CFB">
      <w:pPr>
        <w:pStyle w:val="FootnoteText"/>
      </w:pPr>
      <w:r>
        <w:rPr>
          <w:rStyle w:val="FootnoteReference"/>
        </w:rPr>
        <w:footnoteRef/>
      </w:r>
      <w:r>
        <w:t xml:space="preserve"> </w:t>
      </w:r>
      <w:hyperlink r:id="rId2" w:history="1">
        <w:r>
          <w:rPr>
            <w:rStyle w:val="Hyperlink"/>
            <w:rFonts w:cs="Arial"/>
          </w:rPr>
          <w:t>https://www.gov.uk/government/publications/the-7-principles-of-public-life</w:t>
        </w:r>
      </w:hyperlink>
    </w:p>
  </w:footnote>
  <w:footnote w:id="15">
    <w:p w14:paraId="198A66CB"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cs="Arial"/>
          </w:rPr>
          <w:t>https://www.gov.uk/government/publications/board-members-of-public-bodies-code-of-conduct</w:t>
        </w:r>
      </w:hyperlink>
    </w:p>
  </w:footnote>
  <w:footnote w:id="16">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4" w:history="1">
        <w:r>
          <w:rPr>
            <w:rStyle w:val="Hyperlink"/>
            <w:lang w:val="en"/>
          </w:rPr>
          <w:t>http://www.legislation.gov.uk/ukpga/2003/44/schedule/15</w:t>
        </w:r>
      </w:hyperlink>
      <w:r>
        <w:rPr>
          <w:lang w:val="en"/>
        </w:rPr>
        <w:t>.</w:t>
      </w:r>
    </w:p>
  </w:footnote>
  <w:footnote w:id="17">
    <w:p w14:paraId="4945BAA6" w14:textId="77777777" w:rsidR="00385DAF" w:rsidRDefault="00385DAF" w:rsidP="00385DAF">
      <w:pPr>
        <w:pStyle w:val="FootnoteText"/>
      </w:pPr>
      <w:r>
        <w:rPr>
          <w:rStyle w:val="FootnoteReference"/>
        </w:rPr>
        <w:footnoteRef/>
      </w:r>
      <w:r>
        <w:t xml:space="preserve"> </w:t>
      </w:r>
      <w:hyperlink r:id="rId5" w:history="1">
        <w:r>
          <w:rPr>
            <w:rStyle w:val="Hyperlink"/>
            <w:lang w:val="en"/>
          </w:rPr>
          <w:t>https://www.legislation.gov.uk/ukpga/2006/52/section/42</w:t>
        </w:r>
      </w:hyperlink>
    </w:p>
  </w:footnote>
  <w:footnote w:id="18">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19">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0">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1">
    <w:p w14:paraId="198A66D5" w14:textId="77777777" w:rsidR="00F2123B" w:rsidRDefault="00200CFB">
      <w:pPr>
        <w:pStyle w:val="FootnoteText"/>
      </w:pPr>
      <w:r>
        <w:rPr>
          <w:rStyle w:val="FootnoteReference"/>
        </w:rPr>
        <w:footnoteRef/>
      </w:r>
      <w:r>
        <w:t xml:space="preserve"> Offender Assessment System (OASys)</w:t>
      </w:r>
    </w:p>
  </w:footnote>
  <w:footnote w:id="22">
    <w:p w14:paraId="198A66D6" w14:textId="77777777" w:rsidR="00F2123B" w:rsidRDefault="00200CFB">
      <w:pPr>
        <w:pStyle w:val="Footer"/>
      </w:pPr>
      <w:r>
        <w:rPr>
          <w:rStyle w:val="FootnoteReference"/>
        </w:rPr>
        <w:footnoteRef/>
      </w:r>
      <w:r>
        <w:t xml:space="preserve"> </w:t>
      </w:r>
      <w:r>
        <w:rPr>
          <w:rFonts w:ascii="Arial" w:hAnsi="Arial" w:cs="Arial"/>
          <w:sz w:val="20"/>
          <w:szCs w:val="20"/>
        </w:rPr>
        <w:t>This table draws on the MAPPA Guidance; the OASys Handbook; and current legislation. ‘Risk Levels’ from Kemshall, Mackenzie, G; Mackenzie, S. and Wilkinson (2011) ‘The Risk of Harm Guidance and Training Resources’ (2011) NOMS/De Montfort University. Amended May 2012. Amended National MAPPA Team September 2016.</w:t>
      </w:r>
    </w:p>
  </w:footnote>
  <w:footnote w:id="23">
    <w:p w14:paraId="198A66D7" w14:textId="77777777" w:rsidR="00F2123B" w:rsidRDefault="00200CFB">
      <w:r>
        <w:rPr>
          <w:rStyle w:val="FootnoteReference"/>
        </w:rPr>
        <w:footnoteRef/>
      </w:r>
      <w:r>
        <w:t xml:space="preserve"> </w:t>
      </w:r>
      <w:r>
        <w:rPr>
          <w:rFonts w:ascii="Arial" w:hAnsi="Arial" w:cs="Arial"/>
          <w:color w:val="000000"/>
          <w:sz w:val="20"/>
          <w:szCs w:val="20"/>
        </w:rPr>
        <w:t xml:space="preserve">Kemshall, H. (1998) Defensible decisions for risk.  </w:t>
      </w:r>
      <w:r>
        <w:rPr>
          <w:rFonts w:ascii="Arial" w:hAnsi="Arial" w:cs="Arial"/>
          <w:iCs/>
          <w:color w:val="000000"/>
          <w:sz w:val="20"/>
          <w:szCs w:val="20"/>
        </w:rPr>
        <w:t xml:space="preserve">Probation Journal 45 (2) 67-72. </w:t>
      </w:r>
    </w:p>
    <w:p w14:paraId="198A66D8" w14:textId="77777777" w:rsidR="00F2123B" w:rsidRDefault="00200CFB">
      <w:r>
        <w:rPr>
          <w:rFonts w:ascii="Arial" w:hAnsi="Arial" w:cs="Arial"/>
          <w:color w:val="000000"/>
          <w:sz w:val="20"/>
          <w:szCs w:val="20"/>
        </w:rPr>
        <w:t xml:space="preserve">Kemshall,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4">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Kemshall at De Montfort University. The model is based on the four pillars of Supervision, Monitoring &amp; Control, Interventions and Treatment and Victim Safety Planning.</w:t>
      </w:r>
    </w:p>
  </w:footnote>
  <w:footnote w:id="25">
    <w:p w14:paraId="198A66DA" w14:textId="77777777" w:rsidR="00F2123B" w:rsidRDefault="00200CFB">
      <w:pPr>
        <w:pStyle w:val="FootnoteText"/>
      </w:pPr>
      <w:r>
        <w:rPr>
          <w:rStyle w:val="FootnoteReference"/>
        </w:rPr>
        <w:footnoteRef/>
      </w:r>
      <w:r>
        <w:rPr>
          <w:rFonts w:ascii="Arial" w:hAnsi="Arial" w:cs="Arial"/>
        </w:rPr>
        <w:t xml:space="preserve"> </w:t>
      </w:r>
      <w:hyperlink r:id="rId6"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6">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r w:rsidRPr="00EC77F3">
        <w:rPr>
          <w:rFonts w:ascii="Arial" w:eastAsia="Arial" w:hAnsi="Arial" w:cs="Arial"/>
          <w:sz w:val="18"/>
          <w:szCs w:val="18"/>
          <w:lang w:val="en"/>
        </w:rPr>
        <w:t xml:space="preserve">emshall,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7">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r w:rsidRPr="00EC77F3">
        <w:rPr>
          <w:rFonts w:ascii="Arial" w:eastAsia="Arial" w:hAnsi="Arial" w:cs="Arial"/>
          <w:sz w:val="18"/>
          <w:szCs w:val="18"/>
          <w:lang w:val="en"/>
        </w:rPr>
        <w:t xml:space="preserve">Kemshall,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8">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7">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8">
    <w:p w14:paraId="4857DD92" w14:textId="77777777" w:rsidR="00F13D29" w:rsidRDefault="00F13D29" w:rsidP="00F13D29">
      <w:pPr>
        <w:pStyle w:val="FootnoteText"/>
      </w:pPr>
      <w:r>
        <w:rPr>
          <w:rStyle w:val="FootnoteReference"/>
        </w:rPr>
        <w:footnoteRef/>
      </w:r>
      <w:r>
        <w:t xml:space="preserve"> Those who have more than 10 months left to serve after sentence calculation. </w:t>
      </w:r>
    </w:p>
  </w:footnote>
  <w:footnote w:id="29">
    <w:p w14:paraId="6DDC0CB8" w14:textId="1F04BE16" w:rsidR="00F13D29" w:rsidRDefault="00F13D29" w:rsidP="00F13D29">
      <w:pPr>
        <w:pStyle w:val="FootnoteText"/>
      </w:pPr>
      <w:r>
        <w:rPr>
          <w:rStyle w:val="FootnoteReference"/>
        </w:rPr>
        <w:footnoteRef/>
      </w:r>
      <w:r>
        <w:t xml:space="preserve"> The handover process starts </w:t>
      </w:r>
      <w:r w:rsidR="004D691E">
        <w:t>8</w:t>
      </w:r>
      <w:r>
        <w:t xml:space="preserve">.5 </w:t>
      </w:r>
      <w:r w:rsidR="004D691E">
        <w:t>months</w:t>
      </w:r>
      <w:r w:rsidR="008C647D">
        <w:t xml:space="preserve"> </w:t>
      </w:r>
      <w:r>
        <w:t>before release or 8</w:t>
      </w:r>
      <w:r w:rsidR="008C647D">
        <w:t xml:space="preserve"> </w:t>
      </w:r>
      <w:r>
        <w:t>m</w:t>
      </w:r>
      <w:r w:rsidR="008C647D">
        <w:t>onths</w:t>
      </w:r>
      <w:r>
        <w:t xml:space="preserve"> for parole cases. For Early allocation cases the handover starts once the referral is accepted which can be up to 18 months pre-release. </w:t>
      </w:r>
    </w:p>
  </w:footnote>
  <w:footnote w:id="30">
    <w:p w14:paraId="2DE0D127" w14:textId="77777777" w:rsidR="00F13D29" w:rsidRDefault="00F13D29" w:rsidP="00F13D29">
      <w:pPr>
        <w:pStyle w:val="FootnoteText"/>
      </w:pPr>
      <w:r>
        <w:rPr>
          <w:rStyle w:val="FootnoteReference"/>
        </w:rPr>
        <w:footnoteRef/>
      </w:r>
      <w:r>
        <w:t xml:space="preserve"> Guidance for prisons on recording MAPPA alerts on NOMIS can be found on EQUiP</w:t>
      </w:r>
    </w:p>
  </w:footnote>
  <w:footnote w:id="31">
    <w:p w14:paraId="24C484A2" w14:textId="77777777" w:rsidR="00F13D29" w:rsidRDefault="00F13D29" w:rsidP="00F13D29">
      <w:pPr>
        <w:pStyle w:val="FootnoteText"/>
      </w:pPr>
      <w:r>
        <w:rPr>
          <w:rStyle w:val="FootnoteReference"/>
        </w:rPr>
        <w:footnoteRef/>
      </w:r>
      <w:r>
        <w:t xml:space="preserve"> </w:t>
      </w:r>
      <w:r w:rsidRPr="00823677">
        <w:t xml:space="preserve">Please see </w:t>
      </w:r>
      <w:hyperlink r:id="rId9" w:history="1">
        <w:r>
          <w:rPr>
            <w:rStyle w:val="Hyperlink"/>
          </w:rPr>
          <w:t>Prison adjudications policy: PSI 05/2018</w:t>
        </w:r>
      </w:hyperlink>
    </w:p>
  </w:footnote>
  <w:footnote w:id="32">
    <w:p w14:paraId="22210EEC" w14:textId="77777777" w:rsidR="00F13D29" w:rsidRDefault="00F13D29" w:rsidP="00F13D29">
      <w:pPr>
        <w:pStyle w:val="FootnoteText"/>
      </w:pPr>
      <w:r>
        <w:rPr>
          <w:rStyle w:val="FootnoteReference"/>
        </w:rPr>
        <w:footnoteRef/>
      </w:r>
      <w:r>
        <w:t xml:space="preserve"> </w:t>
      </w:r>
      <w:hyperlink r:id="rId10" w:history="1">
        <w:r>
          <w:rPr>
            <w:rStyle w:val="Hyperlink"/>
          </w:rPr>
          <w:t>Generic Parole Process Policy Framework - GOV.UK (www.gov.uk)</w:t>
        </w:r>
      </w:hyperlink>
    </w:p>
  </w:footnote>
  <w:footnote w:id="33">
    <w:p w14:paraId="694645EE" w14:textId="77777777" w:rsidR="00F13D29" w:rsidRDefault="00F13D29" w:rsidP="00F13D29">
      <w:pPr>
        <w:pStyle w:val="FootnoteText"/>
      </w:pPr>
      <w:r>
        <w:rPr>
          <w:rStyle w:val="FootnoteReference"/>
        </w:rPr>
        <w:footnoteRef/>
      </w:r>
      <w:r>
        <w:t xml:space="preserve"> When requested, prisons should facilitate the COMs virtual attendance at IRMM </w:t>
      </w:r>
    </w:p>
  </w:footnote>
  <w:footnote w:id="34">
    <w:p w14:paraId="47F59F44" w14:textId="77777777" w:rsidR="00F13D29" w:rsidRDefault="00F13D29" w:rsidP="00F13D29">
      <w:pPr>
        <w:pStyle w:val="FootnoteText"/>
      </w:pPr>
      <w:r>
        <w:rPr>
          <w:rStyle w:val="FootnoteReference"/>
        </w:rPr>
        <w:footnoteRef/>
      </w:r>
      <w:r>
        <w:t xml:space="preserve"> </w:t>
      </w:r>
      <w:r w:rsidRPr="00014785">
        <w:t>Probation Service Management of MAPPA Level 1 Cases Policy Framework</w:t>
      </w:r>
    </w:p>
  </w:footnote>
  <w:footnote w:id="35">
    <w:p w14:paraId="34EBCB72" w14:textId="77777777" w:rsidR="00F13D29" w:rsidRDefault="00F13D29" w:rsidP="00F13D29">
      <w:pPr>
        <w:pStyle w:val="FootnoteText"/>
      </w:pPr>
      <w:r>
        <w:rPr>
          <w:rStyle w:val="FootnoteReference"/>
        </w:rPr>
        <w:footnoteRef/>
      </w:r>
      <w:r>
        <w:t xml:space="preserve"> </w:t>
      </w:r>
      <w:hyperlink r:id="rId11" w:history="1">
        <w:r w:rsidRPr="002569C1">
          <w:rPr>
            <w:rStyle w:val="Hyperlink"/>
          </w:rPr>
          <w:t>https://mappa.justice.gov.uk/connect.ti/General/view?objectId=23037029</w:t>
        </w:r>
      </w:hyperlink>
      <w:r>
        <w:t xml:space="preserve"> </w:t>
      </w:r>
    </w:p>
  </w:footnote>
  <w:footnote w:id="36">
    <w:p w14:paraId="54E8A2CA" w14:textId="77777777" w:rsidR="00F13D29" w:rsidRDefault="00F13D29" w:rsidP="00F13D29">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7">
    <w:p w14:paraId="7BB9F912" w14:textId="77777777" w:rsidR="00F13D29" w:rsidRDefault="00F13D29" w:rsidP="00F13D29">
      <w:pPr>
        <w:pStyle w:val="FootnoteText"/>
      </w:pPr>
      <w:r>
        <w:rPr>
          <w:rStyle w:val="FootnoteReference"/>
        </w:rPr>
        <w:footnoteRef/>
      </w:r>
      <w:r>
        <w:t xml:space="preserve"> Unless there is a specific action which only the transferring prison/author of the MAPPA F can reasonably complete. </w:t>
      </w:r>
    </w:p>
  </w:footnote>
  <w:footnote w:id="38">
    <w:p w14:paraId="289511A4" w14:textId="77777777" w:rsidR="00F13D29" w:rsidRDefault="00F13D29" w:rsidP="00F13D29">
      <w:pPr>
        <w:pStyle w:val="FootnoteText"/>
      </w:pPr>
      <w:r>
        <w:rPr>
          <w:rStyle w:val="FootnoteReference"/>
        </w:rPr>
        <w:footnoteRef/>
      </w:r>
      <w:r>
        <w:t xml:space="preserve"> Microsoft Teams invitations all contain a telephone dial-in number giving prison staff great access to virtual meetings.  </w:t>
      </w:r>
    </w:p>
  </w:footnote>
  <w:footnote w:id="39">
    <w:p w14:paraId="79D27BD8" w14:textId="77777777" w:rsidR="00F13D29" w:rsidRPr="00B84E40" w:rsidRDefault="00F13D29" w:rsidP="00F13D29">
      <w:pPr>
        <w:pStyle w:val="FootnoteText"/>
        <w:rPr>
          <w:b/>
        </w:rPr>
      </w:pPr>
      <w:r>
        <w:rPr>
          <w:rStyle w:val="FootnoteReference"/>
        </w:rPr>
        <w:footnoteRef/>
      </w:r>
      <w:r>
        <w:t xml:space="preserve"> </w:t>
      </w:r>
      <w:hyperlink r:id="rId12" w:history="1">
        <w:r>
          <w:rPr>
            <w:rStyle w:val="Hyperlink"/>
          </w:rPr>
          <w:t>Release on temporary licence - GOV.UK (www.gov.uk)</w:t>
        </w:r>
      </w:hyperlink>
      <w:r>
        <w:t xml:space="preserve"> </w:t>
      </w:r>
    </w:p>
  </w:footnote>
  <w:footnote w:id="40">
    <w:p w14:paraId="1AE6014F" w14:textId="77777777" w:rsidR="00F13D29" w:rsidRDefault="00F13D29" w:rsidP="00F13D29">
      <w:pPr>
        <w:pStyle w:val="FootnoteText"/>
      </w:pPr>
      <w:r>
        <w:rPr>
          <w:rStyle w:val="FootnoteReference"/>
        </w:rPr>
        <w:footnoteRef/>
      </w:r>
      <w:r>
        <w:t xml:space="preserve"> </w:t>
      </w:r>
      <w:hyperlink r:id="rId13" w:history="1">
        <w:r>
          <w:rPr>
            <w:rStyle w:val="Hyperlink"/>
          </w:rPr>
          <w:t>PSO 6300</w:t>
        </w:r>
      </w:hyperlink>
    </w:p>
  </w:footnote>
  <w:footnote w:id="41">
    <w:p w14:paraId="198A66E4" w14:textId="77777777" w:rsidR="00F2123B" w:rsidRDefault="00200CFB">
      <w:pPr>
        <w:pStyle w:val="FootnoteText"/>
      </w:pPr>
      <w:r>
        <w:rPr>
          <w:rStyle w:val="FootnoteReference"/>
        </w:rPr>
        <w:footnoteRef/>
      </w:r>
      <w:r>
        <w:t xml:space="preserve"> </w:t>
      </w:r>
      <w:hyperlink r:id="rId14" w:history="1">
        <w:r>
          <w:rPr>
            <w:rStyle w:val="Hyperlink"/>
          </w:rPr>
          <w:t>https://www.legislation.gov.uk/ukpga/2006/52/section/42</w:t>
        </w:r>
      </w:hyperlink>
      <w:r>
        <w:t xml:space="preserve"> </w:t>
      </w:r>
    </w:p>
  </w:footnote>
  <w:footnote w:id="42">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3">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4">
    <w:p w14:paraId="71F23A90" w14:textId="77777777" w:rsidR="00817113" w:rsidRDefault="00817113" w:rsidP="00817113">
      <w:pPr>
        <w:pStyle w:val="FootnoteText"/>
      </w:pPr>
      <w:r>
        <w:rPr>
          <w:rStyle w:val="FootnoteReference"/>
        </w:rPr>
        <w:footnoteRef/>
      </w:r>
      <w:r>
        <w:t xml:space="preserve"> Certain persons from abroad are ineligible. See s.185 Housing Act 1996 for further details.</w:t>
      </w:r>
    </w:p>
  </w:footnote>
  <w:footnote w:id="45">
    <w:p w14:paraId="74BD992D" w14:textId="77777777" w:rsidR="00817113" w:rsidRDefault="00817113" w:rsidP="00817113">
      <w:pPr>
        <w:pStyle w:val="FootnoteText"/>
      </w:pPr>
      <w:r>
        <w:rPr>
          <w:rStyle w:val="FootnoteReference"/>
        </w:rPr>
        <w:footnoteRef/>
      </w:r>
      <w:r>
        <w:t xml:space="preserve"> The Homelessness (Priority Need for Accommodation) (England) Order 2002  </w:t>
      </w:r>
    </w:p>
  </w:footnote>
  <w:footnote w:id="46">
    <w:p w14:paraId="28AA3EB9" w14:textId="77777777" w:rsidR="00817113" w:rsidRDefault="00817113" w:rsidP="00817113">
      <w:pPr>
        <w:pStyle w:val="FootnoteText"/>
      </w:pPr>
      <w:r>
        <w:rPr>
          <w:rStyle w:val="FootnoteReference"/>
        </w:rPr>
        <w:footnoteRef/>
      </w:r>
      <w:r>
        <w:t xml:space="preserve"> </w:t>
      </w:r>
      <w:hyperlink r:id="rId15" w:history="1">
        <w:r>
          <w:rPr>
            <w:rStyle w:val="Hyperlink"/>
          </w:rPr>
          <w:t>https://www.gov.uk/guidance/homelessness-code-of-guidance-for-local-authorities/chapter-8-priority-need</w:t>
        </w:r>
      </w:hyperlink>
    </w:p>
  </w:footnote>
  <w:footnote w:id="47">
    <w:p w14:paraId="2634FDED" w14:textId="77777777" w:rsidR="00817113" w:rsidRDefault="00817113" w:rsidP="00817113">
      <w:pPr>
        <w:pStyle w:val="FootnoteText"/>
      </w:pPr>
      <w:r>
        <w:rPr>
          <w:rStyle w:val="FootnoteReference"/>
        </w:rPr>
        <w:footnoteRef/>
      </w:r>
      <w:r>
        <w:t xml:space="preserve"> </w:t>
      </w:r>
      <w:hyperlink r:id="rId16" w:history="1">
        <w:r>
          <w:rPr>
            <w:rStyle w:val="Hyperlink"/>
          </w:rPr>
          <w:t>Chapter 23: People with an offending history - Homelessness code of guidance for local authorities - Guidance - GOV.UK (www.gov.uk)</w:t>
        </w:r>
      </w:hyperlink>
    </w:p>
  </w:footnote>
  <w:footnote w:id="48">
    <w:p w14:paraId="59FE21D9" w14:textId="77777777" w:rsidR="00817113" w:rsidRDefault="00817113" w:rsidP="00817113">
      <w:pPr>
        <w:pStyle w:val="FootnoteText"/>
      </w:pPr>
      <w:r>
        <w:rPr>
          <w:rStyle w:val="FootnoteReference"/>
        </w:rPr>
        <w:footnoteRef/>
      </w:r>
      <w:r>
        <w:t xml:space="preserve"> Changes introduced by Chapter 7 of the Localism Act 2011.</w:t>
      </w:r>
    </w:p>
  </w:footnote>
  <w:footnote w:id="49">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0">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1">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Notices  </w:t>
      </w:r>
      <w:r>
        <w:rPr>
          <w:rFonts w:ascii="Arial" w:hAnsi="Arial" w:cs="Arial"/>
          <w:bCs/>
          <w:color w:val="000000"/>
          <w:kern w:val="3"/>
          <w:sz w:val="20"/>
          <w:szCs w:val="20"/>
          <w:lang w:val="en" w:eastAsia="en-GB"/>
        </w:rPr>
        <w:t xml:space="preserve">- </w:t>
      </w:r>
      <w:hyperlink r:id="rId17"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2">
    <w:p w14:paraId="716AF821" w14:textId="77777777" w:rsidR="007D373D" w:rsidRDefault="007D373D" w:rsidP="007D373D">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3">
    <w:p w14:paraId="2FBE10EF" w14:textId="77777777" w:rsidR="007D373D" w:rsidRDefault="007D373D" w:rsidP="007D373D">
      <w:pPr>
        <w:pStyle w:val="FootnoteText"/>
      </w:pPr>
      <w:r>
        <w:rPr>
          <w:rStyle w:val="FootnoteReference"/>
        </w:rPr>
        <w:footnoteRef/>
      </w:r>
      <w:r>
        <w:t xml:space="preserve"> Section 44, Children and Young Persons Act 1933</w:t>
      </w:r>
    </w:p>
  </w:footnote>
  <w:footnote w:id="54">
    <w:p w14:paraId="299C7FE9" w14:textId="77777777" w:rsidR="007D373D" w:rsidRDefault="007D373D" w:rsidP="007D373D">
      <w:pPr>
        <w:pStyle w:val="FootnoteText"/>
      </w:pPr>
      <w:r>
        <w:rPr>
          <w:rStyle w:val="FootnoteReference"/>
        </w:rPr>
        <w:footnoteRef/>
      </w:r>
      <w:r>
        <w:t xml:space="preserve"> There may be some circumstances where young people aged 18 remain in the youth secure estate.</w:t>
      </w:r>
    </w:p>
  </w:footnote>
  <w:footnote w:id="55">
    <w:p w14:paraId="73E3D460" w14:textId="77777777" w:rsidR="007D373D" w:rsidRDefault="007D373D" w:rsidP="007D373D">
      <w:pPr>
        <w:pStyle w:val="FootnoteText"/>
      </w:pPr>
      <w:r>
        <w:rPr>
          <w:rStyle w:val="FootnoteReference"/>
        </w:rPr>
        <w:footnoteRef/>
      </w:r>
      <w:r>
        <w:t xml:space="preserve"> https://gov.wales/sites/default/files/publications/2019-05/part-6-code-of-practice-looked-after-and-accommodated-children.pdf</w:t>
      </w:r>
    </w:p>
  </w:footnote>
  <w:footnote w:id="56">
    <w:p w14:paraId="065752B3" w14:textId="77777777" w:rsidR="007D373D" w:rsidRDefault="007D373D" w:rsidP="007D373D">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57">
    <w:p w14:paraId="5F0C5F30" w14:textId="77777777" w:rsidR="007D373D" w:rsidRDefault="007D373D" w:rsidP="007D373D">
      <w:pPr>
        <w:pStyle w:val="FootnoteText"/>
      </w:pPr>
      <w:r>
        <w:rPr>
          <w:rStyle w:val="FootnoteReference"/>
        </w:rPr>
        <w:footnoteRef/>
      </w:r>
      <w:r>
        <w:t xml:space="preserve"> </w:t>
      </w:r>
      <w:hyperlink r:id="rId18" w:history="1">
        <w:r>
          <w:rPr>
            <w:rStyle w:val="Hyperlink"/>
          </w:rPr>
          <w:t>https://assets.publishing.service.gov.uk/government/uploads/system/uploads/attachment_data/file/397649/CA1989_Transitions_guidance.pdf</w:t>
        </w:r>
      </w:hyperlink>
    </w:p>
  </w:footnote>
  <w:footnote w:id="58">
    <w:p w14:paraId="78AC9D2F" w14:textId="77777777" w:rsidR="007D373D" w:rsidRDefault="007D373D" w:rsidP="007D373D">
      <w:pPr>
        <w:pStyle w:val="FootnoteText"/>
      </w:pPr>
      <w:r>
        <w:rPr>
          <w:rStyle w:val="FootnoteReference"/>
        </w:rPr>
        <w:footnoteRef/>
      </w:r>
      <w:r>
        <w:t xml:space="preserve"> Section 44, Children and Young Persons Act 1933</w:t>
      </w:r>
    </w:p>
  </w:footnote>
  <w:footnote w:id="59">
    <w:p w14:paraId="111711BB" w14:textId="77777777" w:rsidR="007D373D" w:rsidRDefault="007D373D" w:rsidP="007D373D">
      <w:pPr>
        <w:pStyle w:val="FootnoteText"/>
      </w:pPr>
      <w:r>
        <w:rPr>
          <w:rStyle w:val="FootnoteReference"/>
        </w:rPr>
        <w:footnoteRef/>
      </w:r>
      <w:r>
        <w:t xml:space="preserve"> Art. 3(1), United Nations Convention on the Rights of the Child 1989</w:t>
      </w:r>
    </w:p>
  </w:footnote>
  <w:footnote w:id="60">
    <w:p w14:paraId="3D0FFDF0" w14:textId="4474A6E5" w:rsidR="007D373D" w:rsidRDefault="007D373D" w:rsidP="007D373D">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1">
    <w:p w14:paraId="298DB336" w14:textId="77777777" w:rsidR="007D373D" w:rsidRDefault="007D373D" w:rsidP="007D373D">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2">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3">
    <w:p w14:paraId="198A66EC" w14:textId="77777777" w:rsidR="00F2123B" w:rsidRDefault="00200CFB">
      <w:pPr>
        <w:pStyle w:val="FootnoteText"/>
      </w:pPr>
      <w:r>
        <w:rPr>
          <w:rStyle w:val="FootnoteReference"/>
        </w:rPr>
        <w:footnoteRef/>
      </w:r>
      <w:r>
        <w:rPr>
          <w:rFonts w:ascii="Arial" w:hAnsi="Arial" w:cs="Arial"/>
        </w:rPr>
        <w:t xml:space="preserve"> The same can be done in respect of remand prisoners, civil prisoners and immigration detainees, provided that they meet the same criteria (s.48), but these are not automatically MAPPA-eligible unless they are already a MAPPA case or have a previous conviction and are referred into MAPPA under Category 3.</w:t>
      </w:r>
    </w:p>
  </w:footnote>
  <w:footnote w:id="64">
    <w:p w14:paraId="198A66ED" w14:textId="77777777" w:rsidR="00F2123B" w:rsidRDefault="00200CFB">
      <w:pPr>
        <w:pStyle w:val="FootnoteText"/>
      </w:pPr>
      <w:r>
        <w:rPr>
          <w:rStyle w:val="FootnoteReference"/>
        </w:rPr>
        <w:footnoteRef/>
      </w:r>
      <w:r>
        <w:rPr>
          <w:rFonts w:ascii="Arial" w:hAnsi="Arial" w:cs="Arial"/>
        </w:rPr>
        <w:t xml:space="preserve"> </w:t>
      </w:r>
      <w:r>
        <w:rPr>
          <w:rFonts w:ascii="Arial" w:hAnsi="Arial" w:cs="Arial"/>
          <w:i/>
        </w:rPr>
        <w:t>R (on the application of TF)</w:t>
      </w:r>
      <w:r>
        <w:rPr>
          <w:rFonts w:ascii="Arial" w:hAnsi="Arial" w:cs="Arial"/>
        </w:rPr>
        <w:t xml:space="preserve"> v </w:t>
      </w:r>
      <w:r>
        <w:rPr>
          <w:rFonts w:ascii="Arial" w:hAnsi="Arial" w:cs="Arial"/>
          <w:i/>
        </w:rPr>
        <w:t>Secretary of State for Justice</w:t>
      </w:r>
      <w:r>
        <w:rPr>
          <w:rFonts w:ascii="Arial" w:hAnsi="Arial" w:cs="Arial"/>
        </w:rPr>
        <w:t xml:space="preserve"> [2008] EWCA Civ 1457.</w:t>
      </w:r>
    </w:p>
  </w:footnote>
  <w:footnote w:id="65">
    <w:p w14:paraId="198A66EE" w14:textId="77777777" w:rsidR="00F2123B" w:rsidRDefault="00200CFB">
      <w:pPr>
        <w:pStyle w:val="FootnoteText"/>
      </w:pPr>
      <w:r>
        <w:rPr>
          <w:rStyle w:val="FootnoteReference"/>
        </w:rPr>
        <w:footnoteRef/>
      </w:r>
      <w:r>
        <w:rPr>
          <w:rFonts w:ascii="Arial" w:hAnsi="Arial" w:cs="Arial"/>
        </w:rPr>
        <w:t xml:space="preserve"> The Secretary of State has no involvement with a patient who is subject only to an order made under s.37 and the patient’s clinical team has responsibility for risk management.</w:t>
      </w:r>
    </w:p>
  </w:footnote>
  <w:footnote w:id="66">
    <w:p w14:paraId="198A66EF" w14:textId="77777777" w:rsidR="00F2123B" w:rsidRDefault="00200CFB">
      <w:pPr>
        <w:pStyle w:val="FootnoteText"/>
      </w:pPr>
      <w:r>
        <w:rPr>
          <w:rStyle w:val="FootnoteReference"/>
        </w:rPr>
        <w:footnoteRef/>
      </w:r>
      <w:r>
        <w:rPr>
          <w:rFonts w:ascii="Arial" w:hAnsi="Arial" w:cs="Arial"/>
        </w:rPr>
        <w:t xml:space="preserve"> As a matter of course, MHCS will inform the police force for the area where a restricted patient is detained when: they are exceptionally given one-off leave from hospital; their Responsible Clinician is given discretion to give escorted or unescorted leave; they transfer to a different hospital; or they are discharged into the community.</w:t>
      </w:r>
    </w:p>
  </w:footnote>
  <w:footnote w:id="67">
    <w:p w14:paraId="198A66F0" w14:textId="77777777" w:rsidR="00F2123B" w:rsidRDefault="00200CFB">
      <w:pPr>
        <w:pStyle w:val="FootnoteText"/>
      </w:pPr>
      <w:r>
        <w:rPr>
          <w:rStyle w:val="FootnoteReference"/>
        </w:rPr>
        <w:footnoteRef/>
      </w:r>
      <w:r>
        <w:t xml:space="preserve"> Section 1 Domestic Abuse Act 2021.</w:t>
      </w:r>
    </w:p>
  </w:footnote>
  <w:footnote w:id="68">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69">
    <w:p w14:paraId="198A66F2" w14:textId="77777777" w:rsidR="00F2123B" w:rsidRDefault="00200CFB">
      <w:pPr>
        <w:pStyle w:val="FootnoteText"/>
      </w:pPr>
      <w:r>
        <w:rPr>
          <w:rStyle w:val="FootnoteReference"/>
        </w:rPr>
        <w:footnoteRef/>
      </w:r>
      <w:r>
        <w:t xml:space="preserve"> Section 2 Domestic Abuse Act 2021.</w:t>
      </w:r>
    </w:p>
  </w:footnote>
  <w:footnote w:id="70">
    <w:p w14:paraId="198A66F3" w14:textId="77777777" w:rsidR="00F2123B" w:rsidRDefault="00200CFB">
      <w:pPr>
        <w:pStyle w:val="FootnoteText"/>
      </w:pPr>
      <w:r>
        <w:rPr>
          <w:rStyle w:val="FootnoteReference"/>
        </w:rPr>
        <w:footnoteRef/>
      </w:r>
      <w:r>
        <w:t xml:space="preserve"> Section 2A Protection From Harassment Act 1997.</w:t>
      </w:r>
    </w:p>
  </w:footnote>
  <w:footnote w:id="71">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2">
    <w:p w14:paraId="198A66F5" w14:textId="77777777" w:rsidR="00F2123B" w:rsidRDefault="00200CFB">
      <w:pPr>
        <w:pStyle w:val="FootnoteText"/>
      </w:pPr>
      <w:r>
        <w:rPr>
          <w:rStyle w:val="FootnoteReference"/>
        </w:rPr>
        <w:footnoteRef/>
      </w:r>
      <w:r>
        <w:t xml:space="preserve"> https://www.suzylamplugh.org/what-is-stalking</w:t>
      </w:r>
    </w:p>
  </w:footnote>
  <w:footnote w:id="73">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6BB"/>
    <w:multiLevelType w:val="multilevel"/>
    <w:tmpl w:val="FE386600"/>
    <w:lvl w:ilvl="0">
      <w:start w:val="1"/>
      <w:numFmt w:val="decimal"/>
      <w:lvlText w:val="%1."/>
      <w:lvlJc w:val="left"/>
      <w:pPr>
        <w:ind w:left="108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3980538"/>
    <w:multiLevelType w:val="multilevel"/>
    <w:tmpl w:val="B0C05046"/>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4D8766C"/>
    <w:multiLevelType w:val="multilevel"/>
    <w:tmpl w:val="9FC2480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5507EF4"/>
    <w:multiLevelType w:val="multilevel"/>
    <w:tmpl w:val="3B8CCD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602231D"/>
    <w:multiLevelType w:val="multilevel"/>
    <w:tmpl w:val="AE2AF5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06F94075"/>
    <w:multiLevelType w:val="multilevel"/>
    <w:tmpl w:val="FD369F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A04F7D"/>
    <w:multiLevelType w:val="multilevel"/>
    <w:tmpl w:val="5F84A0B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136E149C"/>
    <w:multiLevelType w:val="multilevel"/>
    <w:tmpl w:val="99AE3F5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9"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5A0ED9"/>
    <w:multiLevelType w:val="multilevel"/>
    <w:tmpl w:val="75802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189E17BB"/>
    <w:multiLevelType w:val="multilevel"/>
    <w:tmpl w:val="39C003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1EE56542"/>
    <w:multiLevelType w:val="multilevel"/>
    <w:tmpl w:val="AF1AE3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8"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3C57289"/>
    <w:multiLevelType w:val="multilevel"/>
    <w:tmpl w:val="9438A33A"/>
    <w:lvl w:ilvl="0">
      <w:start w:val="1"/>
      <w:numFmt w:val="decimal"/>
      <w:lvlText w:val="%1."/>
      <w:lvlJc w:val="left"/>
      <w:pPr>
        <w:ind w:left="720" w:hanging="60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1"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4"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01435BA"/>
    <w:multiLevelType w:val="multilevel"/>
    <w:tmpl w:val="9E50C8F4"/>
    <w:lvl w:ilvl="0">
      <w:numFmt w:val="bullet"/>
      <w:lvlText w:val=""/>
      <w:lvlJc w:val="left"/>
      <w:pPr>
        <w:ind w:left="36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5F82EDC"/>
    <w:multiLevelType w:val="multilevel"/>
    <w:tmpl w:val="D09EDF30"/>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1"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2" w15:restartNumberingAfterBreak="0">
    <w:nsid w:val="39617DA8"/>
    <w:multiLevelType w:val="multilevel"/>
    <w:tmpl w:val="DD5211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3"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54"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5"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5"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7"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502606AE"/>
    <w:multiLevelType w:val="multilevel"/>
    <w:tmpl w:val="EA56A26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6"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1" w15:restartNumberingAfterBreak="0">
    <w:nsid w:val="52CF15B4"/>
    <w:multiLevelType w:val="multilevel"/>
    <w:tmpl w:val="97A4F216"/>
    <w:lvl w:ilvl="0">
      <w:numFmt w:val="bullet"/>
      <w:lvlText w:val=""/>
      <w:lvlJc w:val="left"/>
      <w:pPr>
        <w:ind w:left="360" w:hanging="360"/>
      </w:pPr>
      <w:rPr>
        <w:rFonts w:ascii="Symbol" w:hAnsi="Symbol" w:cs="Symbol"/>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37879DE"/>
    <w:multiLevelType w:val="multilevel"/>
    <w:tmpl w:val="26808932"/>
    <w:lvl w:ilvl="0">
      <w:numFmt w:val="bullet"/>
      <w:lvlText w:val=""/>
      <w:lvlJc w:val="left"/>
      <w:pPr>
        <w:ind w:left="720" w:hanging="360"/>
      </w:pPr>
      <w:rPr>
        <w:rFonts w:ascii="Symbol" w:hAnsi="Symbol" w:cs="Symbol"/>
        <w:color w:val="auto"/>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3"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99626ED"/>
    <w:multiLevelType w:val="multilevel"/>
    <w:tmpl w:val="0EF87F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C684B9D"/>
    <w:multiLevelType w:val="multilevel"/>
    <w:tmpl w:val="08642EA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2" w15:restartNumberingAfterBreak="0">
    <w:nsid w:val="5C8F2968"/>
    <w:multiLevelType w:val="multilevel"/>
    <w:tmpl w:val="651C6E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3"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95"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1473EF5"/>
    <w:multiLevelType w:val="multilevel"/>
    <w:tmpl w:val="F04C18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3CC456C"/>
    <w:multiLevelType w:val="multilevel"/>
    <w:tmpl w:val="00725CD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9"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102"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3"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4"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E7439E6"/>
    <w:multiLevelType w:val="multilevel"/>
    <w:tmpl w:val="DE8EB0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8"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9"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3"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4" w15:restartNumberingAfterBreak="0">
    <w:nsid w:val="77F43041"/>
    <w:multiLevelType w:val="multilevel"/>
    <w:tmpl w:val="B448C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5" w15:restartNumberingAfterBreak="0">
    <w:nsid w:val="78495DAF"/>
    <w:multiLevelType w:val="multilevel"/>
    <w:tmpl w:val="A8D0DDF8"/>
    <w:lvl w:ilvl="0">
      <w:numFmt w:val="bullet"/>
      <w:lvlText w:val=""/>
      <w:lvlJc w:val="left"/>
      <w:pPr>
        <w:ind w:left="360" w:hanging="360"/>
      </w:pPr>
      <w:rPr>
        <w:rFonts w:ascii="Symbol" w:hAnsi="Symbol" w:cs="Symbol"/>
      </w:rPr>
    </w:lvl>
    <w:lvl w:ilvl="1">
      <w:numFmt w:val="bullet"/>
      <w:lvlText w:val="­"/>
      <w:lvlJc w:val="left"/>
      <w:pPr>
        <w:ind w:left="903"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16"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8"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1"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6"/>
  </w:num>
  <w:num w:numId="2" w16cid:durableId="441925612">
    <w:abstractNumId w:val="21"/>
  </w:num>
  <w:num w:numId="3" w16cid:durableId="1934824989">
    <w:abstractNumId w:val="81"/>
  </w:num>
  <w:num w:numId="4" w16cid:durableId="1325012382">
    <w:abstractNumId w:val="101"/>
  </w:num>
  <w:num w:numId="5" w16cid:durableId="96994357">
    <w:abstractNumId w:val="94"/>
  </w:num>
  <w:num w:numId="6" w16cid:durableId="526061496">
    <w:abstractNumId w:val="7"/>
  </w:num>
  <w:num w:numId="7" w16cid:durableId="70201685">
    <w:abstractNumId w:val="36"/>
  </w:num>
  <w:num w:numId="8" w16cid:durableId="1977684175">
    <w:abstractNumId w:val="80"/>
  </w:num>
  <w:num w:numId="9" w16cid:durableId="854853889">
    <w:abstractNumId w:val="33"/>
  </w:num>
  <w:num w:numId="10" w16cid:durableId="892232578">
    <w:abstractNumId w:val="58"/>
  </w:num>
  <w:num w:numId="11" w16cid:durableId="411203834">
    <w:abstractNumId w:val="66"/>
  </w:num>
  <w:num w:numId="12" w16cid:durableId="1271548225">
    <w:abstractNumId w:val="35"/>
  </w:num>
  <w:num w:numId="13" w16cid:durableId="1073701176">
    <w:abstractNumId w:val="10"/>
  </w:num>
  <w:num w:numId="14" w16cid:durableId="728847736">
    <w:abstractNumId w:val="55"/>
  </w:num>
  <w:num w:numId="15" w16cid:durableId="1952392294">
    <w:abstractNumId w:val="100"/>
  </w:num>
  <w:num w:numId="16" w16cid:durableId="581641218">
    <w:abstractNumId w:val="14"/>
  </w:num>
  <w:num w:numId="17" w16cid:durableId="2047370454">
    <w:abstractNumId w:val="5"/>
  </w:num>
  <w:num w:numId="18" w16cid:durableId="1707173616">
    <w:abstractNumId w:val="91"/>
  </w:num>
  <w:num w:numId="19" w16cid:durableId="1045834976">
    <w:abstractNumId w:val="98"/>
  </w:num>
  <w:num w:numId="20" w16cid:durableId="444230978">
    <w:abstractNumId w:val="26"/>
  </w:num>
  <w:num w:numId="21" w16cid:durableId="1491560581">
    <w:abstractNumId w:val="3"/>
  </w:num>
  <w:num w:numId="22" w16cid:durableId="1693799671">
    <w:abstractNumId w:val="52"/>
  </w:num>
  <w:num w:numId="23" w16cid:durableId="1726877398">
    <w:abstractNumId w:val="82"/>
  </w:num>
  <w:num w:numId="24" w16cid:durableId="259412877">
    <w:abstractNumId w:val="64"/>
  </w:num>
  <w:num w:numId="25" w16cid:durableId="1878926331">
    <w:abstractNumId w:val="102"/>
  </w:num>
  <w:num w:numId="26" w16cid:durableId="341050786">
    <w:abstractNumId w:val="75"/>
  </w:num>
  <w:num w:numId="27" w16cid:durableId="897015562">
    <w:abstractNumId w:val="122"/>
  </w:num>
  <w:num w:numId="28" w16cid:durableId="1917860098">
    <w:abstractNumId w:val="112"/>
  </w:num>
  <w:num w:numId="29" w16cid:durableId="631640714">
    <w:abstractNumId w:val="11"/>
  </w:num>
  <w:num w:numId="30" w16cid:durableId="961959783">
    <w:abstractNumId w:val="120"/>
  </w:num>
  <w:num w:numId="31" w16cid:durableId="1822386034">
    <w:abstractNumId w:val="108"/>
  </w:num>
  <w:num w:numId="32" w16cid:durableId="1148472567">
    <w:abstractNumId w:val="25"/>
  </w:num>
  <w:num w:numId="33" w16cid:durableId="408310656">
    <w:abstractNumId w:val="51"/>
  </w:num>
  <w:num w:numId="34" w16cid:durableId="316033525">
    <w:abstractNumId w:val="113"/>
  </w:num>
  <w:num w:numId="35" w16cid:durableId="252476363">
    <w:abstractNumId w:val="50"/>
  </w:num>
  <w:num w:numId="36" w16cid:durableId="1491098453">
    <w:abstractNumId w:val="19"/>
  </w:num>
  <w:num w:numId="37" w16cid:durableId="259797770">
    <w:abstractNumId w:val="42"/>
  </w:num>
  <w:num w:numId="38" w16cid:durableId="833304992">
    <w:abstractNumId w:val="115"/>
  </w:num>
  <w:num w:numId="39" w16cid:durableId="1563519519">
    <w:abstractNumId w:val="4"/>
  </w:num>
  <w:num w:numId="40" w16cid:durableId="971445040">
    <w:abstractNumId w:val="30"/>
  </w:num>
  <w:num w:numId="41" w16cid:durableId="1031565459">
    <w:abstractNumId w:val="49"/>
  </w:num>
  <w:num w:numId="42" w16cid:durableId="868491601">
    <w:abstractNumId w:val="97"/>
  </w:num>
  <w:num w:numId="43" w16cid:durableId="1535924124">
    <w:abstractNumId w:val="47"/>
  </w:num>
  <w:num w:numId="44" w16cid:durableId="1152483231">
    <w:abstractNumId w:val="92"/>
  </w:num>
  <w:num w:numId="45" w16cid:durableId="615983287">
    <w:abstractNumId w:val="22"/>
  </w:num>
  <w:num w:numId="46" w16cid:durableId="45226145">
    <w:abstractNumId w:val="89"/>
  </w:num>
  <w:num w:numId="47" w16cid:durableId="213322323">
    <w:abstractNumId w:val="107"/>
  </w:num>
  <w:num w:numId="48" w16cid:durableId="1624191319">
    <w:abstractNumId w:val="6"/>
  </w:num>
  <w:num w:numId="49" w16cid:durableId="599676577">
    <w:abstractNumId w:val="18"/>
  </w:num>
  <w:num w:numId="50" w16cid:durableId="182524482">
    <w:abstractNumId w:val="114"/>
  </w:num>
  <w:num w:numId="51" w16cid:durableId="52513386">
    <w:abstractNumId w:val="71"/>
  </w:num>
  <w:num w:numId="52" w16cid:durableId="1174104224">
    <w:abstractNumId w:val="63"/>
  </w:num>
  <w:num w:numId="53" w16cid:durableId="2130314817">
    <w:abstractNumId w:val="2"/>
  </w:num>
  <w:num w:numId="54" w16cid:durableId="195122992">
    <w:abstractNumId w:val="37"/>
  </w:num>
  <w:num w:numId="55" w16cid:durableId="169493083">
    <w:abstractNumId w:val="85"/>
  </w:num>
  <w:num w:numId="56" w16cid:durableId="1022366007">
    <w:abstractNumId w:val="48"/>
  </w:num>
  <w:num w:numId="57" w16cid:durableId="504521167">
    <w:abstractNumId w:val="105"/>
  </w:num>
  <w:num w:numId="58" w16cid:durableId="121507130">
    <w:abstractNumId w:val="74"/>
  </w:num>
  <w:num w:numId="59" w16cid:durableId="1354186030">
    <w:abstractNumId w:val="1"/>
  </w:num>
  <w:num w:numId="60" w16cid:durableId="554246109">
    <w:abstractNumId w:val="0"/>
  </w:num>
  <w:num w:numId="61" w16cid:durableId="680471405">
    <w:abstractNumId w:val="87"/>
  </w:num>
  <w:num w:numId="62" w16cid:durableId="278488939">
    <w:abstractNumId w:val="84"/>
    <w:lvlOverride w:ilvl="0"/>
    <w:lvlOverride w:ilvl="1">
      <w:startOverride w:val="1"/>
    </w:lvlOverride>
    <w:lvlOverride w:ilvl="2"/>
    <w:lvlOverride w:ilvl="3"/>
    <w:lvlOverride w:ilvl="4"/>
    <w:lvlOverride w:ilvl="5"/>
    <w:lvlOverride w:ilvl="6"/>
    <w:lvlOverride w:ilvl="7"/>
    <w:lvlOverride w:ilvl="8"/>
  </w:num>
  <w:num w:numId="63" w16cid:durableId="2100254977">
    <w:abstractNumId w:val="34"/>
  </w:num>
  <w:num w:numId="64" w16cid:durableId="1099831112">
    <w:abstractNumId w:val="20"/>
  </w:num>
  <w:num w:numId="65" w16cid:durableId="1920751597">
    <w:abstractNumId w:val="59"/>
  </w:num>
  <w:num w:numId="66" w16cid:durableId="1996951757">
    <w:abstractNumId w:val="8"/>
  </w:num>
  <w:num w:numId="67" w16cid:durableId="901403746">
    <w:abstractNumId w:val="69"/>
  </w:num>
  <w:num w:numId="68" w16cid:durableId="639964574">
    <w:abstractNumId w:val="32"/>
  </w:num>
  <w:num w:numId="69" w16cid:durableId="2066100632">
    <w:abstractNumId w:val="41"/>
  </w:num>
  <w:num w:numId="70" w16cid:durableId="525102451">
    <w:abstractNumId w:val="15"/>
  </w:num>
  <w:num w:numId="71" w16cid:durableId="2144077711">
    <w:abstractNumId w:val="68"/>
  </w:num>
  <w:num w:numId="72" w16cid:durableId="1929728604">
    <w:abstractNumId w:val="79"/>
  </w:num>
  <w:num w:numId="73" w16cid:durableId="1229074084">
    <w:abstractNumId w:val="103"/>
  </w:num>
  <w:num w:numId="74" w16cid:durableId="936136615">
    <w:abstractNumId w:val="12"/>
  </w:num>
  <w:num w:numId="75" w16cid:durableId="68817674">
    <w:abstractNumId w:val="17"/>
  </w:num>
  <w:num w:numId="76" w16cid:durableId="56510814">
    <w:abstractNumId w:val="77"/>
  </w:num>
  <w:num w:numId="77" w16cid:durableId="1454861144">
    <w:abstractNumId w:val="117"/>
  </w:num>
  <w:num w:numId="78" w16cid:durableId="1821733145">
    <w:abstractNumId w:val="119"/>
  </w:num>
  <w:num w:numId="79" w16cid:durableId="1173256343">
    <w:abstractNumId w:val="93"/>
  </w:num>
  <w:num w:numId="80" w16cid:durableId="291644002">
    <w:abstractNumId w:val="45"/>
  </w:num>
  <w:num w:numId="81" w16cid:durableId="1486163776">
    <w:abstractNumId w:val="27"/>
  </w:num>
  <w:num w:numId="82" w16cid:durableId="1952930531">
    <w:abstractNumId w:val="46"/>
  </w:num>
  <w:num w:numId="83" w16cid:durableId="1142502813">
    <w:abstractNumId w:val="62"/>
  </w:num>
  <w:num w:numId="84" w16cid:durableId="1567764351">
    <w:abstractNumId w:val="109"/>
  </w:num>
  <w:num w:numId="85" w16cid:durableId="1095127645">
    <w:abstractNumId w:val="90"/>
  </w:num>
  <w:num w:numId="86" w16cid:durableId="696737019">
    <w:abstractNumId w:val="73"/>
  </w:num>
  <w:num w:numId="87" w16cid:durableId="1242760951">
    <w:abstractNumId w:val="23"/>
  </w:num>
  <w:num w:numId="88" w16cid:durableId="1966039667">
    <w:abstractNumId w:val="70"/>
  </w:num>
  <w:num w:numId="89" w16cid:durableId="2124037241">
    <w:abstractNumId w:val="78"/>
  </w:num>
  <w:num w:numId="90" w16cid:durableId="517087690">
    <w:abstractNumId w:val="29"/>
  </w:num>
  <w:num w:numId="91" w16cid:durableId="1186866473">
    <w:abstractNumId w:val="54"/>
  </w:num>
  <w:num w:numId="92" w16cid:durableId="2090998359">
    <w:abstractNumId w:val="72"/>
  </w:num>
  <w:num w:numId="93" w16cid:durableId="1807312928">
    <w:abstractNumId w:val="83"/>
  </w:num>
  <w:num w:numId="94" w16cid:durableId="1659529133">
    <w:abstractNumId w:val="110"/>
  </w:num>
  <w:num w:numId="95" w16cid:durableId="1013802150">
    <w:abstractNumId w:val="67"/>
  </w:num>
  <w:num w:numId="96" w16cid:durableId="1532304094">
    <w:abstractNumId w:val="95"/>
  </w:num>
  <w:num w:numId="97" w16cid:durableId="1079524498">
    <w:abstractNumId w:val="76"/>
  </w:num>
  <w:num w:numId="98" w16cid:durableId="1186288201">
    <w:abstractNumId w:val="60"/>
  </w:num>
  <w:num w:numId="99" w16cid:durableId="906376994">
    <w:abstractNumId w:val="24"/>
  </w:num>
  <w:num w:numId="100" w16cid:durableId="910234112">
    <w:abstractNumId w:val="53"/>
  </w:num>
  <w:num w:numId="101" w16cid:durableId="1846818680">
    <w:abstractNumId w:val="118"/>
  </w:num>
  <w:num w:numId="102" w16cid:durableId="289019830">
    <w:abstractNumId w:val="86"/>
  </w:num>
  <w:num w:numId="103" w16cid:durableId="533738234">
    <w:abstractNumId w:val="31"/>
  </w:num>
  <w:num w:numId="104" w16cid:durableId="965741962">
    <w:abstractNumId w:val="40"/>
  </w:num>
  <w:num w:numId="105" w16cid:durableId="720396948">
    <w:abstractNumId w:val="96"/>
  </w:num>
  <w:num w:numId="106" w16cid:durableId="1681808775">
    <w:abstractNumId w:val="16"/>
  </w:num>
  <w:num w:numId="107" w16cid:durableId="58407628">
    <w:abstractNumId w:val="104"/>
  </w:num>
  <w:num w:numId="108" w16cid:durableId="1297563400">
    <w:abstractNumId w:val="88"/>
  </w:num>
  <w:num w:numId="109" w16cid:durableId="77018446">
    <w:abstractNumId w:val="111"/>
  </w:num>
  <w:num w:numId="110" w16cid:durableId="1771311020">
    <w:abstractNumId w:val="56"/>
  </w:num>
  <w:num w:numId="111" w16cid:durableId="1548227059">
    <w:abstractNumId w:val="38"/>
  </w:num>
  <w:num w:numId="112" w16cid:durableId="1360007843">
    <w:abstractNumId w:val="99"/>
  </w:num>
  <w:num w:numId="113" w16cid:durableId="517041160">
    <w:abstractNumId w:val="9"/>
  </w:num>
  <w:num w:numId="114" w16cid:durableId="883060110">
    <w:abstractNumId w:val="39"/>
  </w:num>
  <w:num w:numId="115" w16cid:durableId="782849013">
    <w:abstractNumId w:val="13"/>
  </w:num>
  <w:num w:numId="116" w16cid:durableId="1603996547">
    <w:abstractNumId w:val="61"/>
  </w:num>
  <w:num w:numId="117" w16cid:durableId="1059744926">
    <w:abstractNumId w:val="28"/>
  </w:num>
  <w:num w:numId="118" w16cid:durableId="1153519908">
    <w:abstractNumId w:val="44"/>
  </w:num>
  <w:num w:numId="119" w16cid:durableId="674042265">
    <w:abstractNumId w:val="116"/>
  </w:num>
  <w:num w:numId="120" w16cid:durableId="1333603258">
    <w:abstractNumId w:val="121"/>
  </w:num>
  <w:num w:numId="121" w16cid:durableId="966009843">
    <w:abstractNumId w:val="43"/>
  </w:num>
  <w:num w:numId="122" w16cid:durableId="1272468794">
    <w:abstractNumId w:val="65"/>
  </w:num>
  <w:num w:numId="123" w16cid:durableId="597254857">
    <w:abstractNumId w:val="57"/>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6ED3"/>
    <w:rsid w:val="00011426"/>
    <w:rsid w:val="00030FC4"/>
    <w:rsid w:val="000340DB"/>
    <w:rsid w:val="0005228C"/>
    <w:rsid w:val="00082B5A"/>
    <w:rsid w:val="0009135E"/>
    <w:rsid w:val="000C0F12"/>
    <w:rsid w:val="000D0936"/>
    <w:rsid w:val="000D0BA9"/>
    <w:rsid w:val="000D6DA3"/>
    <w:rsid w:val="000F2B6D"/>
    <w:rsid w:val="000F5599"/>
    <w:rsid w:val="001108D6"/>
    <w:rsid w:val="00110CDE"/>
    <w:rsid w:val="001206B0"/>
    <w:rsid w:val="00136955"/>
    <w:rsid w:val="001566D9"/>
    <w:rsid w:val="00156895"/>
    <w:rsid w:val="00175393"/>
    <w:rsid w:val="00184C2F"/>
    <w:rsid w:val="00190A2E"/>
    <w:rsid w:val="001A24DE"/>
    <w:rsid w:val="001B5A6B"/>
    <w:rsid w:val="001B7009"/>
    <w:rsid w:val="001C368D"/>
    <w:rsid w:val="001D622E"/>
    <w:rsid w:val="001E26A0"/>
    <w:rsid w:val="001F15CD"/>
    <w:rsid w:val="0020098A"/>
    <w:rsid w:val="00200CFB"/>
    <w:rsid w:val="002529DA"/>
    <w:rsid w:val="002630F9"/>
    <w:rsid w:val="00265F26"/>
    <w:rsid w:val="002664E7"/>
    <w:rsid w:val="00276088"/>
    <w:rsid w:val="002823C1"/>
    <w:rsid w:val="002B64D6"/>
    <w:rsid w:val="002D4074"/>
    <w:rsid w:val="002D4AD5"/>
    <w:rsid w:val="002E5321"/>
    <w:rsid w:val="002E5FCA"/>
    <w:rsid w:val="002E63B2"/>
    <w:rsid w:val="002F6AC9"/>
    <w:rsid w:val="00301638"/>
    <w:rsid w:val="003205C5"/>
    <w:rsid w:val="0033468A"/>
    <w:rsid w:val="00345C0D"/>
    <w:rsid w:val="00363DE2"/>
    <w:rsid w:val="003656D7"/>
    <w:rsid w:val="00375FD3"/>
    <w:rsid w:val="00384041"/>
    <w:rsid w:val="00385DAF"/>
    <w:rsid w:val="003A0406"/>
    <w:rsid w:val="003C0CCE"/>
    <w:rsid w:val="003C492E"/>
    <w:rsid w:val="003D5681"/>
    <w:rsid w:val="003E2485"/>
    <w:rsid w:val="003F7669"/>
    <w:rsid w:val="004065F2"/>
    <w:rsid w:val="00410C31"/>
    <w:rsid w:val="00424AA0"/>
    <w:rsid w:val="004262AD"/>
    <w:rsid w:val="00443E05"/>
    <w:rsid w:val="004563EA"/>
    <w:rsid w:val="00475CCC"/>
    <w:rsid w:val="004770B3"/>
    <w:rsid w:val="00477943"/>
    <w:rsid w:val="00493263"/>
    <w:rsid w:val="004A1C56"/>
    <w:rsid w:val="004A201E"/>
    <w:rsid w:val="004A2740"/>
    <w:rsid w:val="004A6498"/>
    <w:rsid w:val="004D0C4D"/>
    <w:rsid w:val="004D27A5"/>
    <w:rsid w:val="004D691E"/>
    <w:rsid w:val="004D7648"/>
    <w:rsid w:val="00527288"/>
    <w:rsid w:val="00551A94"/>
    <w:rsid w:val="00551D3C"/>
    <w:rsid w:val="0055756E"/>
    <w:rsid w:val="0056539A"/>
    <w:rsid w:val="00585E77"/>
    <w:rsid w:val="005866B6"/>
    <w:rsid w:val="00594EC0"/>
    <w:rsid w:val="005B25C7"/>
    <w:rsid w:val="005B6594"/>
    <w:rsid w:val="005B6E91"/>
    <w:rsid w:val="005E2A8F"/>
    <w:rsid w:val="005F0B10"/>
    <w:rsid w:val="005F1131"/>
    <w:rsid w:val="00601BC0"/>
    <w:rsid w:val="00603B6F"/>
    <w:rsid w:val="00645703"/>
    <w:rsid w:val="00650542"/>
    <w:rsid w:val="0067122B"/>
    <w:rsid w:val="00682EBB"/>
    <w:rsid w:val="006A3560"/>
    <w:rsid w:val="006E412D"/>
    <w:rsid w:val="00711D4B"/>
    <w:rsid w:val="0072210E"/>
    <w:rsid w:val="007320EA"/>
    <w:rsid w:val="00745193"/>
    <w:rsid w:val="00770104"/>
    <w:rsid w:val="007734E6"/>
    <w:rsid w:val="00782241"/>
    <w:rsid w:val="00791F85"/>
    <w:rsid w:val="007C2CFD"/>
    <w:rsid w:val="007C3463"/>
    <w:rsid w:val="007D373D"/>
    <w:rsid w:val="007D3948"/>
    <w:rsid w:val="007E0231"/>
    <w:rsid w:val="00811C4B"/>
    <w:rsid w:val="00817113"/>
    <w:rsid w:val="00821567"/>
    <w:rsid w:val="00836362"/>
    <w:rsid w:val="00861A11"/>
    <w:rsid w:val="00874B26"/>
    <w:rsid w:val="00880E02"/>
    <w:rsid w:val="00893F81"/>
    <w:rsid w:val="00895DFA"/>
    <w:rsid w:val="00896A5A"/>
    <w:rsid w:val="008B3C21"/>
    <w:rsid w:val="008C647D"/>
    <w:rsid w:val="009014C7"/>
    <w:rsid w:val="0091633F"/>
    <w:rsid w:val="00917606"/>
    <w:rsid w:val="009421B9"/>
    <w:rsid w:val="00951661"/>
    <w:rsid w:val="00963A28"/>
    <w:rsid w:val="00971722"/>
    <w:rsid w:val="0097481C"/>
    <w:rsid w:val="0098084F"/>
    <w:rsid w:val="009A7F10"/>
    <w:rsid w:val="009C4F7C"/>
    <w:rsid w:val="009D632C"/>
    <w:rsid w:val="009E0DD4"/>
    <w:rsid w:val="009E26C8"/>
    <w:rsid w:val="00A201F0"/>
    <w:rsid w:val="00A30D0F"/>
    <w:rsid w:val="00A658C7"/>
    <w:rsid w:val="00A6672C"/>
    <w:rsid w:val="00A8178A"/>
    <w:rsid w:val="00AA2586"/>
    <w:rsid w:val="00AA72A0"/>
    <w:rsid w:val="00AB3C3F"/>
    <w:rsid w:val="00AD180D"/>
    <w:rsid w:val="00AD2BEF"/>
    <w:rsid w:val="00AF684E"/>
    <w:rsid w:val="00B14957"/>
    <w:rsid w:val="00B21807"/>
    <w:rsid w:val="00B37E94"/>
    <w:rsid w:val="00B5586D"/>
    <w:rsid w:val="00B655F8"/>
    <w:rsid w:val="00B77215"/>
    <w:rsid w:val="00B80218"/>
    <w:rsid w:val="00B81652"/>
    <w:rsid w:val="00B82F77"/>
    <w:rsid w:val="00BA3EC8"/>
    <w:rsid w:val="00BC56B4"/>
    <w:rsid w:val="00BF1959"/>
    <w:rsid w:val="00C037B2"/>
    <w:rsid w:val="00C2292F"/>
    <w:rsid w:val="00C26B86"/>
    <w:rsid w:val="00C26BBD"/>
    <w:rsid w:val="00C332C2"/>
    <w:rsid w:val="00C72F79"/>
    <w:rsid w:val="00CB4512"/>
    <w:rsid w:val="00CC4206"/>
    <w:rsid w:val="00CC6FBF"/>
    <w:rsid w:val="00D13BAC"/>
    <w:rsid w:val="00D22928"/>
    <w:rsid w:val="00D42BBD"/>
    <w:rsid w:val="00D73523"/>
    <w:rsid w:val="00D738DF"/>
    <w:rsid w:val="00DD3647"/>
    <w:rsid w:val="00DE7351"/>
    <w:rsid w:val="00DF18A4"/>
    <w:rsid w:val="00E434F1"/>
    <w:rsid w:val="00E657E7"/>
    <w:rsid w:val="00E65F72"/>
    <w:rsid w:val="00E913F0"/>
    <w:rsid w:val="00EA1CF5"/>
    <w:rsid w:val="00EA4A86"/>
    <w:rsid w:val="00EC770F"/>
    <w:rsid w:val="00ED34DF"/>
    <w:rsid w:val="00EF4AA2"/>
    <w:rsid w:val="00EF534B"/>
    <w:rsid w:val="00F04699"/>
    <w:rsid w:val="00F1336F"/>
    <w:rsid w:val="00F13D29"/>
    <w:rsid w:val="00F2123B"/>
    <w:rsid w:val="00F23C6A"/>
    <w:rsid w:val="00F332F9"/>
    <w:rsid w:val="00F57377"/>
    <w:rsid w:val="00F87D9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basedOn w:val="Normal"/>
    <w:next w:val="Normal"/>
    <w:uiPriority w:val="9"/>
    <w:unhideWhenUsed/>
    <w:qFormat/>
    <w:pPr>
      <w:keepNext/>
      <w:jc w:val="both"/>
      <w:outlineLvl w:val="1"/>
    </w:pPr>
    <w:rPr>
      <w:rFonts w:ascii="Arial" w:hAnsi="Arial" w:cs="Arial"/>
      <w:b/>
      <w:bCs/>
    </w:rPr>
  </w:style>
  <w:style w:type="paragraph" w:styleId="Heading3">
    <w:name w:val="heading 3"/>
    <w:basedOn w:val="Normal"/>
    <w:next w:val="Normal"/>
    <w:uiPriority w:val="9"/>
    <w:unhideWhenUsed/>
    <w:qFormat/>
    <w:pPr>
      <w:jc w:val="center"/>
      <w:outlineLvl w:val="2"/>
    </w:pPr>
  </w:style>
  <w:style w:type="paragraph" w:styleId="Heading4">
    <w:name w:val="heading 4"/>
    <w:basedOn w:val="Normal"/>
    <w:next w:val="Normal"/>
    <w:uiPriority w:val="9"/>
    <w:unhideWhenUsed/>
    <w:qFormat/>
    <w:pPr>
      <w:snapToGrid w:val="0"/>
      <w:spacing w:line="300" w:lineRule="atLeast"/>
      <w:outlineLvl w:val="3"/>
    </w:pPr>
    <w:rPr>
      <w:rFonts w:ascii="Arial" w:hAnsi="Arial" w:cs="Arial"/>
      <w:b/>
    </w:rPr>
  </w:style>
  <w:style w:type="paragraph" w:styleId="Heading5">
    <w:name w:val="heading 5"/>
    <w:basedOn w:val="Normal"/>
    <w:next w:val="Normal"/>
    <w:uiPriority w:val="9"/>
    <w:semiHidden/>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iPriority w:val="9"/>
    <w:semiHidden/>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uiPriority w:val="22"/>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pPr>
      <w:tabs>
        <w:tab w:val="center" w:pos="4153"/>
        <w:tab w:val="right" w:pos="8306"/>
      </w:tabs>
    </w:pPr>
  </w:style>
  <w:style w:type="character" w:customStyle="1" w:styleId="HeaderChar">
    <w:name w:val="Header Char"/>
    <w:rPr>
      <w:sz w:val="24"/>
      <w:szCs w:val="24"/>
      <w:lang w:eastAsia="zh-CN"/>
    </w:rPr>
  </w:style>
  <w:style w:type="paragraph" w:styleId="Footer">
    <w:name w:val="footer"/>
    <w:basedOn w:val="Normal"/>
    <w:pPr>
      <w:tabs>
        <w:tab w:val="center" w:pos="4153"/>
        <w:tab w:val="right" w:pos="8306"/>
      </w:tabs>
    </w:pPr>
  </w:style>
  <w:style w:type="character" w:customStyle="1" w:styleId="FooterChar">
    <w:name w:val="Footer Char"/>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rPr>
      <w:color w:val="800080"/>
      <w:u w:val="single"/>
    </w:rPr>
  </w:style>
  <w:style w:type="paragraph" w:styleId="CommentSubject">
    <w:name w:val="annotation subject"/>
    <w:basedOn w:val="CommentText"/>
    <w:next w:val="CommentText"/>
    <w:rPr>
      <w:b/>
      <w:bCs/>
    </w:rPr>
  </w:style>
  <w:style w:type="character" w:customStyle="1" w:styleId="CommentSubjectChar">
    <w:name w:val="Comment Subject Char"/>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uiPriority w:val="10"/>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uiPriority w:val="99"/>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pPr>
      <w:suppressAutoHyphens/>
    </w:pPr>
    <w:rPr>
      <w:sz w:val="24"/>
      <w:szCs w:val="24"/>
      <w:lang w:eastAsia="zh-CN"/>
    </w:rPr>
  </w:style>
  <w:style w:type="character" w:customStyle="1" w:styleId="Heading2Char">
    <w:name w:val="Heading 2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https://mappa.justice.gov.uk/connect.ti/General/viewdocument?DOCID=37557221&amp;done=DOCCreated1&amp;FID=6101392" TargetMode="External"/><Relationship Id="rId39" Type="http://schemas.openxmlformats.org/officeDocument/2006/relationships/hyperlink" Target="http://www.safelives.org.uk" TargetMode="External"/><Relationship Id="rId21" Type="http://schemas.openxmlformats.org/officeDocument/2006/relationships/hyperlink" Target="https://www.gmc-uk.org/guidance/ethical_guidance/30608.asp" TargetMode="External"/><Relationship Id="rId34" Type="http://schemas.openxmlformats.org/officeDocument/2006/relationships/hyperlink" Target="mailto:CPPC@noms.gsi.gov.uk" TargetMode="External"/><Relationship Id="rId42" Type="http://schemas.openxmlformats.org/officeDocument/2006/relationships/hyperlink" Target="http://www.justice.gov.uk/contacts/noms/mental-health-unit" TargetMode="External"/><Relationship Id="rId47" Type="http://schemas.openxmlformats.org/officeDocument/2006/relationships/hyperlink" Target="https://www.app.college.police.uk/app-content/major-investigation-and-public-protection/domestic-abuse/risk-and-vulnerability/" TargetMode="External"/><Relationship Id="rId50"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gov.uk/government/publications/domestic-violence-disclosure-scheme-pilot-guidance" TargetMode="External"/><Relationship Id="rId11" Type="http://schemas.openxmlformats.org/officeDocument/2006/relationships/image" Target="media/image2.png"/><Relationship Id="rId24" Type="http://schemas.openxmlformats.org/officeDocument/2006/relationships/hyperlink" Target="https://ico.org.uk/for-organisations/guide-to-data-protection/ico-codes-of-practice/data-sharing-a-code-of-practice/" TargetMode="External"/><Relationship Id="rId32" Type="http://schemas.openxmlformats.org/officeDocument/2006/relationships/hyperlink" Target="mailto:NSDPS.GeneralEnquiries@justice.gov.uk" TargetMode="External"/><Relationship Id="rId37" Type="http://schemas.openxmlformats.org/officeDocument/2006/relationships/hyperlink" Target="https://www.gov.uk/government/uploads/system/uploads/attachment_data/file/575273/DHR-Statutory-Guidance-161206.pdf" TargetMode="External"/><Relationship Id="rId40" Type="http://schemas.openxmlformats.org/officeDocument/2006/relationships/hyperlink" Target="mailto:MAPPA@noms.gsi.gov.uk" TargetMode="External"/><Relationship Id="rId45" Type="http://schemas.openxmlformats.org/officeDocument/2006/relationships/hyperlink" Target="https://www.gov.uk/government/publications/code-of-practice-mental-health-act-1983"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http://www.ico.org.uk" TargetMode="External"/><Relationship Id="rId31"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44" Type="http://schemas.openxmlformats.org/officeDocument/2006/relationships/hyperlink" Target="http://www.mappa.justice.gov.uk"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publicappointmentscommissioner.independent.gov.uk/the-code-of-practice" TargetMode="External"/><Relationship Id="rId27" Type="http://schemas.openxmlformats.org/officeDocument/2006/relationships/hyperlink" Target="mailto:MAPPA@noms.gsi.gov.uk" TargetMode="External"/><Relationship Id="rId30" Type="http://schemas.openxmlformats.org/officeDocument/2006/relationships/hyperlink" Target="https://www.gov.uk/government/publications/common-law-police-disclosure" TargetMode="External"/><Relationship Id="rId35" Type="http://schemas.openxmlformats.org/officeDocument/2006/relationships/hyperlink" Target="https://mappa.justice.gov.uk/connect.ti/General/view?objectId=17116293" TargetMode="External"/><Relationship Id="rId43" Type="http://schemas.openxmlformats.org/officeDocument/2006/relationships/hyperlink" Target="https://www.gmc-uk.org/guidance/ethical_guidance/30608.asp" TargetMode="External"/><Relationship Id="rId48" Type="http://schemas.openxmlformats.org/officeDocument/2006/relationships/hyperlink" Target="https://mappa.justice.gov.uk/connect.ti/Coordinators/view?objectID=18873520" TargetMode="External"/><Relationship Id="rId8" Type="http://schemas.openxmlformats.org/officeDocument/2006/relationships/footnotes" Target="foot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mappa.justice.gov.uk/connect.ti/General/view?objectId=22899781" TargetMode="External"/><Relationship Id="rId33" Type="http://schemas.openxmlformats.org/officeDocument/2006/relationships/hyperlink" Target="mailto:Nichola.Whiley@noms.gsi.gov.uk" TargetMode="External"/><Relationship Id="rId38" Type="http://schemas.openxmlformats.org/officeDocument/2006/relationships/hyperlink" Target="https://www.england.nhs.uk/patientsafety/wp-content/uploads/sites/32/2015/04/serious-incidnt-framwrk-upd2.pdf" TargetMode="External"/><Relationship Id="rId46" Type="http://schemas.openxmlformats.org/officeDocument/2006/relationships/hyperlink" Target="https://equip-portal.rocstac.com/CtrlWebIsapi.dll/?__id=docDetails.showDoc&amp;doc=36FA3DCCAD15433E8E5DCAF7E0B647D1&amp;dpt=1" TargetMode="External"/><Relationship Id="rId20" Type="http://schemas.openxmlformats.org/officeDocument/2006/relationships/hyperlink" Target="https://mappa.justice.gov.uk/General/view?objectID=265796" TargetMode="External"/><Relationship Id="rId41" Type="http://schemas.openxmlformats.org/officeDocument/2006/relationships/hyperlink" Target="mailto:ImmigrationMAPPASPOC@homeoffice.gsi.gov.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acpo.police.uk/documents/crime/2011/20110404%20ViSOR%20Standards%20v2%200_Nov%202010.pdf" TargetMode="External"/><Relationship Id="rId28" Type="http://schemas.openxmlformats.org/officeDocument/2006/relationships/hyperlink" Target="https://www.gov.uk/government/publications/child-sex-offender-disclosure-scheme-guidance" TargetMode="External"/><Relationship Id="rId36" Type="http://schemas.openxmlformats.org/officeDocument/2006/relationships/hyperlink" Target="https://www.scie.org.uk/safeguarding/adults/reviews/care-act" TargetMode="External"/><Relationship Id="rId49" Type="http://schemas.openxmlformats.org/officeDocument/2006/relationships/hyperlink" Target="http://www.statisticsauthority.gov.uk/assessment/code-of-practice/index.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tandfonline.com/doi/abs/10.1080/13552600903031195" TargetMode="External"/><Relationship Id="rId13" Type="http://schemas.openxmlformats.org/officeDocument/2006/relationships/hyperlink" Target="https://webarchive.nationalarchives.gov.uk/ukgwa/20201023154253/http:/www.justice.gov.uk/downloads/offenders/psipso/pso/pso-6300-rotl.doc" TargetMode="External"/><Relationship Id="rId18" Type="http://schemas.openxmlformats.org/officeDocument/2006/relationships/hyperlink" Target="https://assets.publishing.service.gov.uk/government/uploads/system/uploads/attachment_data/file/397649/CA1989_Transitions_guidance.pdf" TargetMode="External"/><Relationship Id="rId3" Type="http://schemas.openxmlformats.org/officeDocument/2006/relationships/hyperlink" Target="https://www.gov.uk/government/publications/board-members-of-public-bodies-code-of-conduct" TargetMode="External"/><Relationship Id="rId7" Type="http://schemas.openxmlformats.org/officeDocument/2006/relationships/hyperlink" Target="http://prb.sagepub.com/content/45/2/67.abstract" TargetMode="External"/><Relationship Id="rId12" Type="http://schemas.openxmlformats.org/officeDocument/2006/relationships/hyperlink" Target="https://www.gov.uk/government/publications/release-on-temporary-licence" TargetMode="External"/><Relationship Id="rId17" Type="http://schemas.openxmlformats.org/officeDocument/2006/relationships/hyperlink" Target="https://www.justice.gov.uk/downloads/offenders/psipso/psi-2015/psi-12-2015-licences-conditions-supervision.pdf" TargetMode="External"/><Relationship Id="rId2" Type="http://schemas.openxmlformats.org/officeDocument/2006/relationships/hyperlink" Target="https://www.gov.uk/government/publications/the-7-principles-of-public-life" TargetMode="External"/><Relationship Id="rId16" Type="http://schemas.openxmlformats.org/officeDocument/2006/relationships/hyperlink" Target="https://www.gov.uk/guidance/homelessness-code-of-guidance-for-local-authorities/chapter-23-people-with-an-offending-history" TargetMode="External"/><Relationship Id="rId1" Type="http://schemas.openxmlformats.org/officeDocument/2006/relationships/hyperlink" Target="https://www.gov.uk/government/uploads/system/uploads/attachment_data/file/419604/What_to_do_if_you_re_worried_a_child_is_being_abused.pdf" TargetMode="External"/><Relationship Id="rId6" Type="http://schemas.openxmlformats.org/officeDocument/2006/relationships/hyperlink" Target="http://www.justice.gov.uk/downloads/offenders/probation-instructions/pi-32-2014-approved-premises.doc" TargetMode="External"/><Relationship Id="rId11" Type="http://schemas.openxmlformats.org/officeDocument/2006/relationships/hyperlink" Target="https://mappa.justice.gov.uk/connect.ti/General/view?objectId=23037029" TargetMode="External"/><Relationship Id="rId5" Type="http://schemas.openxmlformats.org/officeDocument/2006/relationships/hyperlink" Target="https://www.legislation.gov.uk/ukpga/2006/52/section/42" TargetMode="External"/><Relationship Id="rId15" Type="http://schemas.openxmlformats.org/officeDocument/2006/relationships/hyperlink" Target="https://www.gov.uk/guidance/homelessness-code-of-guidance-for-local-authorities/chapter-8-priority-need" TargetMode="External"/><Relationship Id="rId10" Type="http://schemas.openxmlformats.org/officeDocument/2006/relationships/hyperlink" Target="https://www.gov.uk/government/publications/generic-parole-process-policy-framework" TargetMode="External"/><Relationship Id="rId4" Type="http://schemas.openxmlformats.org/officeDocument/2006/relationships/hyperlink" Target="http://www.legislation.gov.uk/ukpga/2003/44/schedule/15" TargetMode="External"/><Relationship Id="rId9" Type="http://schemas.openxmlformats.org/officeDocument/2006/relationships/hyperlink" Target="https://www.gov.uk/government/publications/prison-adjudications-policy-psi-052018" TargetMode="External"/><Relationship Id="rId14" Type="http://schemas.openxmlformats.org/officeDocument/2006/relationships/hyperlink" Target="https://www.legislation.gov.uk/ukpga/2006/52/section/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e53b11bc0a78d176ccc563dfb26bde8d">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40f92d213e04615ad7165ec449bcf416"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07F02E-E3A1-472A-9ABA-78668F03A4E2}">
  <ds:schemaRefs>
    <ds:schemaRef ds:uri="http://schemas.microsoft.com/sharepoint/v3/contenttype/forms"/>
  </ds:schemaRefs>
</ds:datastoreItem>
</file>

<file path=customXml/itemProps2.xml><?xml version="1.0" encoding="utf-8"?>
<ds:datastoreItem xmlns:ds="http://schemas.openxmlformats.org/officeDocument/2006/customXml" ds:itemID="{B4550E0D-90BE-41BF-A957-FADFAAFC2302}"/>
</file>

<file path=customXml/itemProps3.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34AF60F9</Template>
  <TotalTime>0</TotalTime>
  <Pages>178</Pages>
  <Words>76285</Words>
  <Characters>434828</Characters>
  <Application>Microsoft Office Word</Application>
  <DocSecurity>0</DocSecurity>
  <Lines>3623</Lines>
  <Paragraphs>1020</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510093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3</cp:revision>
  <cp:lastPrinted>2018-08-09T09:39:00Z</cp:lastPrinted>
  <dcterms:created xsi:type="dcterms:W3CDTF">2023-09-13T14:54:00Z</dcterms:created>
  <dcterms:modified xsi:type="dcterms:W3CDTF">2023-10-27T15:37:00Z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