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264D736" w:rsidR="003C0362" w:rsidRPr="00D5409B" w:rsidRDefault="00684FEA" w:rsidP="00D5409B">
      <w:pPr>
        <w:pStyle w:val="Heading1"/>
        <w:rPr>
          <w:rStyle w:val="IntenseReference"/>
          <w:b w:val="0"/>
          <w:bCs w:val="0"/>
          <w:smallCaps w:val="0"/>
          <w:color w:val="7030A0"/>
          <w:spacing w:val="0"/>
        </w:rPr>
      </w:pPr>
      <w:r>
        <w:rPr>
          <w:rStyle w:val="IntenseReference"/>
          <w:b w:val="0"/>
          <w:bCs w:val="0"/>
          <w:smallCaps w:val="0"/>
          <w:color w:val="7030A0"/>
          <w:spacing w:val="0"/>
        </w:rPr>
        <w:t>Gloucestershire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1A8A2ACB" w14:textId="77777777" w:rsidR="00684FEA" w:rsidRPr="00684FEA" w:rsidRDefault="00684FEA" w:rsidP="00684FEA">
      <w:pPr>
        <w:spacing w:before="120" w:after="120" w:line="280" w:lineRule="atLeast"/>
        <w:rPr>
          <w:rFonts w:ascii="Arial" w:hAnsi="Arial" w:cs="Arial"/>
        </w:rPr>
      </w:pPr>
      <w:r w:rsidRPr="00684FEA">
        <w:rPr>
          <w:rFonts w:ascii="Arial" w:hAnsi="Arial" w:cs="Arial"/>
        </w:rPr>
        <w:t xml:space="preserve">In November 2023 I took on the role of Head of Service for Gloucestershire Probation and this was made a permanent appointment in June 2024. I received a handover from my long-established predecessor and was welcomed and supported by our existing MAPPA team. Gloucestershire’s current Acting MAPPA Coordinator was also new to role at this time and so collectively the team has been undergoing a period of intensive learning and development. From the offset I was keen to ensure the continued legacy of strong MAPPA practice already long established in Gloucestershire, whilst aligning this to a set of ‘keeping people safe priorities’ we have now embedded as focal points for continued practice development within the PDU. Over the last 7 years I have worked in strategic, performance focused positions in both the public and private sectors and was therefore reassured to find an effective and cohesive performance focused approach within our local MAPPA framework.   </w:t>
      </w:r>
    </w:p>
    <w:p w14:paraId="41986784" w14:textId="77777777" w:rsidR="00684FEA" w:rsidRPr="00684FEA" w:rsidRDefault="00684FEA" w:rsidP="00684FEA">
      <w:pPr>
        <w:spacing w:before="120" w:after="120" w:line="280" w:lineRule="atLeast"/>
        <w:rPr>
          <w:rFonts w:ascii="Arial" w:hAnsi="Arial" w:cs="Arial"/>
        </w:rPr>
      </w:pPr>
      <w:r w:rsidRPr="00684FEA">
        <w:rPr>
          <w:rFonts w:ascii="Arial" w:hAnsi="Arial" w:cs="Arial"/>
        </w:rPr>
        <w:t xml:space="preserve">The purpose of this report is to provide information about the work of MAPPA in Gloucestershire and offer reassurance to the public that appropriate processes are in place to collaboratively manage the most complex cases in our communities.  We do not report on individual cases nor comment on the specific actions of individual agencies, but we do aim to provide a flavour of the work carried out locally under the MAPPA framework. </w:t>
      </w:r>
    </w:p>
    <w:p w14:paraId="0EC80E85" w14:textId="77777777" w:rsidR="00684FEA" w:rsidRPr="00684FEA" w:rsidRDefault="00684FEA" w:rsidP="00684FEA">
      <w:pPr>
        <w:spacing w:before="120" w:after="120" w:line="280" w:lineRule="atLeast"/>
        <w:rPr>
          <w:rFonts w:ascii="Arial" w:hAnsi="Arial" w:cs="Arial"/>
        </w:rPr>
      </w:pPr>
      <w:r w:rsidRPr="00684FEA">
        <w:rPr>
          <w:rFonts w:ascii="Arial" w:hAnsi="Arial" w:cs="Arial"/>
        </w:rPr>
        <w:t xml:space="preserve">MAPPA in Gloucestershire is overseen by the Strategic Management Board (SMB), which includes senior representatives from Gloucestershire Constabulary, Her Majesty’s Prison Service and the Probation Service (the Responsible Authority), as well as Adult Safeguarding, Adult Social Care, Children’s Social Care, the Department for Work &amp; Pensions, Gloucestershire Strategic Housing Partnership, the Office of the Police &amp; Crime Commissioner, the Youth Offending Service and Gloucestershire Health and Care NHS Foundation Trust (representing all of Health) (the Duty to Cooperate Agencies). The Board </w:t>
      </w:r>
      <w:r w:rsidRPr="00684FEA">
        <w:rPr>
          <w:rFonts w:ascii="Arial" w:hAnsi="Arial" w:cs="Arial"/>
        </w:rPr>
        <w:t>is completed by our MAPPA Coordinator and two Lay Advisers.</w:t>
      </w:r>
    </w:p>
    <w:p w14:paraId="2BE1B672" w14:textId="77777777" w:rsidR="00684FEA" w:rsidRPr="00684FEA" w:rsidRDefault="00684FEA" w:rsidP="00684FEA">
      <w:pPr>
        <w:pStyle w:val="NormalWeb"/>
        <w:spacing w:before="120" w:beforeAutospacing="0" w:after="120" w:afterAutospacing="0" w:line="280" w:lineRule="atLeast"/>
        <w:rPr>
          <w:rFonts w:ascii="Arial" w:hAnsi="Arial" w:cs="Arial"/>
        </w:rPr>
      </w:pPr>
      <w:r w:rsidRPr="00684FEA">
        <w:rPr>
          <w:rFonts w:ascii="Arial" w:hAnsi="Arial" w:cs="Arial"/>
        </w:rPr>
        <w:t>The role of the SMB is to manage the quality and effectiveness of MAPPA locally, ensuring that each of the agencies involved discharge their duties to protect the public under the MAPPA framework. The aims of the SMB in Gloucestershire remain unchanged from previous years.</w:t>
      </w:r>
    </w:p>
    <w:p w14:paraId="0D20FAC0" w14:textId="77777777" w:rsidR="00684FEA" w:rsidRPr="00684FEA" w:rsidRDefault="00684FEA" w:rsidP="00684FEA">
      <w:pPr>
        <w:pStyle w:val="NormalWeb"/>
        <w:spacing w:before="120" w:beforeAutospacing="0" w:after="120" w:afterAutospacing="0" w:line="280" w:lineRule="atLeast"/>
        <w:rPr>
          <w:rFonts w:ascii="Arial" w:hAnsi="Arial" w:cs="Arial"/>
        </w:rPr>
      </w:pPr>
      <w:r w:rsidRPr="00684FEA">
        <w:rPr>
          <w:rFonts w:ascii="Arial" w:hAnsi="Arial" w:cs="Arial"/>
        </w:rPr>
        <w:t>They are:</w:t>
      </w:r>
    </w:p>
    <w:p w14:paraId="4540483B" w14:textId="77777777" w:rsidR="00684FEA" w:rsidRPr="00684FEA" w:rsidRDefault="00684FEA" w:rsidP="00684FEA">
      <w:pPr>
        <w:numPr>
          <w:ilvl w:val="0"/>
          <w:numId w:val="3"/>
        </w:numPr>
        <w:tabs>
          <w:tab w:val="clear" w:pos="720"/>
        </w:tabs>
        <w:spacing w:before="120" w:after="120" w:line="280" w:lineRule="atLeast"/>
        <w:ind w:left="340" w:hanging="170"/>
        <w:rPr>
          <w:rFonts w:ascii="Arial" w:hAnsi="Arial" w:cs="Arial"/>
        </w:rPr>
      </w:pPr>
      <w:r w:rsidRPr="00684FEA">
        <w:rPr>
          <w:rFonts w:ascii="Arial" w:hAnsi="Arial" w:cs="Arial"/>
        </w:rPr>
        <w:t>To ensure that victims remain at the centre of local MAPPA arrangements</w:t>
      </w:r>
    </w:p>
    <w:p w14:paraId="4E1FC6EA" w14:textId="77777777" w:rsidR="00684FEA" w:rsidRPr="00684FEA" w:rsidRDefault="00684FEA" w:rsidP="00684FEA">
      <w:pPr>
        <w:numPr>
          <w:ilvl w:val="0"/>
          <w:numId w:val="3"/>
        </w:numPr>
        <w:tabs>
          <w:tab w:val="clear" w:pos="720"/>
        </w:tabs>
        <w:spacing w:before="120" w:after="120" w:line="280" w:lineRule="atLeast"/>
        <w:ind w:left="340" w:hanging="170"/>
        <w:rPr>
          <w:rFonts w:ascii="Arial" w:hAnsi="Arial" w:cs="Arial"/>
        </w:rPr>
      </w:pPr>
      <w:r w:rsidRPr="00684FEA">
        <w:rPr>
          <w:rFonts w:ascii="Arial" w:hAnsi="Arial" w:cs="Arial"/>
        </w:rPr>
        <w:t xml:space="preserve">To maintain effective multi-agency arrangements to manage the risks posed by sexual and violent offenders </w:t>
      </w:r>
    </w:p>
    <w:p w14:paraId="341EE3CA" w14:textId="77777777" w:rsidR="00684FEA" w:rsidRPr="00684FEA" w:rsidRDefault="00684FEA" w:rsidP="00684FEA">
      <w:pPr>
        <w:numPr>
          <w:ilvl w:val="0"/>
          <w:numId w:val="3"/>
        </w:numPr>
        <w:tabs>
          <w:tab w:val="clear" w:pos="720"/>
        </w:tabs>
        <w:spacing w:before="120" w:after="120" w:line="280" w:lineRule="atLeast"/>
        <w:ind w:left="340" w:hanging="170"/>
        <w:rPr>
          <w:rFonts w:ascii="Arial" w:hAnsi="Arial" w:cs="Arial"/>
        </w:rPr>
      </w:pPr>
      <w:r w:rsidRPr="00684FEA">
        <w:rPr>
          <w:rFonts w:ascii="Arial" w:hAnsi="Arial" w:cs="Arial"/>
        </w:rPr>
        <w:t>To ensure that information is shared in order that the public are protected</w:t>
      </w:r>
    </w:p>
    <w:p w14:paraId="20157BA0" w14:textId="77777777" w:rsidR="00684FEA" w:rsidRPr="00684FEA" w:rsidRDefault="00684FEA" w:rsidP="00684FEA">
      <w:pPr>
        <w:numPr>
          <w:ilvl w:val="0"/>
          <w:numId w:val="3"/>
        </w:numPr>
        <w:tabs>
          <w:tab w:val="clear" w:pos="720"/>
        </w:tabs>
        <w:spacing w:before="120" w:after="120" w:line="280" w:lineRule="atLeast"/>
        <w:ind w:left="340" w:hanging="170"/>
        <w:rPr>
          <w:rFonts w:ascii="Arial" w:hAnsi="Arial" w:cs="Arial"/>
        </w:rPr>
      </w:pPr>
      <w:r w:rsidRPr="00684FEA">
        <w:rPr>
          <w:rFonts w:ascii="Arial" w:hAnsi="Arial" w:cs="Arial"/>
        </w:rPr>
        <w:t>To make improvements where weaknesses are identified</w:t>
      </w:r>
    </w:p>
    <w:p w14:paraId="73346849" w14:textId="77777777" w:rsidR="00684FEA" w:rsidRPr="00684FEA" w:rsidRDefault="00684FEA" w:rsidP="00684FEA">
      <w:pPr>
        <w:numPr>
          <w:ilvl w:val="0"/>
          <w:numId w:val="3"/>
        </w:numPr>
        <w:tabs>
          <w:tab w:val="clear" w:pos="720"/>
        </w:tabs>
        <w:spacing w:before="120" w:after="120" w:line="280" w:lineRule="atLeast"/>
        <w:ind w:left="340" w:hanging="170"/>
        <w:rPr>
          <w:rFonts w:ascii="Arial" w:hAnsi="Arial" w:cs="Arial"/>
        </w:rPr>
      </w:pPr>
      <w:r w:rsidRPr="00684FEA">
        <w:rPr>
          <w:rFonts w:ascii="Arial" w:hAnsi="Arial" w:cs="Arial"/>
        </w:rPr>
        <w:t>To ensure that local MAPPA arrangements are transparent and accountable</w:t>
      </w:r>
    </w:p>
    <w:p w14:paraId="3C91BD71" w14:textId="77777777" w:rsidR="00684FEA" w:rsidRPr="00684FEA" w:rsidRDefault="00684FEA" w:rsidP="00684FEA">
      <w:pPr>
        <w:spacing w:before="120" w:after="120" w:line="280" w:lineRule="atLeast"/>
        <w:rPr>
          <w:rFonts w:ascii="Arial" w:hAnsi="Arial" w:cs="Arial"/>
        </w:rPr>
      </w:pPr>
      <w:r w:rsidRPr="00684FEA">
        <w:rPr>
          <w:rFonts w:ascii="Arial" w:hAnsi="Arial" w:cs="Arial"/>
        </w:rPr>
        <w:t xml:space="preserve">The delivery of these aims requires commitment from all partner agencies at both strategic and operational levels.  </w:t>
      </w:r>
    </w:p>
    <w:p w14:paraId="3E1D7AE2" w14:textId="77777777" w:rsidR="00684FEA" w:rsidRPr="00684FEA" w:rsidRDefault="00684FEA" w:rsidP="00684FEA">
      <w:pPr>
        <w:spacing w:before="120" w:after="120" w:line="280" w:lineRule="atLeast"/>
        <w:rPr>
          <w:rFonts w:ascii="Arial" w:hAnsi="Arial" w:cs="Arial"/>
        </w:rPr>
      </w:pPr>
      <w:r w:rsidRPr="00684FEA">
        <w:rPr>
          <w:rFonts w:ascii="Arial" w:hAnsi="Arial" w:cs="Arial"/>
        </w:rPr>
        <w:t>Whilst Gloucestershire has long enjoyed a highly effective, collaborative, reflective and mutually responsive multi agency effort, we have continued to focus on areas where improvement might be made. Strategic and specialised contribution from key agencies remains an essential component of this work. To that end we have endeavoured to collaborate with and secure a more standardised attendance from the Home Office given the increasing numbers in this cohort and the complexity of their management. We now look forward to an increased level of engagement from Home Office colleagues which should add further value to relevant meetings and ensure leaner resource delivery and better value for the public purse.</w:t>
      </w:r>
    </w:p>
    <w:p w14:paraId="0BFFF9FC" w14:textId="30E0C5E7" w:rsidR="00684FEA" w:rsidRPr="00684FEA" w:rsidRDefault="00684FEA" w:rsidP="00684FEA">
      <w:pPr>
        <w:spacing w:before="120" w:after="120" w:line="280" w:lineRule="atLeast"/>
        <w:rPr>
          <w:rFonts w:ascii="Arial" w:hAnsi="Arial" w:cs="Arial"/>
        </w:rPr>
      </w:pPr>
      <w:r w:rsidRPr="00684FEA">
        <w:rPr>
          <w:rFonts w:ascii="Arial" w:hAnsi="Arial" w:cs="Arial"/>
        </w:rPr>
        <w:lastRenderedPageBreak/>
        <w:t xml:space="preserve">Another area in which we have seen progression is in the development of positive working relationships with MAPPA teams in other Probation Delivery Units and indeed regions. Coordinated and comprehensive planning is required when MAPPA nominals move geographical </w:t>
      </w:r>
      <w:r w:rsidR="00341CB3" w:rsidRPr="00684FEA">
        <w:rPr>
          <w:rFonts w:ascii="Arial" w:hAnsi="Arial" w:cs="Arial"/>
        </w:rPr>
        <w:t>areas,</w:t>
      </w:r>
      <w:r w:rsidRPr="00684FEA">
        <w:rPr>
          <w:rFonts w:ascii="Arial" w:hAnsi="Arial" w:cs="Arial"/>
        </w:rPr>
        <w:t xml:space="preserve"> and we have worked hard to develop relationships with internal HMPPS colleagues and their partners in other areas to ensure collaborative and seamless transitions </w:t>
      </w:r>
    </w:p>
    <w:p w14:paraId="6F95F3E6" w14:textId="77777777" w:rsidR="00684FEA" w:rsidRPr="00684FEA" w:rsidRDefault="00684FEA" w:rsidP="00684FEA">
      <w:pPr>
        <w:spacing w:before="120" w:after="120" w:line="280" w:lineRule="atLeast"/>
        <w:rPr>
          <w:rFonts w:ascii="Arial" w:hAnsi="Arial" w:cs="Arial"/>
        </w:rPr>
      </w:pPr>
    </w:p>
    <w:p w14:paraId="7625EFC4" w14:textId="66BAAB46" w:rsidR="00684FEA" w:rsidRPr="00684FEA" w:rsidRDefault="00684FEA" w:rsidP="00684FEA">
      <w:pPr>
        <w:spacing w:before="120" w:after="120" w:line="280" w:lineRule="atLeast"/>
        <w:rPr>
          <w:rFonts w:ascii="Arial" w:hAnsi="Arial" w:cs="Arial"/>
        </w:rPr>
      </w:pPr>
      <w:r w:rsidRPr="00684FEA">
        <w:rPr>
          <w:rFonts w:ascii="Arial" w:hAnsi="Arial" w:cs="Arial"/>
        </w:rPr>
        <w:t>Finally, I would like to take the opportunity to thank our local MAPPA team for their ongoing efforts, and to all of our local contributory agency partners for their continued commitment, knowledge, diligence and support.</w:t>
      </w:r>
    </w:p>
    <w:p w14:paraId="286C2D63" w14:textId="77777777" w:rsidR="00684FEA" w:rsidRPr="00684FEA" w:rsidRDefault="00684FEA" w:rsidP="00684FEA">
      <w:pPr>
        <w:spacing w:before="120" w:after="120" w:line="280" w:lineRule="atLeast"/>
        <w:rPr>
          <w:rFonts w:ascii="Arial" w:hAnsi="Arial" w:cs="Arial"/>
        </w:rPr>
      </w:pPr>
    </w:p>
    <w:p w14:paraId="5915FA1E" w14:textId="77777777" w:rsidR="00684FEA" w:rsidRPr="00684FEA" w:rsidRDefault="00684FEA" w:rsidP="00684FEA">
      <w:pPr>
        <w:spacing w:before="120" w:after="120" w:line="280" w:lineRule="atLeast"/>
        <w:rPr>
          <w:rFonts w:ascii="Arial" w:hAnsi="Arial" w:cs="Arial"/>
          <w:b/>
          <w:bCs/>
        </w:rPr>
      </w:pPr>
      <w:r w:rsidRPr="00684FEA">
        <w:rPr>
          <w:rFonts w:ascii="Arial" w:hAnsi="Arial" w:cs="Arial"/>
          <w:b/>
          <w:bCs/>
        </w:rPr>
        <w:t>Nina Kane</w:t>
      </w:r>
    </w:p>
    <w:p w14:paraId="62333CEA" w14:textId="3B2931DB" w:rsidR="00332EE6" w:rsidRPr="00684FEA" w:rsidRDefault="00684FEA" w:rsidP="00684FEA">
      <w:pPr>
        <w:pStyle w:val="Default"/>
        <w:rPr>
          <w:rFonts w:ascii="Arial" w:hAnsi="Arial" w:cs="Arial"/>
          <w:color w:val="FFFFFF"/>
          <w:sz w:val="22"/>
          <w:szCs w:val="22"/>
        </w:rPr>
      </w:pPr>
      <w:r w:rsidRPr="00684FEA">
        <w:rPr>
          <w:rFonts w:ascii="Arial" w:hAnsi="Arial" w:cs="Arial"/>
          <w:b/>
          <w:bCs/>
        </w:rPr>
        <w:t>Head of Gloucestershire Probation Delivery Unit</w:t>
      </w: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65DAC"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ED45376"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719</w:t>
            </w:r>
          </w:p>
        </w:tc>
        <w:tc>
          <w:tcPr>
            <w:tcW w:w="2186" w:type="dxa"/>
          </w:tcPr>
          <w:p w14:paraId="1638E0FC" w14:textId="3292D2D9"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169</w:t>
            </w:r>
          </w:p>
        </w:tc>
        <w:tc>
          <w:tcPr>
            <w:tcW w:w="2186" w:type="dxa"/>
          </w:tcPr>
          <w:p w14:paraId="1F1BCFAF" w14:textId="45AFA7C6"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sz w:val="24"/>
                <w:szCs w:val="24"/>
              </w:rPr>
              <w:t>-</w:t>
            </w:r>
          </w:p>
        </w:tc>
        <w:tc>
          <w:tcPr>
            <w:tcW w:w="2186" w:type="dxa"/>
          </w:tcPr>
          <w:p w14:paraId="08FB1F87" w14:textId="7EC421B4"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888</w:t>
            </w:r>
          </w:p>
        </w:tc>
      </w:tr>
      <w:tr w:rsidR="00665DAC"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54E013C"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2</w:t>
            </w:r>
          </w:p>
        </w:tc>
        <w:tc>
          <w:tcPr>
            <w:tcW w:w="2186" w:type="dxa"/>
          </w:tcPr>
          <w:p w14:paraId="10F8D0CE" w14:textId="5C92249A"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2</w:t>
            </w:r>
          </w:p>
        </w:tc>
        <w:tc>
          <w:tcPr>
            <w:tcW w:w="2186" w:type="dxa"/>
          </w:tcPr>
          <w:p w14:paraId="346F3891" w14:textId="6D92FE8F"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29D9E254" w14:textId="3B3CB341"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5</w:t>
            </w:r>
          </w:p>
        </w:tc>
      </w:tr>
      <w:tr w:rsidR="00665DAC"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22B58F78"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0</w:t>
            </w:r>
          </w:p>
        </w:tc>
        <w:tc>
          <w:tcPr>
            <w:tcW w:w="2186" w:type="dxa"/>
          </w:tcPr>
          <w:p w14:paraId="26751848" w14:textId="2A4DB3AE"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0</w:t>
            </w:r>
          </w:p>
        </w:tc>
        <w:tc>
          <w:tcPr>
            <w:tcW w:w="2186" w:type="dxa"/>
          </w:tcPr>
          <w:p w14:paraId="75314FEE" w14:textId="01F2DFD3"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7FD44C20" w14:textId="5D814B50"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r>
      <w:tr w:rsidR="00665DAC"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433159B"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721</w:t>
            </w:r>
          </w:p>
        </w:tc>
        <w:tc>
          <w:tcPr>
            <w:tcW w:w="2186" w:type="dxa"/>
          </w:tcPr>
          <w:p w14:paraId="4B320A3C" w14:textId="76D0A81B"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171</w:t>
            </w:r>
          </w:p>
        </w:tc>
        <w:tc>
          <w:tcPr>
            <w:tcW w:w="2186" w:type="dxa"/>
          </w:tcPr>
          <w:p w14:paraId="59BF82DA" w14:textId="3DCE1AFB"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2</w:t>
            </w:r>
          </w:p>
        </w:tc>
        <w:tc>
          <w:tcPr>
            <w:tcW w:w="2186" w:type="dxa"/>
          </w:tcPr>
          <w:p w14:paraId="230BC3FB" w14:textId="26EDDCBC"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894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65DAC"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8F98B31"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4</w:t>
            </w:r>
          </w:p>
        </w:tc>
        <w:tc>
          <w:tcPr>
            <w:tcW w:w="2186" w:type="dxa"/>
          </w:tcPr>
          <w:p w14:paraId="231D96FE" w14:textId="185DC8FF"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3</w:t>
            </w:r>
          </w:p>
        </w:tc>
        <w:tc>
          <w:tcPr>
            <w:tcW w:w="2186" w:type="dxa"/>
          </w:tcPr>
          <w:p w14:paraId="413645CC" w14:textId="60F48B38"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6</w:t>
            </w:r>
          </w:p>
        </w:tc>
        <w:tc>
          <w:tcPr>
            <w:tcW w:w="2186" w:type="dxa"/>
          </w:tcPr>
          <w:p w14:paraId="5A206D70" w14:textId="208DC01B"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13</w:t>
            </w:r>
          </w:p>
        </w:tc>
      </w:tr>
      <w:tr w:rsidR="00665DAC"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90FA0B3"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4AF1F0B4" w14:textId="6794EB83"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0</w:t>
            </w:r>
          </w:p>
        </w:tc>
        <w:tc>
          <w:tcPr>
            <w:tcW w:w="2186" w:type="dxa"/>
          </w:tcPr>
          <w:p w14:paraId="3EABFC56" w14:textId="571BDD6D"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66FC4C00" w14:textId="630A7A75"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2</w:t>
            </w:r>
          </w:p>
        </w:tc>
      </w:tr>
      <w:tr w:rsidR="00665DAC"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408CEDF"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5</w:t>
            </w:r>
          </w:p>
        </w:tc>
        <w:tc>
          <w:tcPr>
            <w:tcW w:w="2186" w:type="dxa"/>
          </w:tcPr>
          <w:p w14:paraId="5D543B3B" w14:textId="00F4F7DD"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3</w:t>
            </w:r>
          </w:p>
        </w:tc>
        <w:tc>
          <w:tcPr>
            <w:tcW w:w="2186" w:type="dxa"/>
          </w:tcPr>
          <w:p w14:paraId="03713ACD" w14:textId="50D58B43"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7</w:t>
            </w:r>
          </w:p>
        </w:tc>
        <w:tc>
          <w:tcPr>
            <w:tcW w:w="2186" w:type="dxa"/>
          </w:tcPr>
          <w:p w14:paraId="29E98152" w14:textId="2B4C691A"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sz w:val="24"/>
                <w:szCs w:val="24"/>
              </w:rPr>
              <w:fldChar w:fldCharType="begin"/>
            </w:r>
            <w:r w:rsidRPr="00665DAC">
              <w:rPr>
                <w:sz w:val="24"/>
                <w:szCs w:val="24"/>
              </w:rPr>
              <w:instrText xml:space="preserve"> =Sum(ABOVE) </w:instrText>
            </w:r>
            <w:r w:rsidRPr="00665DAC">
              <w:rPr>
                <w:sz w:val="24"/>
                <w:szCs w:val="24"/>
              </w:rPr>
              <w:fldChar w:fldCharType="separate"/>
            </w:r>
            <w:r w:rsidRPr="00665DAC">
              <w:rPr>
                <w:noProof/>
                <w:sz w:val="24"/>
                <w:szCs w:val="24"/>
              </w:rPr>
              <w:t>15</w:t>
            </w:r>
            <w:r w:rsidRPr="00665DAC">
              <w:rPr>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D68CEA2" w:rsidR="00332EE6" w:rsidRPr="00523CF4" w:rsidRDefault="00665DA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8CBDB91" w:rsidR="00332EE6" w:rsidRPr="00523CF4" w:rsidRDefault="00665DA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876308E" w:rsidR="00A231D9" w:rsidRPr="00523CF4" w:rsidRDefault="00665DA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93183F1" w:rsidR="00A231D9" w:rsidRPr="00523CF4" w:rsidRDefault="00665DA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B9F6B8C" w:rsidR="00A231D9" w:rsidRPr="00523CF4" w:rsidRDefault="00665DA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7D7F792" w:rsidR="00332EE6" w:rsidRPr="00523CF4" w:rsidRDefault="00665DA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2193B439" w14:textId="77777777" w:rsidR="00684FEA" w:rsidRDefault="00684FEA">
      <w:pPr>
        <w:rPr>
          <w:rFonts w:ascii="Arial" w:eastAsiaTheme="majorEastAsia" w:hAnsi="Arial" w:cstheme="majorBidi"/>
          <w:b/>
          <w:bCs/>
        </w:rPr>
      </w:pPr>
      <w:r>
        <w:br w:type="page"/>
      </w:r>
    </w:p>
    <w:p w14:paraId="78E4FAD4" w14:textId="5EA2AB55"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665DAC"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31F5249"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2</w:t>
            </w:r>
          </w:p>
        </w:tc>
        <w:tc>
          <w:tcPr>
            <w:tcW w:w="2186" w:type="dxa"/>
          </w:tcPr>
          <w:p w14:paraId="34F9E68F" w14:textId="13A4AA64"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720ECB5F" w14:textId="2F297926"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51970D5" w:rsidR="00665DAC" w:rsidRPr="00665DAC" w:rsidRDefault="00665DAC" w:rsidP="00665DAC">
            <w:pPr>
              <w:pStyle w:val="MAPPA-Tabletext"/>
              <w:jc w:val="right"/>
              <w:rPr>
                <w:b w:val="0"/>
                <w:bCs w:val="0"/>
                <w:sz w:val="24"/>
                <w:szCs w:val="24"/>
                <w:lang w:val="en-GB"/>
              </w:rPr>
            </w:pPr>
            <w:r w:rsidRPr="00665DAC">
              <w:rPr>
                <w:noProof/>
                <w:sz w:val="24"/>
                <w:szCs w:val="24"/>
              </w:rPr>
              <w:t>4</w:t>
            </w:r>
          </w:p>
        </w:tc>
      </w:tr>
      <w:tr w:rsidR="00665DAC"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1C0A86E7"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1</w:t>
            </w:r>
          </w:p>
        </w:tc>
        <w:tc>
          <w:tcPr>
            <w:tcW w:w="2186" w:type="dxa"/>
          </w:tcPr>
          <w:p w14:paraId="272FF4F7" w14:textId="5AE6187E"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0</w:t>
            </w:r>
          </w:p>
        </w:tc>
        <w:tc>
          <w:tcPr>
            <w:tcW w:w="2186" w:type="dxa"/>
          </w:tcPr>
          <w:p w14:paraId="75D55EA6" w14:textId="48468C0A" w:rsidR="00665DAC" w:rsidRPr="00665DAC" w:rsidRDefault="00665DAC" w:rsidP="00665DAC">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665DAC">
              <w:rPr>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577358C" w:rsidR="00665DAC" w:rsidRPr="00665DAC" w:rsidRDefault="00665DAC" w:rsidP="00665DAC">
            <w:pPr>
              <w:pStyle w:val="MAPPA-Tabletext"/>
              <w:jc w:val="right"/>
              <w:rPr>
                <w:b w:val="0"/>
                <w:bCs w:val="0"/>
                <w:sz w:val="24"/>
                <w:szCs w:val="24"/>
                <w:lang w:val="en-GB"/>
              </w:rPr>
            </w:pPr>
            <w:r w:rsidRPr="00665DAC">
              <w:rPr>
                <w:noProof/>
                <w:sz w:val="24"/>
                <w:szCs w:val="24"/>
              </w:rPr>
              <w:t>1</w:t>
            </w:r>
          </w:p>
        </w:tc>
      </w:tr>
      <w:tr w:rsidR="00665DAC"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665DAC" w:rsidRPr="00523CF4" w:rsidRDefault="00665DAC" w:rsidP="00665DAC">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94E1480" w:rsidR="00665DAC" w:rsidRPr="00665DAC" w:rsidRDefault="00665DAC" w:rsidP="00665D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65DAC">
              <w:rPr>
                <w:sz w:val="24"/>
                <w:szCs w:val="24"/>
              </w:rPr>
              <w:fldChar w:fldCharType="begin"/>
            </w:r>
            <w:r w:rsidRPr="00665DAC">
              <w:rPr>
                <w:sz w:val="24"/>
                <w:szCs w:val="24"/>
              </w:rPr>
              <w:instrText xml:space="preserve"> =SUM(ABOVE) </w:instrText>
            </w:r>
            <w:r w:rsidRPr="00665DAC">
              <w:rPr>
                <w:sz w:val="24"/>
                <w:szCs w:val="24"/>
              </w:rPr>
              <w:fldChar w:fldCharType="separate"/>
            </w:r>
            <w:r w:rsidRPr="00665DAC">
              <w:rPr>
                <w:noProof/>
                <w:sz w:val="24"/>
                <w:szCs w:val="24"/>
              </w:rPr>
              <w:t>3</w:t>
            </w:r>
            <w:r w:rsidRPr="00665DAC">
              <w:rPr>
                <w:sz w:val="24"/>
                <w:szCs w:val="24"/>
              </w:rPr>
              <w:fldChar w:fldCharType="end"/>
            </w:r>
          </w:p>
        </w:tc>
        <w:tc>
          <w:tcPr>
            <w:tcW w:w="2186" w:type="dxa"/>
          </w:tcPr>
          <w:p w14:paraId="184256C5" w14:textId="237547C5" w:rsidR="00665DAC" w:rsidRPr="00665DAC" w:rsidRDefault="00665DAC" w:rsidP="00665D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65DAC">
              <w:rPr>
                <w:sz w:val="24"/>
                <w:szCs w:val="24"/>
              </w:rPr>
              <w:fldChar w:fldCharType="begin"/>
            </w:r>
            <w:r w:rsidRPr="00665DAC">
              <w:rPr>
                <w:sz w:val="24"/>
                <w:szCs w:val="24"/>
              </w:rPr>
              <w:instrText xml:space="preserve"> =SUM(ABOVE) </w:instrText>
            </w:r>
            <w:r w:rsidRPr="00665DAC">
              <w:rPr>
                <w:sz w:val="24"/>
                <w:szCs w:val="24"/>
              </w:rPr>
              <w:fldChar w:fldCharType="separate"/>
            </w:r>
            <w:r w:rsidRPr="00665DAC">
              <w:rPr>
                <w:noProof/>
                <w:sz w:val="24"/>
                <w:szCs w:val="24"/>
              </w:rPr>
              <w:t>1</w:t>
            </w:r>
            <w:r w:rsidRPr="00665DAC">
              <w:rPr>
                <w:sz w:val="24"/>
                <w:szCs w:val="24"/>
              </w:rPr>
              <w:fldChar w:fldCharType="end"/>
            </w:r>
          </w:p>
        </w:tc>
        <w:tc>
          <w:tcPr>
            <w:tcW w:w="2186" w:type="dxa"/>
          </w:tcPr>
          <w:p w14:paraId="44078787" w14:textId="654F1F2A" w:rsidR="00665DAC" w:rsidRPr="00665DAC" w:rsidRDefault="00665DAC" w:rsidP="00665DAC">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665DAC">
              <w:rPr>
                <w:sz w:val="24"/>
                <w:szCs w:val="24"/>
              </w:rPr>
              <w:fldChar w:fldCharType="begin"/>
            </w:r>
            <w:r w:rsidRPr="00665DAC">
              <w:rPr>
                <w:sz w:val="24"/>
                <w:szCs w:val="24"/>
              </w:rPr>
              <w:instrText xml:space="preserve"> =SUM(ABOVE) </w:instrText>
            </w:r>
            <w:r w:rsidRPr="00665DAC">
              <w:rPr>
                <w:sz w:val="24"/>
                <w:szCs w:val="24"/>
              </w:rPr>
              <w:fldChar w:fldCharType="separate"/>
            </w:r>
            <w:r w:rsidRPr="00665DAC">
              <w:rPr>
                <w:noProof/>
                <w:sz w:val="24"/>
                <w:szCs w:val="24"/>
              </w:rPr>
              <w:t>1</w:t>
            </w:r>
            <w:r w:rsidRPr="00665DAC">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76B7CDB" w:rsidR="00665DAC" w:rsidRPr="00665DAC" w:rsidRDefault="00665DAC" w:rsidP="00665DAC">
            <w:pPr>
              <w:pStyle w:val="MAPPA-Tabletext"/>
              <w:jc w:val="right"/>
              <w:rPr>
                <w:b w:val="0"/>
                <w:bCs w:val="0"/>
                <w:sz w:val="24"/>
                <w:szCs w:val="24"/>
                <w:lang w:val="en-GB"/>
              </w:rPr>
            </w:pPr>
            <w:r w:rsidRPr="00665DAC">
              <w:rPr>
                <w:noProof/>
                <w:sz w:val="24"/>
                <w:szCs w:val="24"/>
              </w:rPr>
              <w:t>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BB33D82" w:rsidR="00FA3513" w:rsidRPr="00523CF4" w:rsidRDefault="00095175"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64B7479" w:rsidR="00FA3513" w:rsidRPr="00523CF4" w:rsidRDefault="00095175"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7C03466" w:rsidR="00FA3513" w:rsidRPr="00523CF4" w:rsidRDefault="00095175"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AA968F7" w:rsidR="00332EE6" w:rsidRPr="004265C9" w:rsidRDefault="00D8485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123</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AFB51CF" w14:textId="77777777" w:rsidR="00684FEA" w:rsidRPr="00684FEA" w:rsidRDefault="00684FEA" w:rsidP="00684FEA">
      <w:pPr>
        <w:spacing w:before="120" w:after="120" w:line="240" w:lineRule="atLeast"/>
        <w:rPr>
          <w:rFonts w:ascii="Arial" w:hAnsi="Arial" w:cs="Arial"/>
          <w:b/>
          <w:bCs/>
          <w:color w:val="7030A0"/>
        </w:rPr>
      </w:pPr>
      <w:r w:rsidRPr="00684FEA">
        <w:rPr>
          <w:rFonts w:ascii="Arial" w:hAnsi="Arial" w:cs="Arial"/>
          <w:b/>
          <w:bCs/>
          <w:color w:val="7030A0"/>
        </w:rPr>
        <w:t>Local SMB and MAPPA updates</w:t>
      </w:r>
    </w:p>
    <w:p w14:paraId="567E3A21" w14:textId="77777777" w:rsidR="00684FEA" w:rsidRPr="00684FEA" w:rsidRDefault="00684FEA" w:rsidP="00684FEA">
      <w:pPr>
        <w:spacing w:before="120" w:after="120" w:line="240" w:lineRule="atLeast"/>
        <w:rPr>
          <w:rFonts w:ascii="Arial" w:hAnsi="Arial" w:cs="Arial"/>
          <w:color w:val="000000" w:themeColor="text1"/>
        </w:rPr>
      </w:pPr>
      <w:r w:rsidRPr="00684FEA">
        <w:rPr>
          <w:rFonts w:ascii="Arial" w:hAnsi="Arial" w:cs="Arial"/>
          <w:color w:val="000000" w:themeColor="text1"/>
        </w:rPr>
        <w:t xml:space="preserve">I adopted the acting MAPPA coordinator post end of January 2024, to offer cover to our established coordinator Cath Bennett for a planned work break starting October 2023. I was very reassured that despite a 2 month gap in there being an active coordinator, our long established MAPPA administrator had continued to ensure that the operational frameworks, key performance indicators and logistical mechanisms were never disrupted.  </w:t>
      </w:r>
    </w:p>
    <w:p w14:paraId="4388EC37" w14:textId="77777777" w:rsidR="00684FEA" w:rsidRPr="00684FEA" w:rsidRDefault="00684FEA" w:rsidP="00684FEA">
      <w:pPr>
        <w:spacing w:before="120" w:after="120" w:line="240" w:lineRule="atLeast"/>
        <w:rPr>
          <w:rFonts w:ascii="Arial" w:hAnsi="Arial" w:cs="Arial"/>
          <w:color w:val="FF0000"/>
        </w:rPr>
      </w:pPr>
      <w:r w:rsidRPr="00684FEA">
        <w:rPr>
          <w:rFonts w:ascii="Arial" w:hAnsi="Arial" w:cs="Arial"/>
          <w:color w:val="000000" w:themeColor="text1"/>
        </w:rPr>
        <w:t xml:space="preserve">I now look forward to welcoming Cath back and handing MAPPA responsibility back over from October this year. </w:t>
      </w:r>
    </w:p>
    <w:p w14:paraId="76DAC6DB"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Since the previous MAPPA Annual Report there has been a change to Gloucestershire’s MAPPA SMB with the departure of </w:t>
      </w:r>
      <w:r w:rsidRPr="00684FEA">
        <w:rPr>
          <w:rFonts w:ascii="Arial" w:hAnsi="Arial" w:cs="Arial"/>
          <w:color w:val="000000" w:themeColor="text1"/>
        </w:rPr>
        <w:t xml:space="preserve">our previous PDU Head, now </w:t>
      </w:r>
      <w:r w:rsidRPr="00684FEA">
        <w:rPr>
          <w:rFonts w:ascii="Arial" w:hAnsi="Arial" w:cs="Arial"/>
        </w:rPr>
        <w:t xml:space="preserve">welcoming Nina Kane as the </w:t>
      </w:r>
      <w:r w:rsidRPr="00684FEA">
        <w:rPr>
          <w:rFonts w:ascii="Arial" w:hAnsi="Arial" w:cs="Arial"/>
          <w:color w:val="000000" w:themeColor="text1"/>
        </w:rPr>
        <w:t>new</w:t>
      </w:r>
      <w:r w:rsidRPr="00684FEA">
        <w:rPr>
          <w:rFonts w:ascii="Arial" w:hAnsi="Arial" w:cs="Arial"/>
          <w:color w:val="FF0000"/>
        </w:rPr>
        <w:t xml:space="preserve"> </w:t>
      </w:r>
      <w:r w:rsidRPr="00684FEA">
        <w:rPr>
          <w:rFonts w:ascii="Arial" w:hAnsi="Arial" w:cs="Arial"/>
        </w:rPr>
        <w:t xml:space="preserve">Head of Gloucestershire Probation and SMB Chair. </w:t>
      </w:r>
    </w:p>
    <w:p w14:paraId="420BA756" w14:textId="623ECCDA" w:rsidR="00684FEA" w:rsidRPr="00684FEA" w:rsidRDefault="00684FEA" w:rsidP="00684FEA">
      <w:pPr>
        <w:spacing w:before="120" w:after="120" w:line="240" w:lineRule="atLeast"/>
        <w:rPr>
          <w:rFonts w:ascii="Arial" w:hAnsi="Arial" w:cs="Arial"/>
        </w:rPr>
      </w:pPr>
      <w:r w:rsidRPr="00684FEA">
        <w:rPr>
          <w:rFonts w:ascii="Arial" w:hAnsi="Arial" w:cs="Arial"/>
          <w:color w:val="000000" w:themeColor="text1"/>
        </w:rPr>
        <w:t>We were successful in recruiting a new Lay Adviser, Paul and would like to express our gratitude to him as an essential part of Glo</w:t>
      </w:r>
      <w:r>
        <w:rPr>
          <w:rFonts w:ascii="Arial" w:hAnsi="Arial" w:cs="Arial"/>
          <w:color w:val="000000" w:themeColor="text1"/>
        </w:rPr>
        <w:t>ucestershire</w:t>
      </w:r>
      <w:r w:rsidRPr="00684FEA">
        <w:rPr>
          <w:rFonts w:ascii="Arial" w:hAnsi="Arial" w:cs="Arial"/>
          <w:color w:val="000000" w:themeColor="text1"/>
        </w:rPr>
        <w:t xml:space="preserve"> MAPPA and independent arbiter for agency and process accountability. </w:t>
      </w:r>
      <w:r w:rsidRPr="00684FEA">
        <w:rPr>
          <w:rFonts w:ascii="Arial" w:hAnsi="Arial" w:cs="Arial"/>
        </w:rPr>
        <w:t>The Lay Adviser contributes to the monitoring and evaluation of the operation of MAPPA in their area.</w:t>
      </w:r>
    </w:p>
    <w:p w14:paraId="2CBEA9D8" w14:textId="77777777" w:rsidR="00684FEA" w:rsidRDefault="00684FEA" w:rsidP="00684FEA">
      <w:pPr>
        <w:spacing w:before="120" w:after="120" w:line="240" w:lineRule="atLeast"/>
        <w:rPr>
          <w:rFonts w:ascii="Arial" w:hAnsi="Arial" w:cs="Arial"/>
          <w:b/>
          <w:bCs/>
        </w:rPr>
      </w:pPr>
    </w:p>
    <w:p w14:paraId="541F57BF" w14:textId="66C849A8" w:rsidR="00684FEA" w:rsidRPr="00684FEA" w:rsidRDefault="00684FEA" w:rsidP="00684FEA">
      <w:pPr>
        <w:spacing w:before="120" w:after="120" w:line="240" w:lineRule="atLeast"/>
        <w:rPr>
          <w:rFonts w:ascii="Arial" w:hAnsi="Arial" w:cs="Arial"/>
          <w:b/>
          <w:bCs/>
          <w:color w:val="7030A0"/>
        </w:rPr>
      </w:pPr>
      <w:r w:rsidRPr="00684FEA">
        <w:rPr>
          <w:rFonts w:ascii="Arial" w:hAnsi="Arial" w:cs="Arial"/>
          <w:b/>
          <w:bCs/>
          <w:color w:val="7030A0"/>
        </w:rPr>
        <w:t xml:space="preserve">Performance </w:t>
      </w:r>
    </w:p>
    <w:p w14:paraId="51761B7E" w14:textId="77777777" w:rsidR="00684FEA" w:rsidRPr="00684FEA" w:rsidRDefault="00684FEA" w:rsidP="00684FEA">
      <w:pPr>
        <w:spacing w:before="120" w:after="120" w:line="240" w:lineRule="atLeast"/>
        <w:rPr>
          <w:rFonts w:ascii="Arial" w:hAnsi="Arial" w:cs="Arial"/>
          <w:lang w:val="en-US"/>
        </w:rPr>
      </w:pPr>
      <w:r w:rsidRPr="00684FEA">
        <w:rPr>
          <w:rFonts w:ascii="Arial" w:hAnsi="Arial" w:cs="Arial"/>
          <w:lang w:val="en-US"/>
        </w:rPr>
        <w:t>Protecting the public from offenders who commit sexual and violent crimes and meeting the needs of victims remains our highest priority for Gloucestershire Police, the HM Probation Service and HM Prison Service.</w:t>
      </w:r>
    </w:p>
    <w:p w14:paraId="3B099A33"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Gloucestershire continues to demonstrate high performance against the MAPPA Key Performance Indicators (KPIs). This demonstrates solid co-operation from all the partner agencies. This enables effective communication which in turn allows for robust risk management. There have not been any MAPPA Serious Case Reviews this year. </w:t>
      </w:r>
    </w:p>
    <w:p w14:paraId="7A6D5FCE"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100% of all level 2 cases were reviewed within the 16-week KPI and 100% of level 3 cases were reviewed within the 8-week KPI. </w:t>
      </w:r>
    </w:p>
    <w:p w14:paraId="51015467" w14:textId="2C9808FF" w:rsidR="00684FEA" w:rsidRPr="00684FEA" w:rsidRDefault="00684FEA" w:rsidP="00684FEA">
      <w:pPr>
        <w:spacing w:before="120" w:after="120" w:line="240" w:lineRule="atLeast"/>
        <w:rPr>
          <w:rFonts w:ascii="Arial" w:hAnsi="Arial" w:cs="Arial"/>
        </w:rPr>
      </w:pPr>
      <w:r w:rsidRPr="00684FEA">
        <w:rPr>
          <w:rFonts w:ascii="Arial" w:hAnsi="Arial" w:cs="Arial"/>
        </w:rPr>
        <w:t xml:space="preserve">This is a testament to the hard work and dedication of our partner agencies for their continued commitment. These meetings ensure that effective information sharing is facilitated, risk is accurately assessed, and robust Risk Management Plans are developed. Meetings are audited twice a year to ensure that effective standards are maintained. This year saw further successful audits, with Gloucestershire’s overall ratings confirmed as ‘managed well’.  </w:t>
      </w:r>
    </w:p>
    <w:p w14:paraId="3DFE7B2D" w14:textId="77777777" w:rsidR="00684FEA" w:rsidRDefault="00684FEA" w:rsidP="00684FEA">
      <w:pPr>
        <w:spacing w:before="120" w:after="120" w:line="240" w:lineRule="atLeast"/>
        <w:rPr>
          <w:rFonts w:ascii="Arial" w:hAnsi="Arial" w:cs="Arial"/>
          <w:b/>
          <w:bCs/>
        </w:rPr>
      </w:pPr>
    </w:p>
    <w:p w14:paraId="3B0FC2EB" w14:textId="396049DD" w:rsidR="00684FEA" w:rsidRPr="00684FEA" w:rsidRDefault="00684FEA" w:rsidP="00684FEA">
      <w:pPr>
        <w:spacing w:before="120" w:after="120" w:line="240" w:lineRule="atLeast"/>
        <w:rPr>
          <w:rFonts w:ascii="Arial" w:hAnsi="Arial" w:cs="Arial"/>
          <w:b/>
          <w:bCs/>
          <w:color w:val="7030A0"/>
        </w:rPr>
      </w:pPr>
      <w:r w:rsidRPr="00684FEA">
        <w:rPr>
          <w:rFonts w:ascii="Arial" w:hAnsi="Arial" w:cs="Arial"/>
          <w:b/>
          <w:bCs/>
          <w:color w:val="7030A0"/>
        </w:rPr>
        <w:t xml:space="preserve">Business Plan </w:t>
      </w:r>
    </w:p>
    <w:p w14:paraId="66B5807E"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The 2023 – 2026 Business Plan is now live. Our objectives are focused on ensuring that the public and victims are better protected by agencies working together to assess and manage the risks posed by MAPPA Offenders. </w:t>
      </w:r>
    </w:p>
    <w:p w14:paraId="5C0F5AC8"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We continue to review local and national practice to ensure that MAPPA develops in response to learning to ensure that a culture of continuous development prevails. </w:t>
      </w:r>
    </w:p>
    <w:p w14:paraId="541A91E8" w14:textId="77777777" w:rsidR="00684FEA" w:rsidRPr="00684FEA" w:rsidRDefault="00684FEA" w:rsidP="00684FEA">
      <w:pPr>
        <w:spacing w:before="120" w:after="120" w:line="240" w:lineRule="atLeast"/>
        <w:rPr>
          <w:rFonts w:ascii="Arial" w:hAnsi="Arial" w:cs="Arial"/>
        </w:rPr>
      </w:pPr>
      <w:r w:rsidRPr="00684FEA">
        <w:rPr>
          <w:rFonts w:ascii="Arial" w:hAnsi="Arial" w:cs="Arial"/>
        </w:rPr>
        <w:t xml:space="preserve">All MAPPA nominals will continue to be properly assessed and managed according to MAPPA guidance and active multi agency management will be applied to the most complex and risky cases. </w:t>
      </w:r>
    </w:p>
    <w:p w14:paraId="63756204" w14:textId="77777777" w:rsidR="00684FEA" w:rsidRPr="00684FEA" w:rsidRDefault="00684FEA" w:rsidP="00684FEA">
      <w:pPr>
        <w:spacing w:before="120" w:after="120" w:line="240" w:lineRule="atLeast"/>
        <w:rPr>
          <w:rFonts w:ascii="Arial" w:hAnsi="Arial" w:cs="Arial"/>
        </w:rPr>
      </w:pPr>
    </w:p>
    <w:p w14:paraId="293E1E61" w14:textId="77777777" w:rsidR="00684FEA" w:rsidRPr="00684FEA" w:rsidRDefault="00684FEA" w:rsidP="00684FEA">
      <w:pPr>
        <w:spacing w:before="120" w:after="120" w:line="240" w:lineRule="atLeast"/>
        <w:rPr>
          <w:rFonts w:ascii="Arial" w:hAnsi="Arial" w:cs="Arial"/>
          <w:b/>
          <w:bCs/>
          <w:color w:val="7030A0"/>
        </w:rPr>
      </w:pPr>
      <w:r w:rsidRPr="00684FEA">
        <w:rPr>
          <w:rFonts w:ascii="Arial" w:hAnsi="Arial" w:cs="Arial"/>
          <w:b/>
          <w:bCs/>
          <w:color w:val="7030A0"/>
        </w:rPr>
        <w:t xml:space="preserve">Improvement </w:t>
      </w:r>
    </w:p>
    <w:p w14:paraId="4F202A6E" w14:textId="13AD1E3E" w:rsidR="00684FEA" w:rsidRPr="00684FEA" w:rsidRDefault="00684FEA" w:rsidP="00684FEA">
      <w:pPr>
        <w:spacing w:before="120" w:after="120" w:line="240" w:lineRule="atLeast"/>
        <w:rPr>
          <w:rFonts w:ascii="Arial" w:hAnsi="Arial" w:cs="Arial"/>
          <w:color w:val="000000" w:themeColor="text1"/>
        </w:rPr>
      </w:pPr>
      <w:r w:rsidRPr="00684FEA">
        <w:rPr>
          <w:rFonts w:ascii="Arial" w:hAnsi="Arial" w:cs="Arial"/>
          <w:color w:val="000000" w:themeColor="text1"/>
        </w:rPr>
        <w:t>We had identified in early 2024 that Gloucestershire’s growing cohort of domestic violence perpetrators was triggering heightened concern with regard to complexity and seriousness of risk. Not all however have MAPPA qualifying offences and so we saw an opportunity (and in accordance with MAPPA best practice guidance) to expand our scope for Cat</w:t>
      </w:r>
      <w:r w:rsidR="00A04922">
        <w:rPr>
          <w:rFonts w:ascii="Arial" w:hAnsi="Arial" w:cs="Arial"/>
          <w:color w:val="000000" w:themeColor="text1"/>
        </w:rPr>
        <w:t>egory</w:t>
      </w:r>
      <w:r w:rsidRPr="00684FEA">
        <w:rPr>
          <w:rFonts w:ascii="Arial" w:hAnsi="Arial" w:cs="Arial"/>
          <w:color w:val="000000" w:themeColor="text1"/>
        </w:rPr>
        <w:t xml:space="preserve"> 3 inclusion. Local sentence management practice was therefore reviewed alongside MAPPA level setting </w:t>
      </w:r>
      <w:r w:rsidRPr="00684FEA">
        <w:rPr>
          <w:rFonts w:ascii="Arial" w:hAnsi="Arial" w:cs="Arial"/>
          <w:color w:val="000000" w:themeColor="text1"/>
        </w:rPr>
        <w:lastRenderedPageBreak/>
        <w:t>data, to increase the number of pre-release conversations for custody cases and initial oversight conversations on new Orders. I also created a standardised check list incorporating ‘the C</w:t>
      </w:r>
      <w:r w:rsidR="00A04922">
        <w:rPr>
          <w:rFonts w:ascii="Arial" w:hAnsi="Arial" w:cs="Arial"/>
          <w:color w:val="000000" w:themeColor="text1"/>
        </w:rPr>
        <w:t>ategory</w:t>
      </w:r>
      <w:r w:rsidRPr="00684FEA">
        <w:rPr>
          <w:rFonts w:ascii="Arial" w:hAnsi="Arial" w:cs="Arial"/>
          <w:color w:val="000000" w:themeColor="text1"/>
        </w:rPr>
        <w:t xml:space="preserve"> 3 question’ and promoted its use to Senior Probation Officer colleagues as a more standardised approach. This enhanced focus has paid dividends, showing an increased trend in C</w:t>
      </w:r>
      <w:r w:rsidR="00A04922">
        <w:rPr>
          <w:rFonts w:ascii="Arial" w:hAnsi="Arial" w:cs="Arial"/>
          <w:color w:val="000000" w:themeColor="text1"/>
        </w:rPr>
        <w:t>ategory</w:t>
      </w:r>
      <w:r w:rsidRPr="00684FEA">
        <w:rPr>
          <w:rFonts w:ascii="Arial" w:hAnsi="Arial" w:cs="Arial"/>
          <w:color w:val="000000" w:themeColor="text1"/>
        </w:rPr>
        <w:t xml:space="preserve"> 3 D</w:t>
      </w:r>
      <w:r w:rsidR="00A04922">
        <w:rPr>
          <w:rFonts w:ascii="Arial" w:hAnsi="Arial" w:cs="Arial"/>
          <w:color w:val="000000" w:themeColor="text1"/>
        </w:rPr>
        <w:t>omestic Abuse</w:t>
      </w:r>
      <w:r w:rsidRPr="00684FEA">
        <w:rPr>
          <w:rFonts w:ascii="Arial" w:hAnsi="Arial" w:cs="Arial"/>
          <w:color w:val="000000" w:themeColor="text1"/>
        </w:rPr>
        <w:t xml:space="preserve"> MAPPA cases and subsequently an increased localised defensibility of the cohort. We are proud of this improvement and continue to promote the value of this approach as we move forward. </w:t>
      </w:r>
    </w:p>
    <w:p w14:paraId="55BB98AF" w14:textId="79469971" w:rsidR="00684FEA" w:rsidRDefault="00684FEA" w:rsidP="00684FEA">
      <w:pPr>
        <w:spacing w:before="120" w:after="120" w:line="240" w:lineRule="atLeast"/>
        <w:rPr>
          <w:rFonts w:ascii="Arial" w:hAnsi="Arial" w:cs="Arial"/>
          <w:color w:val="000000" w:themeColor="text1"/>
        </w:rPr>
      </w:pPr>
      <w:r w:rsidRPr="00684FEA">
        <w:rPr>
          <w:rFonts w:ascii="Arial" w:hAnsi="Arial" w:cs="Arial"/>
          <w:color w:val="000000" w:themeColor="text1"/>
        </w:rPr>
        <w:t xml:space="preserve">We had also identified an increasing trend in Stalking convictions locally. Gloucestershire now enjoys a specific multi agency Stalking Hub which reviews relevant cases and informs specialised assessment practice and resource allocations to victims. In conjunction with this initiative, we have a local Probation Practitioner who has now received specialised training in this </w:t>
      </w:r>
      <w:r w:rsidR="00A04922" w:rsidRPr="00684FEA">
        <w:rPr>
          <w:rFonts w:ascii="Arial" w:hAnsi="Arial" w:cs="Arial"/>
          <w:color w:val="000000" w:themeColor="text1"/>
        </w:rPr>
        <w:t>area,</w:t>
      </w:r>
      <w:r w:rsidRPr="00684FEA">
        <w:rPr>
          <w:rFonts w:ascii="Arial" w:hAnsi="Arial" w:cs="Arial"/>
          <w:color w:val="000000" w:themeColor="text1"/>
        </w:rPr>
        <w:t xml:space="preserve"> and we have agreement for them to avail themselves within relevant MAPPA meetings for additionality of knowledge and guidance. </w:t>
      </w:r>
      <w:r>
        <w:rPr>
          <w:rFonts w:ascii="Arial" w:hAnsi="Arial" w:cs="Arial"/>
          <w:color w:val="000000" w:themeColor="text1"/>
        </w:rPr>
        <w:br w:type="column"/>
      </w:r>
      <w:r w:rsidRPr="00684FEA">
        <w:rPr>
          <w:rFonts w:ascii="Arial" w:hAnsi="Arial" w:cs="Arial"/>
          <w:color w:val="000000" w:themeColor="text1"/>
        </w:rPr>
        <w:t>More broadly we continue to maximise incorporation of the ‘victim’s voice’ into meetings and also that of the subject of the meeting. We have increase</w:t>
      </w:r>
      <w:r w:rsidR="00A04922">
        <w:rPr>
          <w:rFonts w:ascii="Arial" w:hAnsi="Arial" w:cs="Arial"/>
          <w:color w:val="000000" w:themeColor="text1"/>
        </w:rPr>
        <w:t>d</w:t>
      </w:r>
      <w:r w:rsidRPr="00684FEA">
        <w:rPr>
          <w:rFonts w:ascii="Arial" w:hAnsi="Arial" w:cs="Arial"/>
          <w:color w:val="000000" w:themeColor="text1"/>
        </w:rPr>
        <w:t xml:space="preserve"> the use of MAPPA pre meets between practitioners and the coordinator to explore these aspects and evaluate the benefits of sharing both areas of concern (where appropriate) and affirmation of improvement with the subjects of MAPPA meetings. We are now also exploring and consulting on user engagement approaches that might better evaluate these interactions to inform further improvements in this area. </w:t>
      </w:r>
    </w:p>
    <w:p w14:paraId="7C891457" w14:textId="77777777" w:rsidR="00684FEA" w:rsidRDefault="00684FEA" w:rsidP="00684FEA">
      <w:pPr>
        <w:spacing w:before="120" w:after="120" w:line="240" w:lineRule="atLeast"/>
        <w:rPr>
          <w:rFonts w:ascii="Arial" w:hAnsi="Arial" w:cs="Arial"/>
          <w:color w:val="000000" w:themeColor="text1"/>
        </w:rPr>
      </w:pPr>
    </w:p>
    <w:p w14:paraId="73D1B1A5" w14:textId="77777777" w:rsidR="00684FEA" w:rsidRDefault="00684FEA" w:rsidP="00684FEA">
      <w:pPr>
        <w:spacing w:before="120" w:after="120" w:line="240" w:lineRule="atLeast"/>
        <w:rPr>
          <w:rFonts w:ascii="Arial" w:hAnsi="Arial" w:cs="Arial"/>
          <w:b/>
          <w:bCs/>
          <w:color w:val="000000" w:themeColor="text1"/>
        </w:rPr>
      </w:pPr>
      <w:r>
        <w:rPr>
          <w:rFonts w:ascii="Arial" w:hAnsi="Arial" w:cs="Arial"/>
          <w:b/>
          <w:bCs/>
          <w:color w:val="000000" w:themeColor="text1"/>
        </w:rPr>
        <w:t>Mark Wessex</w:t>
      </w:r>
    </w:p>
    <w:p w14:paraId="078E844D" w14:textId="1CB5B9EB" w:rsidR="00684FEA" w:rsidRPr="00684FEA" w:rsidRDefault="00684FEA" w:rsidP="00684FEA">
      <w:pPr>
        <w:spacing w:before="120" w:after="120" w:line="240" w:lineRule="atLeast"/>
        <w:rPr>
          <w:rFonts w:ascii="Arial" w:hAnsi="Arial" w:cs="Arial"/>
          <w:color w:val="000000" w:themeColor="text1"/>
        </w:rPr>
      </w:pPr>
      <w:r>
        <w:rPr>
          <w:rFonts w:ascii="Arial" w:hAnsi="Arial" w:cs="Arial"/>
          <w:b/>
          <w:bCs/>
          <w:color w:val="000000" w:themeColor="text1"/>
        </w:rPr>
        <w:t>Acting MAPPA Coordinator</w:t>
      </w:r>
    </w:p>
    <w:p w14:paraId="6620B6A1" w14:textId="64F50F71" w:rsidR="00332EE6" w:rsidRPr="00916D29" w:rsidRDefault="00332EE6" w:rsidP="00684FEA">
      <w:pPr>
        <w:pStyle w:val="MAPPA-HeadingPara"/>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CF70FB"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1D3F21DD" w14:textId="08046ACE" w:rsidR="00782444" w:rsidRPr="00B01E0C" w:rsidRDefault="00782444" w:rsidP="00332EE6">
      <w:pPr>
        <w:pStyle w:val="MAPPA-Bodytext"/>
        <w:jc w:val="center"/>
        <w:rPr>
          <w:b/>
          <w:color w:val="7030A0"/>
          <w:sz w:val="26"/>
          <w:szCs w:val="26"/>
          <w:lang w:val="en-GB"/>
        </w:rPr>
      </w:pPr>
    </w:p>
    <w:p w14:paraId="3AD48DFA" w14:textId="3DC12412"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184D6788" w14:textId="7FFA8893" w:rsidR="00DE3907" w:rsidRPr="006954C2" w:rsidRDefault="00CF70FB" w:rsidP="005A1B9A">
      <w:pPr>
        <w:jc w:val="center"/>
        <w:rPr>
          <w:rFonts w:ascii="Arial" w:hAnsi="Arial" w:cs="Arial"/>
          <w:b/>
          <w:bCs/>
          <w:color w:val="7030A0"/>
        </w:rPr>
      </w:pPr>
      <w:r>
        <w:rPr>
          <w:noProof/>
          <w:color w:val="7030A0"/>
        </w:rPr>
        <w:drawing>
          <wp:inline distT="0" distB="0" distL="0" distR="0" wp14:anchorId="30379AD8" wp14:editId="603C2609">
            <wp:extent cx="1612900" cy="1612900"/>
            <wp:effectExtent l="0" t="0" r="6350" b="6350"/>
            <wp:docPr id="1493681352" name="Picture 1" descr="Gloucester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81352" name="Picture 1" descr="Gloucestershire Constabulary Logo"/>
                    <pic:cNvPicPr/>
                  </pic:nvPicPr>
                  <pic:blipFill>
                    <a:blip r:embed="rId25"/>
                    <a:stretch>
                      <a:fillRect/>
                    </a:stretch>
                  </pic:blipFill>
                  <pic:spPr>
                    <a:xfrm>
                      <a:off x="0" y="0"/>
                      <a:ext cx="1612900" cy="1612900"/>
                    </a:xfrm>
                    <a:prstGeom prst="rect">
                      <a:avLst/>
                    </a:prstGeom>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7862C3"/>
    <w:multiLevelType w:val="hybridMultilevel"/>
    <w:tmpl w:val="289EB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127582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95175"/>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1CB3"/>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5DAC"/>
    <w:rsid w:val="0066652E"/>
    <w:rsid w:val="00672210"/>
    <w:rsid w:val="00673321"/>
    <w:rsid w:val="00683239"/>
    <w:rsid w:val="00683618"/>
    <w:rsid w:val="00684DD2"/>
    <w:rsid w:val="00684FEA"/>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50DB"/>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AFD"/>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02D4"/>
    <w:rsid w:val="009D37D4"/>
    <w:rsid w:val="009D6412"/>
    <w:rsid w:val="009E77A2"/>
    <w:rsid w:val="009F0030"/>
    <w:rsid w:val="009F12C4"/>
    <w:rsid w:val="009F3A55"/>
    <w:rsid w:val="00A02438"/>
    <w:rsid w:val="00A04922"/>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0B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1C88"/>
    <w:rsid w:val="00C83D0E"/>
    <w:rsid w:val="00C87622"/>
    <w:rsid w:val="00C91687"/>
    <w:rsid w:val="00CA3666"/>
    <w:rsid w:val="00CA696D"/>
    <w:rsid w:val="00CC1C96"/>
    <w:rsid w:val="00CC2DEB"/>
    <w:rsid w:val="00CE3605"/>
    <w:rsid w:val="00CE4008"/>
    <w:rsid w:val="00CE58B2"/>
    <w:rsid w:val="00CF01E6"/>
    <w:rsid w:val="00CF1FE2"/>
    <w:rsid w:val="00CF64B5"/>
    <w:rsid w:val="00CF70FB"/>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4851"/>
    <w:rsid w:val="00D86E33"/>
    <w:rsid w:val="00D929AA"/>
    <w:rsid w:val="00DA07C6"/>
    <w:rsid w:val="00DA582B"/>
    <w:rsid w:val="00DA6F10"/>
    <w:rsid w:val="00DB45B9"/>
    <w:rsid w:val="00DB56AB"/>
    <w:rsid w:val="00DB6331"/>
    <w:rsid w:val="00DC02EE"/>
    <w:rsid w:val="00DC2D52"/>
    <w:rsid w:val="00DC3228"/>
    <w:rsid w:val="00DC35A8"/>
    <w:rsid w:val="00DC576A"/>
    <w:rsid w:val="00DD2269"/>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14E6"/>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83F3C"/>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rsid w:val="00B140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3472</Words>
  <Characters>18911</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22339</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2024-10-16T09:55:00Z</dcterms:created>
  <dcterms:modified xsi:type="dcterms:W3CDTF">2024-10-16T09:55:00Z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