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47CD80AA" w14:textId="02251DD3" w:rsidR="003C0362" w:rsidRPr="0069414D" w:rsidRDefault="008E2C4B" w:rsidP="003C0362">
      <w:pPr>
        <w:pStyle w:val="Default"/>
        <w:rPr>
          <w:rStyle w:val="IntenseReference"/>
          <w:rFonts w:ascii="Arial" w:hAnsi="Arial" w:cs="Arial"/>
          <w:b w:val="0"/>
          <w:color w:val="7030A0"/>
          <w:sz w:val="100"/>
          <w:szCs w:val="100"/>
        </w:rPr>
      </w:pPr>
      <w:bookmarkStart w:id="0" w:name="_Hlk21438050"/>
      <w:r w:rsidRPr="005526F6">
        <w:rPr>
          <w:noProof/>
        </w:rPr>
        <w:drawing>
          <wp:inline distT="0" distB="0" distL="0" distR="0" wp14:anchorId="272FEB4B" wp14:editId="169651E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p>
    <w:p w14:paraId="31CDDF49" w14:textId="5643A63D" w:rsidR="003C0362" w:rsidRPr="006645A8" w:rsidRDefault="003E6AD5" w:rsidP="00C53C46">
      <w:pPr>
        <w:pStyle w:val="Default"/>
        <w:rPr>
          <w:rStyle w:val="IntenseReference"/>
          <w:rFonts w:ascii="Arial" w:hAnsi="Arial" w:cs="Arial"/>
          <w:b w:val="0"/>
          <w:color w:val="7030A0"/>
          <w:sz w:val="100"/>
          <w:szCs w:val="100"/>
        </w:rPr>
      </w:pPr>
      <w:r>
        <w:rPr>
          <w:rStyle w:val="IntenseReference"/>
          <w:rFonts w:ascii="Arial" w:hAnsi="Arial" w:cs="Arial"/>
          <w:b w:val="0"/>
          <w:color w:val="7030A0"/>
          <w:sz w:val="100"/>
          <w:szCs w:val="100"/>
        </w:rPr>
        <w:t xml:space="preserve">      </w:t>
      </w:r>
      <w:r w:rsidR="00010EAE" w:rsidRPr="006645A8">
        <w:rPr>
          <w:rStyle w:val="IntenseReference"/>
          <w:rFonts w:ascii="Arial" w:hAnsi="Arial" w:cs="Arial"/>
          <w:b w:val="0"/>
          <w:color w:val="7030A0"/>
          <w:sz w:val="100"/>
          <w:szCs w:val="100"/>
        </w:rPr>
        <w:t>MAPPA Cleveland</w:t>
      </w:r>
    </w:p>
    <w:p w14:paraId="6A04797D" w14:textId="297FEC98" w:rsidR="002F08DA" w:rsidRDefault="002652AD" w:rsidP="003C0362">
      <w:pPr>
        <w:pStyle w:val="Default"/>
        <w:jc w:val="right"/>
        <w:rPr>
          <w:rStyle w:val="IntenseReference"/>
          <w:rFonts w:ascii="Arial" w:hAnsi="Arial" w:cs="Arial"/>
          <w:b w:val="0"/>
          <w:color w:val="7030A0"/>
          <w:sz w:val="100"/>
          <w:szCs w:val="100"/>
        </w:rPr>
      </w:pPr>
      <w:r>
        <w:rPr>
          <w:noProof/>
        </w:rPr>
        <w:drawing>
          <wp:inline distT="0" distB="0" distL="0" distR="0" wp14:anchorId="3EEB6FB7" wp14:editId="482FA8ED">
            <wp:extent cx="7556500" cy="5712242"/>
            <wp:effectExtent l="0" t="0" r="6350" b="3175"/>
            <wp:docPr id="10" name="Picture 10" descr="Middlesbrough Transporter Bridge over River T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iddlesbrough Transporter Bridge over River Te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18482" cy="5759096"/>
                    </a:xfrm>
                    <a:prstGeom prst="rect">
                      <a:avLst/>
                    </a:prstGeom>
                    <a:noFill/>
                    <a:ln>
                      <a:noFill/>
                    </a:ln>
                  </pic:spPr>
                </pic:pic>
              </a:graphicData>
            </a:graphic>
          </wp:inline>
        </w:drawing>
      </w:r>
    </w:p>
    <w:p w14:paraId="78A7DDDB" w14:textId="77962AA6" w:rsidR="002F08DA" w:rsidRDefault="002F08DA" w:rsidP="003C0362">
      <w:pPr>
        <w:pStyle w:val="Default"/>
        <w:jc w:val="right"/>
        <w:rPr>
          <w:rStyle w:val="IntenseReference"/>
          <w:rFonts w:ascii="Arial" w:hAnsi="Arial" w:cs="Arial"/>
          <w:b w:val="0"/>
          <w:color w:val="7030A0"/>
          <w:sz w:val="100"/>
          <w:szCs w:val="100"/>
        </w:rPr>
      </w:pPr>
    </w:p>
    <w:p w14:paraId="6A011BE1" w14:textId="69160BD4" w:rsidR="00F7006F" w:rsidRDefault="00F53385" w:rsidP="00233AB5">
      <w:pPr>
        <w:pStyle w:val="Default"/>
        <w:rPr>
          <w:rFonts w:ascii="Arial" w:hAnsi="Arial" w:cs="Arial"/>
          <w:color w:val="7030A0"/>
          <w:sz w:val="96"/>
          <w:szCs w:val="96"/>
        </w:rPr>
      </w:pPr>
      <w:r>
        <w:rPr>
          <w:rFonts w:ascii="Arial" w:hAnsi="Arial" w:cs="Arial"/>
          <w:color w:val="7030A0"/>
          <w:sz w:val="96"/>
          <w:szCs w:val="96"/>
        </w:rPr>
        <w:t xml:space="preserve">   </w:t>
      </w:r>
      <w:r w:rsidR="003C0362" w:rsidRPr="00F7006F">
        <w:rPr>
          <w:rFonts w:ascii="Arial" w:hAnsi="Arial" w:cs="Arial"/>
          <w:color w:val="7030A0"/>
          <w:sz w:val="96"/>
          <w:szCs w:val="96"/>
        </w:rPr>
        <w:t>Annual Rep</w:t>
      </w:r>
      <w:r w:rsidR="002F08DA" w:rsidRPr="00F7006F">
        <w:rPr>
          <w:rFonts w:ascii="Arial" w:hAnsi="Arial" w:cs="Arial"/>
          <w:color w:val="7030A0"/>
          <w:sz w:val="96"/>
          <w:szCs w:val="96"/>
        </w:rPr>
        <w:t>o</w:t>
      </w:r>
      <w:r w:rsidR="003C0362" w:rsidRPr="00F7006F">
        <w:rPr>
          <w:rFonts w:ascii="Arial" w:hAnsi="Arial" w:cs="Arial"/>
          <w:color w:val="7030A0"/>
          <w:sz w:val="96"/>
          <w:szCs w:val="96"/>
        </w:rPr>
        <w:t>rt</w:t>
      </w:r>
      <w:r w:rsidR="00833AD5" w:rsidRPr="00F7006F">
        <w:rPr>
          <w:rFonts w:ascii="Arial" w:hAnsi="Arial" w:cs="Arial"/>
          <w:color w:val="7030A0"/>
          <w:sz w:val="96"/>
          <w:szCs w:val="96"/>
        </w:rPr>
        <w:t xml:space="preserve"> 20</w:t>
      </w:r>
      <w:r w:rsidR="006F236C">
        <w:rPr>
          <w:rFonts w:ascii="Arial" w:hAnsi="Arial" w:cs="Arial"/>
          <w:color w:val="7030A0"/>
          <w:sz w:val="96"/>
          <w:szCs w:val="96"/>
        </w:rPr>
        <w:t>2</w:t>
      </w:r>
      <w:r w:rsidR="002F2197">
        <w:rPr>
          <w:rFonts w:ascii="Arial" w:hAnsi="Arial" w:cs="Arial"/>
          <w:color w:val="7030A0"/>
          <w:sz w:val="96"/>
          <w:szCs w:val="96"/>
        </w:rPr>
        <w:t>3</w:t>
      </w:r>
      <w:r w:rsidR="006F236C">
        <w:rPr>
          <w:rFonts w:ascii="Arial" w:hAnsi="Arial" w:cs="Arial"/>
          <w:color w:val="7030A0"/>
          <w:sz w:val="96"/>
          <w:szCs w:val="96"/>
        </w:rPr>
        <w:t>-2</w:t>
      </w:r>
      <w:r w:rsidR="002F2197">
        <w:rPr>
          <w:rFonts w:ascii="Arial" w:hAnsi="Arial" w:cs="Arial"/>
          <w:color w:val="7030A0"/>
          <w:sz w:val="96"/>
          <w:szCs w:val="96"/>
        </w:rPr>
        <w:t>4</w:t>
      </w:r>
    </w:p>
    <w:p w14:paraId="591FC23B" w14:textId="77777777" w:rsidR="00C53C46" w:rsidRDefault="00C53C46" w:rsidP="00233AB5">
      <w:pPr>
        <w:pStyle w:val="Default"/>
        <w:rPr>
          <w:rFonts w:ascii="Arial" w:hAnsi="Arial" w:cs="Arial"/>
          <w:color w:val="7030A0"/>
          <w:sz w:val="100"/>
          <w:szCs w:val="100"/>
        </w:rPr>
      </w:pPr>
    </w:p>
    <w:p w14:paraId="4552E510" w14:textId="5DFE7C3D" w:rsidR="00332EE6" w:rsidRPr="00921580" w:rsidRDefault="00332EE6" w:rsidP="00332EE6">
      <w:pPr>
        <w:pStyle w:val="MAPPA-Heaingsection"/>
        <w:rPr>
          <w:color w:val="7030A0"/>
          <w:sz w:val="72"/>
          <w:szCs w:val="72"/>
        </w:rPr>
      </w:pPr>
      <w:r w:rsidRPr="00921580">
        <w:rPr>
          <w:color w:val="7030A0"/>
          <w:sz w:val="72"/>
          <w:szCs w:val="72"/>
        </w:rPr>
        <w:lastRenderedPageBreak/>
        <w:t>Intro</w:t>
      </w:r>
      <w:r w:rsidR="007D1D47" w:rsidRPr="00921580">
        <w:rPr>
          <w:color w:val="7030A0"/>
          <w:sz w:val="72"/>
          <w:szCs w:val="72"/>
        </w:rPr>
        <w:t>duction</w:t>
      </w:r>
    </w:p>
    <w:p w14:paraId="182A7957" w14:textId="47862E40" w:rsidR="00332EE6" w:rsidRPr="002F08DA" w:rsidRDefault="00332EE6" w:rsidP="00332EE6">
      <w:pPr>
        <w:pStyle w:val="Default"/>
        <w:pBdr>
          <w:bottom w:val="single" w:sz="4" w:space="1" w:color="007BC3"/>
        </w:pBdr>
        <w:rPr>
          <w:rFonts w:ascii="Arial" w:hAnsi="Arial" w:cs="Arial"/>
          <w:color w:val="7030A0"/>
          <w:sz w:val="16"/>
          <w:szCs w:val="16"/>
        </w:rPr>
      </w:pPr>
    </w:p>
    <w:p w14:paraId="307DBFDF" w14:textId="0CF9213F" w:rsidR="00332EE6" w:rsidRPr="002F08DA" w:rsidRDefault="00332EE6" w:rsidP="00332EE6">
      <w:pPr>
        <w:pStyle w:val="Default"/>
        <w:rPr>
          <w:rFonts w:ascii="Arial" w:hAnsi="Arial" w:cs="Arial"/>
          <w:color w:val="7030A0"/>
          <w:sz w:val="20"/>
          <w:szCs w:val="20"/>
        </w:rPr>
      </w:pPr>
    </w:p>
    <w:p w14:paraId="63368981" w14:textId="77777777" w:rsidR="00332EE6" w:rsidRPr="002F08DA" w:rsidRDefault="00332EE6" w:rsidP="00332EE6">
      <w:pPr>
        <w:pStyle w:val="Default"/>
        <w:rPr>
          <w:rFonts w:ascii="Arial" w:hAnsi="Arial" w:cs="Arial"/>
          <w:color w:val="7030A0"/>
          <w:sz w:val="20"/>
          <w:szCs w:val="20"/>
        </w:rPr>
        <w:sectPr w:rsidR="00332EE6" w:rsidRPr="002F08DA" w:rsidSect="00282372">
          <w:footerReference w:type="first" r:id="rId13"/>
          <w:pgSz w:w="11905" w:h="16837" w:code="9"/>
          <w:pgMar w:top="720" w:right="720" w:bottom="720" w:left="0" w:header="720" w:footer="567" w:gutter="0"/>
          <w:pgNumType w:start="1"/>
          <w:cols w:space="720"/>
          <w:noEndnote/>
          <w:titlePg/>
          <w:docGrid w:linePitch="326"/>
        </w:sectPr>
      </w:pPr>
    </w:p>
    <w:p w14:paraId="37961FAA" w14:textId="77777777" w:rsidR="00921580" w:rsidRDefault="00733747" w:rsidP="00F42A1E">
      <w:pPr>
        <w:pStyle w:val="MAPPA-HeadingPara"/>
        <w:spacing w:after="0"/>
        <w:rPr>
          <w:rFonts w:cs="Arial"/>
          <w:color w:val="7030A0"/>
          <w:sz w:val="40"/>
          <w:szCs w:val="40"/>
        </w:rPr>
      </w:pPr>
      <w:r w:rsidRPr="00733747">
        <w:rPr>
          <w:rFonts w:cs="Arial"/>
          <w:color w:val="7030A0"/>
          <w:sz w:val="40"/>
          <w:szCs w:val="40"/>
        </w:rPr>
        <w:t xml:space="preserve">Detective Chief Superintendent </w:t>
      </w:r>
    </w:p>
    <w:p w14:paraId="70CBBDF4" w14:textId="1EC988C3" w:rsidR="00921580" w:rsidRPr="00733747" w:rsidRDefault="002F2197" w:rsidP="00F42A1E">
      <w:pPr>
        <w:pStyle w:val="MAPPA-HeadingPara"/>
        <w:spacing w:after="0"/>
        <w:rPr>
          <w:rFonts w:cs="Arial"/>
          <w:color w:val="7030A0"/>
          <w:sz w:val="40"/>
          <w:szCs w:val="40"/>
        </w:rPr>
      </w:pPr>
      <w:r>
        <w:rPr>
          <w:rFonts w:cs="Arial"/>
          <w:color w:val="7030A0"/>
          <w:sz w:val="40"/>
          <w:szCs w:val="40"/>
        </w:rPr>
        <w:t>Caroline McGlade</w:t>
      </w:r>
    </w:p>
    <w:p w14:paraId="2A3ED344" w14:textId="465EEF03" w:rsidR="00733747" w:rsidRPr="00733747" w:rsidRDefault="00733747" w:rsidP="00F42A1E">
      <w:pPr>
        <w:pStyle w:val="MAPPA-HeadingPara"/>
        <w:spacing w:after="0"/>
        <w:rPr>
          <w:rFonts w:cs="Arial"/>
          <w:color w:val="7030A0"/>
          <w:sz w:val="40"/>
          <w:szCs w:val="40"/>
        </w:rPr>
      </w:pPr>
      <w:r w:rsidRPr="00733747">
        <w:rPr>
          <w:rFonts w:cs="Arial"/>
          <w:color w:val="7030A0"/>
          <w:sz w:val="40"/>
          <w:szCs w:val="40"/>
        </w:rPr>
        <w:t>Cleveland Police</w:t>
      </w:r>
    </w:p>
    <w:p w14:paraId="7FD29C12" w14:textId="77777777" w:rsidR="00921580" w:rsidRDefault="007D1D47" w:rsidP="00F42A1E">
      <w:pPr>
        <w:pStyle w:val="MAPPA-HeadingPara"/>
        <w:spacing w:after="0"/>
        <w:rPr>
          <w:rFonts w:cs="Arial"/>
          <w:color w:val="7030A0"/>
          <w:sz w:val="40"/>
          <w:szCs w:val="40"/>
        </w:rPr>
      </w:pPr>
      <w:r w:rsidRPr="00733747">
        <w:rPr>
          <w:rFonts w:cs="Arial"/>
          <w:color w:val="7030A0"/>
          <w:sz w:val="40"/>
          <w:szCs w:val="40"/>
        </w:rPr>
        <w:t>Chair of Cleveland MAPPA</w:t>
      </w:r>
      <w:r w:rsidR="00733747" w:rsidRPr="00733747">
        <w:rPr>
          <w:rFonts w:cs="Arial"/>
          <w:color w:val="7030A0"/>
          <w:sz w:val="40"/>
          <w:szCs w:val="40"/>
        </w:rPr>
        <w:t xml:space="preserve"> </w:t>
      </w:r>
      <w:r w:rsidRPr="00733747">
        <w:rPr>
          <w:rFonts w:cs="Arial"/>
          <w:color w:val="7030A0"/>
          <w:sz w:val="40"/>
          <w:szCs w:val="40"/>
        </w:rPr>
        <w:t xml:space="preserve">Strategic </w:t>
      </w:r>
    </w:p>
    <w:p w14:paraId="7947553A" w14:textId="2FF908C8" w:rsidR="007D1D47" w:rsidRDefault="007D1D47" w:rsidP="00F42A1E">
      <w:pPr>
        <w:pStyle w:val="MAPPA-HeadingPara"/>
        <w:spacing w:after="0"/>
        <w:rPr>
          <w:rFonts w:cs="Arial"/>
          <w:color w:val="7030A0"/>
          <w:sz w:val="40"/>
          <w:szCs w:val="40"/>
        </w:rPr>
      </w:pPr>
      <w:r w:rsidRPr="00733747">
        <w:rPr>
          <w:rFonts w:cs="Arial"/>
          <w:color w:val="7030A0"/>
          <w:sz w:val="40"/>
          <w:szCs w:val="40"/>
        </w:rPr>
        <w:t xml:space="preserve">Management </w:t>
      </w:r>
      <w:r w:rsidR="005773AC" w:rsidRPr="00733747">
        <w:rPr>
          <w:rFonts w:cs="Arial"/>
          <w:color w:val="7030A0"/>
          <w:sz w:val="40"/>
          <w:szCs w:val="40"/>
        </w:rPr>
        <w:t>B</w:t>
      </w:r>
      <w:r w:rsidRPr="00733747">
        <w:rPr>
          <w:rFonts w:cs="Arial"/>
          <w:color w:val="7030A0"/>
          <w:sz w:val="40"/>
          <w:szCs w:val="40"/>
        </w:rPr>
        <w:t>oard</w:t>
      </w:r>
    </w:p>
    <w:p w14:paraId="1C9F10E2" w14:textId="3D10BCC7" w:rsidR="00D71275" w:rsidRDefault="00D71275" w:rsidP="00F42A1E">
      <w:pPr>
        <w:pStyle w:val="MAPPA-HeadingPara"/>
        <w:spacing w:after="0"/>
        <w:rPr>
          <w:rFonts w:cs="Arial"/>
          <w:color w:val="7030A0"/>
          <w:sz w:val="40"/>
          <w:szCs w:val="40"/>
        </w:rPr>
      </w:pPr>
    </w:p>
    <w:p w14:paraId="12F5D96E" w14:textId="4C7D1932" w:rsidR="00D71275" w:rsidRDefault="00D71275" w:rsidP="00D71275">
      <w:pPr>
        <w:ind w:left="720" w:firstLine="720"/>
        <w:jc w:val="both"/>
        <w:sectPr w:rsidR="00D71275" w:rsidSect="00D71275">
          <w:footerReference w:type="default" r:id="rId14"/>
          <w:type w:val="continuous"/>
          <w:pgSz w:w="11905" w:h="16837" w:code="9"/>
          <w:pgMar w:top="720" w:right="720" w:bottom="720" w:left="720" w:header="720" w:footer="567" w:gutter="0"/>
          <w:cols w:num="2" w:space="720"/>
          <w:noEndnote/>
        </w:sectPr>
      </w:pPr>
      <w:r>
        <w:rPr>
          <w:noProof/>
        </w:rPr>
        <w:drawing>
          <wp:inline distT="0" distB="0" distL="0" distR="0" wp14:anchorId="763C6C8D" wp14:editId="071D51D1">
            <wp:extent cx="1171575" cy="1388110"/>
            <wp:effectExtent l="0" t="0" r="9525" b="2540"/>
            <wp:docPr id="1" name="Picture 1" descr="Picture of Caroline McGl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icture of Caroline McGlad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71575" cy="1388110"/>
                    </a:xfrm>
                    <a:prstGeom prst="rect">
                      <a:avLst/>
                    </a:prstGeom>
                    <a:noFill/>
                    <a:ln>
                      <a:noFill/>
                    </a:ln>
                  </pic:spPr>
                </pic:pic>
              </a:graphicData>
            </a:graphic>
          </wp:inline>
        </w:drawing>
      </w:r>
    </w:p>
    <w:p w14:paraId="36E3597F" w14:textId="77777777" w:rsidR="00921580" w:rsidRDefault="00921580" w:rsidP="00921580">
      <w:pPr>
        <w:jc w:val="both"/>
      </w:pPr>
    </w:p>
    <w:p w14:paraId="67DB8666" w14:textId="27F9D815" w:rsidR="00921580" w:rsidRDefault="00921580" w:rsidP="00921580">
      <w:pPr>
        <w:jc w:val="both"/>
      </w:pPr>
      <w:r>
        <w:t>Welcome to the 2023/24 Annual Report of the Cleveland Strategic Management Board (SMB) Multi Agency Public Protection Arrangements (MAPPA).</w:t>
      </w:r>
    </w:p>
    <w:p w14:paraId="6BBFD3E3" w14:textId="77777777" w:rsidR="00921580" w:rsidRDefault="00921580" w:rsidP="00921580">
      <w:pPr>
        <w:jc w:val="both"/>
      </w:pPr>
    </w:p>
    <w:p w14:paraId="3930ADB1" w14:textId="77777777" w:rsidR="00921580" w:rsidRDefault="00921580" w:rsidP="00921580">
      <w:pPr>
        <w:jc w:val="both"/>
      </w:pPr>
      <w:r>
        <w:t xml:space="preserve">MAPPA is a partnership between agencies to manage the risk presented by violent and dangerous offenders. This report provides a unique opportunity for the wider public to gain a greater understanding and insight into the work undertaken by public sector and partner agencies working together, to keep our communities safe from those individuals assessed as presenting the highest risk of committing harmful offences. </w:t>
      </w:r>
    </w:p>
    <w:p w14:paraId="1B842D74" w14:textId="77777777" w:rsidR="00921580" w:rsidRDefault="00921580" w:rsidP="00921580">
      <w:pPr>
        <w:jc w:val="both"/>
      </w:pPr>
    </w:p>
    <w:p w14:paraId="38D07FED" w14:textId="77777777" w:rsidR="00921580" w:rsidRDefault="00921580" w:rsidP="00921580">
      <w:pPr>
        <w:jc w:val="both"/>
      </w:pPr>
      <w:r>
        <w:t>The Police, Prison, and Probation Service work together to ensure that the risks posed by specified violent and sexual offenders are assessed and managed appropriately and are known collectively under the MAPPA as the Responsible Authority (RA). The RA cannot undertake this work in isolation and work alongside many other agencies who are integral to this work. All agencies are represented on the SMB, alongside all those working in MAPPA on a day-to-day basis, to protect the public in Cleveland.</w:t>
      </w:r>
    </w:p>
    <w:p w14:paraId="31C87732" w14:textId="77777777" w:rsidR="00921580" w:rsidRDefault="00921580" w:rsidP="00921580">
      <w:pPr>
        <w:jc w:val="both"/>
      </w:pPr>
    </w:p>
    <w:p w14:paraId="729199AB" w14:textId="77777777" w:rsidR="00921580" w:rsidRDefault="00921580" w:rsidP="00921580">
      <w:pPr>
        <w:jc w:val="both"/>
      </w:pPr>
      <w:r>
        <w:t xml:space="preserve">The very foundation of MAPPA provides a strong framework for pro-active inter-agency sharing of information, intelligence, joint agency assessment, risk management planning, and effective and active case conferencing; all in which contributes to the efficient deployment of resources to reduce and prevent re-offending by violent and sexual offenders.  </w:t>
      </w:r>
    </w:p>
    <w:p w14:paraId="56C13386" w14:textId="77777777" w:rsidR="00921580" w:rsidRDefault="00921580" w:rsidP="00921580">
      <w:pPr>
        <w:jc w:val="both"/>
      </w:pPr>
    </w:p>
    <w:p w14:paraId="2432FB58" w14:textId="77777777" w:rsidR="00921580" w:rsidRDefault="00921580" w:rsidP="00921580">
      <w:pPr>
        <w:jc w:val="both"/>
      </w:pPr>
      <w:r>
        <w:t xml:space="preserve">I became the Chair of the Cleveland MAPPA SMB in early 2024, shortly after my appointment as Head of Safeguarding &amp; Prevention Command within Cleveland Police. Adopting a prevention-based approach to reducing crime and protecting the most vulnerable from harm are at the heart of the Cleveland Police Force Strategic Plan. It is with the same passion and focus that I have the privilege of continuing in the role as Chair of the MAPPA SMB for the remainder of the year. I look forward to continuing the work with all our MAPPA partners to ensure our collective and often collaborative approach continues to be effective in reducing further harm and safeguarding the public. </w:t>
      </w:r>
    </w:p>
    <w:p w14:paraId="23E5DF0A" w14:textId="77777777" w:rsidR="00921580" w:rsidRDefault="00921580" w:rsidP="00921580">
      <w:pPr>
        <w:jc w:val="both"/>
      </w:pPr>
    </w:p>
    <w:p w14:paraId="4CE28601" w14:textId="4F58E556" w:rsidR="00921580" w:rsidRDefault="00921580" w:rsidP="00921580">
      <w:pPr>
        <w:jc w:val="both"/>
      </w:pPr>
      <w:r>
        <w:t xml:space="preserve">The work undertaken in the last 12 months has been transformational, including the creation of a Police MOSOVO Team (Management of Sexual Offenders and Violent Offenders) which now sees a greater number of the most violent offenders being managed alongside Probation colleagues, and the delivery of victim-led training to a range of MAPPA partners, bringing the victim’s voice into operational delivery. </w:t>
      </w:r>
    </w:p>
    <w:p w14:paraId="309D5BCF" w14:textId="77777777" w:rsidR="00921580" w:rsidRDefault="00921580" w:rsidP="00921580">
      <w:pPr>
        <w:jc w:val="both"/>
      </w:pPr>
    </w:p>
    <w:p w14:paraId="7B94F8DF" w14:textId="293BA48A" w:rsidR="00CB75D3" w:rsidRDefault="00921580" w:rsidP="00921580">
      <w:pPr>
        <w:jc w:val="both"/>
      </w:pPr>
      <w:r>
        <w:t>The SMB is committed to protecting our communities and making Cleveland a safer place for all.</w:t>
      </w:r>
    </w:p>
    <w:p w14:paraId="2093C709" w14:textId="1F5485D1" w:rsidR="00ED25C1" w:rsidRPr="00ED25C1" w:rsidRDefault="00ED25C1" w:rsidP="005773AC">
      <w:pPr>
        <w:tabs>
          <w:tab w:val="left" w:pos="3699"/>
        </w:tabs>
        <w:spacing w:after="240" w:line="240" w:lineRule="exact"/>
        <w:rPr>
          <w:rFonts w:ascii="Arial" w:hAnsi="Arial" w:cs="Arial"/>
          <w:color w:val="000000"/>
          <w:lang w:val="en-US"/>
        </w:rPr>
      </w:pPr>
    </w:p>
    <w:p w14:paraId="0FF626E8" w14:textId="77777777" w:rsidR="00B436F7" w:rsidRDefault="00B436F7" w:rsidP="005773AC">
      <w:pPr>
        <w:rPr>
          <w:rFonts w:cs="Arial"/>
          <w:color w:val="7030A0"/>
          <w:sz w:val="100"/>
          <w:szCs w:val="100"/>
        </w:rPr>
        <w:sectPr w:rsidR="00B436F7" w:rsidSect="00735E92">
          <w:type w:val="continuous"/>
          <w:pgSz w:w="11905" w:h="16837" w:code="9"/>
          <w:pgMar w:top="720" w:right="720" w:bottom="720" w:left="720" w:header="720" w:footer="567" w:gutter="0"/>
          <w:cols w:space="720"/>
          <w:noEndnote/>
        </w:sectPr>
      </w:pPr>
    </w:p>
    <w:p w14:paraId="3D989333" w14:textId="0C4300EA" w:rsidR="00DE361C" w:rsidRPr="00780F68" w:rsidRDefault="00DE361C" w:rsidP="005773AC">
      <w:pPr>
        <w:rPr>
          <w:rFonts w:cs="Arial"/>
          <w:color w:val="7030A0"/>
          <w:sz w:val="100"/>
          <w:szCs w:val="100"/>
        </w:rPr>
      </w:pPr>
      <w:r w:rsidRPr="00780F68">
        <w:rPr>
          <w:rFonts w:cs="Arial"/>
          <w:color w:val="7030A0"/>
          <w:sz w:val="100"/>
          <w:szCs w:val="100"/>
        </w:rPr>
        <w:t>Andrew Bake</w:t>
      </w:r>
    </w:p>
    <w:p w14:paraId="2153EB5D" w14:textId="6E96ACFF" w:rsidR="00DE361C" w:rsidRPr="00780F68" w:rsidRDefault="00DE361C" w:rsidP="00DE361C">
      <w:pPr>
        <w:pStyle w:val="MAPPA-HeadingPara"/>
        <w:spacing w:after="0"/>
        <w:rPr>
          <w:rFonts w:cs="Arial"/>
          <w:color w:val="7030A0"/>
          <w:sz w:val="56"/>
          <w:szCs w:val="56"/>
        </w:rPr>
      </w:pPr>
      <w:r w:rsidRPr="00780F68">
        <w:rPr>
          <w:rFonts w:cs="Arial"/>
          <w:color w:val="7030A0"/>
          <w:sz w:val="56"/>
          <w:szCs w:val="56"/>
        </w:rPr>
        <w:t>Cleveland MAPPA Coordinator</w:t>
      </w:r>
    </w:p>
    <w:p w14:paraId="5D61F227" w14:textId="77777777" w:rsidR="00DE361C" w:rsidRPr="00DE361C" w:rsidRDefault="00DE361C" w:rsidP="00DE361C">
      <w:pPr>
        <w:pStyle w:val="MAPPA-HeadingPara"/>
        <w:spacing w:after="0"/>
        <w:rPr>
          <w:rFonts w:ascii="Tahoma" w:hAnsi="Tahoma" w:cs="Tahoma"/>
          <w:color w:val="7030A0"/>
          <w:sz w:val="24"/>
        </w:rPr>
      </w:pPr>
    </w:p>
    <w:p w14:paraId="641681E9" w14:textId="7755763D" w:rsidR="00D9019D" w:rsidRDefault="00FB1CF3" w:rsidP="00ED25C1">
      <w:pPr>
        <w:rPr>
          <w:rFonts w:ascii="Arial" w:hAnsi="Arial" w:cs="Arial"/>
        </w:rPr>
      </w:pPr>
      <w:r w:rsidRPr="00D95BC1">
        <w:rPr>
          <w:noProof/>
        </w:rPr>
        <w:drawing>
          <wp:inline distT="0" distB="0" distL="0" distR="0" wp14:anchorId="24A604F3" wp14:editId="25C9043D">
            <wp:extent cx="1326515" cy="980263"/>
            <wp:effectExtent l="0" t="0" r="6985" b="0"/>
            <wp:docPr id="2" name="Picture 2" descr="Picture of Andrew Bake, Cleveland MAPPA Co-ordin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icture of Andrew Bake, Cleveland MAPPA Co-ordinator"/>
                    <pic:cNvPicPr/>
                  </pic:nvPicPr>
                  <pic:blipFill>
                    <a:blip r:embed="rId16"/>
                    <a:stretch>
                      <a:fillRect/>
                    </a:stretch>
                  </pic:blipFill>
                  <pic:spPr>
                    <a:xfrm>
                      <a:off x="0" y="0"/>
                      <a:ext cx="1326515" cy="980263"/>
                    </a:xfrm>
                    <a:prstGeom prst="rect">
                      <a:avLst/>
                    </a:prstGeom>
                  </pic:spPr>
                </pic:pic>
              </a:graphicData>
            </a:graphic>
          </wp:inline>
        </w:drawing>
      </w:r>
    </w:p>
    <w:p w14:paraId="071D6555" w14:textId="55C95FA0" w:rsidR="006F236C" w:rsidRDefault="006F236C" w:rsidP="001B0CC5">
      <w:pPr>
        <w:jc w:val="both"/>
        <w:rPr>
          <w:rFonts w:ascii="Arial" w:hAnsi="Arial" w:cs="Arial"/>
        </w:rPr>
      </w:pPr>
    </w:p>
    <w:p w14:paraId="29664D9A" w14:textId="54BBC391" w:rsidR="002A03F4" w:rsidRDefault="002A03F4" w:rsidP="001B0CC5">
      <w:pPr>
        <w:jc w:val="both"/>
        <w:rPr>
          <w:rFonts w:ascii="Arial" w:hAnsi="Arial" w:cs="Arial"/>
        </w:rPr>
      </w:pPr>
    </w:p>
    <w:p w14:paraId="713F4D79" w14:textId="77777777" w:rsidR="00B436F7" w:rsidRDefault="00B436F7" w:rsidP="001B0CC5">
      <w:pPr>
        <w:jc w:val="both"/>
        <w:rPr>
          <w:rFonts w:ascii="Arial" w:hAnsi="Arial" w:cs="Arial"/>
        </w:rPr>
        <w:sectPr w:rsidR="00B436F7" w:rsidSect="00FB1CF3">
          <w:type w:val="continuous"/>
          <w:pgSz w:w="11905" w:h="16837" w:code="9"/>
          <w:pgMar w:top="720" w:right="720" w:bottom="720" w:left="720" w:header="720" w:footer="567" w:gutter="0"/>
          <w:cols w:num="2" w:space="721" w:equalWidth="0">
            <w:col w:w="7088" w:space="721"/>
            <w:col w:w="2656"/>
          </w:cols>
          <w:noEndnote/>
        </w:sectPr>
      </w:pPr>
    </w:p>
    <w:p w14:paraId="424A7B7A" w14:textId="77777777" w:rsidR="002A03F4" w:rsidRDefault="002A03F4" w:rsidP="001B0CC5">
      <w:pPr>
        <w:jc w:val="both"/>
        <w:rPr>
          <w:rFonts w:ascii="Arial" w:hAnsi="Arial" w:cs="Arial"/>
        </w:rPr>
      </w:pPr>
    </w:p>
    <w:p w14:paraId="7E3E1F15" w14:textId="6FC37AC6" w:rsidR="006F236C" w:rsidRDefault="006F236C" w:rsidP="00ED25C1"/>
    <w:p w14:paraId="6EA8F014" w14:textId="77777777" w:rsidR="00D95112" w:rsidRPr="00AE2B9A" w:rsidRDefault="00D95112" w:rsidP="00D95112">
      <w:pPr>
        <w:jc w:val="both"/>
        <w:rPr>
          <w:rFonts w:ascii="Arial" w:hAnsi="Arial" w:cs="Arial"/>
        </w:rPr>
      </w:pPr>
      <w:r w:rsidRPr="00AE2B9A">
        <w:rPr>
          <w:rFonts w:ascii="Arial" w:hAnsi="Arial" w:cs="Arial"/>
        </w:rPr>
        <w:t xml:space="preserve">Another year and another MAPPA annual report. </w:t>
      </w:r>
    </w:p>
    <w:p w14:paraId="780509B9" w14:textId="77777777" w:rsidR="00D95112" w:rsidRPr="00AE2B9A" w:rsidRDefault="00D95112" w:rsidP="00D95112">
      <w:pPr>
        <w:jc w:val="both"/>
        <w:rPr>
          <w:rFonts w:ascii="Arial" w:hAnsi="Arial" w:cs="Arial"/>
        </w:rPr>
      </w:pPr>
    </w:p>
    <w:p w14:paraId="2C59121A" w14:textId="0823AD4B" w:rsidR="00D95112" w:rsidRPr="00AE2B9A" w:rsidRDefault="00D95112" w:rsidP="00D95112">
      <w:pPr>
        <w:jc w:val="both"/>
        <w:rPr>
          <w:rFonts w:ascii="Arial" w:hAnsi="Arial" w:cs="Arial"/>
        </w:rPr>
      </w:pPr>
      <w:r w:rsidRPr="00AE2B9A">
        <w:rPr>
          <w:rFonts w:ascii="Arial" w:hAnsi="Arial" w:cs="Arial"/>
        </w:rPr>
        <w:t xml:space="preserve">As </w:t>
      </w:r>
      <w:r w:rsidR="00B83B3A" w:rsidRPr="00AE2B9A">
        <w:rPr>
          <w:rFonts w:ascii="Arial" w:hAnsi="Arial" w:cs="Arial"/>
        </w:rPr>
        <w:t>MAPPA</w:t>
      </w:r>
      <w:r w:rsidR="00077637" w:rsidRPr="00AE2B9A">
        <w:rPr>
          <w:rFonts w:ascii="Arial" w:hAnsi="Arial" w:cs="Arial"/>
        </w:rPr>
        <w:t xml:space="preserve"> Co</w:t>
      </w:r>
      <w:r w:rsidRPr="00AE2B9A">
        <w:rPr>
          <w:rFonts w:ascii="Arial" w:hAnsi="Arial" w:cs="Arial"/>
        </w:rPr>
        <w:t xml:space="preserve">ordinator for the Cleveland area the last year has been marked with a significant increase in referrals, particularly those linked to domestic abuse and organised crime. </w:t>
      </w:r>
    </w:p>
    <w:p w14:paraId="6B33F00E" w14:textId="77777777" w:rsidR="00D95112" w:rsidRPr="00AE2B9A" w:rsidRDefault="00D95112" w:rsidP="00D95112">
      <w:pPr>
        <w:jc w:val="both"/>
        <w:rPr>
          <w:rFonts w:ascii="Arial" w:hAnsi="Arial" w:cs="Arial"/>
        </w:rPr>
      </w:pPr>
    </w:p>
    <w:p w14:paraId="40E571C5" w14:textId="163E6472" w:rsidR="00D95112" w:rsidRPr="00AE2B9A" w:rsidRDefault="00D95112" w:rsidP="00D95112">
      <w:pPr>
        <w:jc w:val="both"/>
        <w:rPr>
          <w:rFonts w:ascii="Arial" w:hAnsi="Arial" w:cs="Arial"/>
        </w:rPr>
      </w:pPr>
      <w:r w:rsidRPr="00AE2B9A">
        <w:rPr>
          <w:rFonts w:ascii="Arial" w:hAnsi="Arial" w:cs="Arial"/>
        </w:rPr>
        <w:t xml:space="preserve">As I reflect on the last report period, the most obvious difference is the number of category 3 referrals received. These are the cases where there isn't a </w:t>
      </w:r>
      <w:r w:rsidR="00B83B3A" w:rsidRPr="00AE2B9A">
        <w:rPr>
          <w:rFonts w:ascii="Arial" w:hAnsi="Arial" w:cs="Arial"/>
        </w:rPr>
        <w:t>MAPPA</w:t>
      </w:r>
      <w:r w:rsidRPr="00AE2B9A">
        <w:rPr>
          <w:rFonts w:ascii="Arial" w:hAnsi="Arial" w:cs="Arial"/>
        </w:rPr>
        <w:t xml:space="preserve"> category 1 or category 2 qualifying offence, but there is sufficient concern around behaviours and actions, some not resulting in conviction, to warrant active </w:t>
      </w:r>
      <w:r w:rsidR="00B83B3A" w:rsidRPr="00AE2B9A">
        <w:rPr>
          <w:rFonts w:ascii="Arial" w:hAnsi="Arial" w:cs="Arial"/>
        </w:rPr>
        <w:t>MAPPA</w:t>
      </w:r>
      <w:r w:rsidRPr="00AE2B9A">
        <w:rPr>
          <w:rFonts w:ascii="Arial" w:hAnsi="Arial" w:cs="Arial"/>
        </w:rPr>
        <w:t xml:space="preserve"> management.</w:t>
      </w:r>
    </w:p>
    <w:p w14:paraId="68EBDD72" w14:textId="77777777" w:rsidR="00D95112" w:rsidRPr="00AE2B9A" w:rsidRDefault="00D95112" w:rsidP="00D95112">
      <w:pPr>
        <w:jc w:val="both"/>
        <w:rPr>
          <w:rFonts w:ascii="Arial" w:hAnsi="Arial" w:cs="Arial"/>
        </w:rPr>
      </w:pPr>
    </w:p>
    <w:p w14:paraId="501FA0E0" w14:textId="251A0224" w:rsidR="00D95112" w:rsidRPr="00AE2B9A" w:rsidRDefault="00D95112" w:rsidP="00D95112">
      <w:pPr>
        <w:jc w:val="both"/>
        <w:rPr>
          <w:rFonts w:ascii="Arial" w:hAnsi="Arial" w:cs="Arial"/>
        </w:rPr>
      </w:pPr>
      <w:r w:rsidRPr="00AE2B9A">
        <w:rPr>
          <w:rFonts w:ascii="Arial" w:hAnsi="Arial" w:cs="Arial"/>
        </w:rPr>
        <w:t xml:space="preserve">In essence we appear to have seen an increase in violent behaviours linked to domestic abuse and organised crime and in some cases both. I do wonder if the </w:t>
      </w:r>
      <w:r w:rsidR="00AE2B9A" w:rsidRPr="00AE2B9A">
        <w:rPr>
          <w:rFonts w:ascii="Arial" w:hAnsi="Arial" w:cs="Arial"/>
        </w:rPr>
        <w:t>behaviours</w:t>
      </w:r>
      <w:r w:rsidRPr="00AE2B9A">
        <w:rPr>
          <w:rFonts w:ascii="Arial" w:hAnsi="Arial" w:cs="Arial"/>
        </w:rPr>
        <w:t xml:space="preserve"> developed by those who perpetrate domestic abuse, e.g. coercive behaviours, restricting family and social contacts, financial abuse and grooming are mirrored, when one looks at recruiting younger more naive individuals into county lines and other associated gang activity. </w:t>
      </w:r>
    </w:p>
    <w:p w14:paraId="01442918" w14:textId="77777777" w:rsidR="00D95112" w:rsidRPr="00AE2B9A" w:rsidRDefault="00D95112" w:rsidP="00D95112">
      <w:pPr>
        <w:jc w:val="both"/>
        <w:rPr>
          <w:rFonts w:ascii="Arial" w:hAnsi="Arial" w:cs="Arial"/>
        </w:rPr>
      </w:pPr>
    </w:p>
    <w:p w14:paraId="1B0C9E3B" w14:textId="02C930C8" w:rsidR="00D95112" w:rsidRPr="00AE2B9A" w:rsidRDefault="00D95112" w:rsidP="00D95112">
      <w:pPr>
        <w:jc w:val="both"/>
        <w:rPr>
          <w:rFonts w:ascii="Arial" w:hAnsi="Arial" w:cs="Arial"/>
        </w:rPr>
      </w:pPr>
      <w:r w:rsidRPr="00AE2B9A">
        <w:rPr>
          <w:rFonts w:ascii="Arial" w:hAnsi="Arial" w:cs="Arial"/>
        </w:rPr>
        <w:t xml:space="preserve">What has clearly been seen in referrals to </w:t>
      </w:r>
      <w:r w:rsidR="00B83B3A" w:rsidRPr="00AE2B9A">
        <w:rPr>
          <w:rFonts w:ascii="Arial" w:hAnsi="Arial" w:cs="Arial"/>
        </w:rPr>
        <w:t>MAPPA</w:t>
      </w:r>
      <w:r w:rsidRPr="00AE2B9A">
        <w:rPr>
          <w:rFonts w:ascii="Arial" w:hAnsi="Arial" w:cs="Arial"/>
        </w:rPr>
        <w:t xml:space="preserve"> is the use of weapons, with knives and firearms often featuring. Through my </w:t>
      </w:r>
      <w:r w:rsidR="00077637" w:rsidRPr="00AE2B9A">
        <w:rPr>
          <w:rFonts w:ascii="Arial" w:hAnsi="Arial" w:cs="Arial"/>
        </w:rPr>
        <w:t>Pr</w:t>
      </w:r>
      <w:r w:rsidRPr="00AE2B9A">
        <w:rPr>
          <w:rFonts w:ascii="Arial" w:hAnsi="Arial" w:cs="Arial"/>
        </w:rPr>
        <w:t>obation training in the late 1980</w:t>
      </w:r>
      <w:r w:rsidR="00077637" w:rsidRPr="00AE2B9A">
        <w:rPr>
          <w:rFonts w:ascii="Arial" w:hAnsi="Arial" w:cs="Arial"/>
        </w:rPr>
        <w:t>’</w:t>
      </w:r>
      <w:r w:rsidRPr="00AE2B9A">
        <w:rPr>
          <w:rFonts w:ascii="Arial" w:hAnsi="Arial" w:cs="Arial"/>
        </w:rPr>
        <w:t xml:space="preserve">s and when I joined the Probation Service in 1991, there were few cases of organised crime and back then domestic incidents were nowhere near the profile they now have.  </w:t>
      </w:r>
    </w:p>
    <w:p w14:paraId="16A20E93" w14:textId="77777777" w:rsidR="00D95112" w:rsidRPr="00AE2B9A" w:rsidRDefault="00D95112" w:rsidP="00D95112">
      <w:pPr>
        <w:jc w:val="both"/>
        <w:rPr>
          <w:rFonts w:ascii="Arial" w:hAnsi="Arial" w:cs="Arial"/>
        </w:rPr>
      </w:pPr>
    </w:p>
    <w:p w14:paraId="45306465" w14:textId="56BD9ED2" w:rsidR="00D95112" w:rsidRPr="00AE2B9A" w:rsidRDefault="00D95112" w:rsidP="00D95112">
      <w:pPr>
        <w:jc w:val="both"/>
        <w:rPr>
          <w:rFonts w:ascii="Arial" w:hAnsi="Arial" w:cs="Arial"/>
        </w:rPr>
      </w:pPr>
      <w:r w:rsidRPr="00AE2B9A">
        <w:rPr>
          <w:rFonts w:ascii="Arial" w:hAnsi="Arial" w:cs="Arial"/>
        </w:rPr>
        <w:t xml:space="preserve">The actual drivers to this will be multi-faceted. I certainly don't have all the answers to what </w:t>
      </w:r>
      <w:r w:rsidR="00921580">
        <w:rPr>
          <w:rFonts w:ascii="Arial" w:hAnsi="Arial" w:cs="Arial"/>
        </w:rPr>
        <w:t xml:space="preserve">is </w:t>
      </w:r>
      <w:r w:rsidR="00921580" w:rsidRPr="00AE2B9A">
        <w:rPr>
          <w:rFonts w:ascii="Arial" w:hAnsi="Arial" w:cs="Arial"/>
        </w:rPr>
        <w:t>a complex societal issue</w:t>
      </w:r>
      <w:r w:rsidRPr="00AE2B9A">
        <w:rPr>
          <w:rFonts w:ascii="Arial" w:hAnsi="Arial" w:cs="Arial"/>
        </w:rPr>
        <w:t xml:space="preserve">.  What I can confirm is through </w:t>
      </w:r>
      <w:r w:rsidR="00B83B3A" w:rsidRPr="00AE2B9A">
        <w:rPr>
          <w:rFonts w:ascii="Arial" w:hAnsi="Arial" w:cs="Arial"/>
        </w:rPr>
        <w:t>MAPPA</w:t>
      </w:r>
      <w:r w:rsidRPr="00AE2B9A">
        <w:rPr>
          <w:rFonts w:ascii="Arial" w:hAnsi="Arial" w:cs="Arial"/>
        </w:rPr>
        <w:t xml:space="preserve"> and the discharging of each agency's criminal justice responsibilities, staff are tirelessly bearing down on this area of crime, focussing on identification, disruption, protection and rehabilitation. As MAPPA chair I am regularly heartened by those staff, the ones who routinely go the extra mile and express the pro-social attitudes and commitment one needs to work in this area of criminal justice. This is not an easy area of work and it is not for everyone, but for those who do and continue to deliver and want to make a difference, thank you.</w:t>
      </w:r>
    </w:p>
    <w:p w14:paraId="060FDBC7" w14:textId="2EE93F5B" w:rsidR="00D95112" w:rsidRPr="00AE2B9A" w:rsidRDefault="00D95112" w:rsidP="00D95112">
      <w:pPr>
        <w:jc w:val="both"/>
        <w:rPr>
          <w:rFonts w:ascii="Arial" w:hAnsi="Arial" w:cs="Arial"/>
        </w:rPr>
      </w:pPr>
      <w:r w:rsidRPr="00AE2B9A">
        <w:rPr>
          <w:rFonts w:ascii="Arial" w:hAnsi="Arial" w:cs="Arial"/>
        </w:rPr>
        <w:t xml:space="preserve"> </w:t>
      </w:r>
    </w:p>
    <w:p w14:paraId="296F08DB" w14:textId="5A6728AB" w:rsidR="00D95112" w:rsidRPr="00AE2B9A" w:rsidRDefault="00D95112" w:rsidP="00D95112">
      <w:pPr>
        <w:jc w:val="both"/>
        <w:rPr>
          <w:rFonts w:ascii="Arial" w:hAnsi="Arial" w:cs="Arial"/>
        </w:rPr>
      </w:pPr>
      <w:r w:rsidRPr="00AE2B9A">
        <w:rPr>
          <w:rFonts w:ascii="Arial" w:hAnsi="Arial" w:cs="Arial"/>
        </w:rPr>
        <w:t xml:space="preserve">On a lighter note, I would like to extend a welcome to Melanie Carlton as our new head of Public Protection for the Northeast area. Mel replaces Amanda Love as our head of area and has expressed that she looks forward to working with partner agencies to fulfil our collective responsibility in keeping our communities safe. I have worked with Mel </w:t>
      </w:r>
      <w:r w:rsidR="00AE2B9A" w:rsidRPr="00AE2B9A">
        <w:rPr>
          <w:rFonts w:ascii="Arial" w:hAnsi="Arial" w:cs="Arial"/>
        </w:rPr>
        <w:t>for</w:t>
      </w:r>
      <w:r w:rsidRPr="00AE2B9A">
        <w:rPr>
          <w:rFonts w:ascii="Arial" w:hAnsi="Arial" w:cs="Arial"/>
        </w:rPr>
        <w:t xml:space="preserve"> many years in public protection and </w:t>
      </w:r>
      <w:r w:rsidR="00AE2B9A" w:rsidRPr="00AE2B9A">
        <w:rPr>
          <w:rFonts w:ascii="Arial" w:hAnsi="Arial" w:cs="Arial"/>
        </w:rPr>
        <w:t xml:space="preserve">I </w:t>
      </w:r>
      <w:r w:rsidRPr="00AE2B9A">
        <w:rPr>
          <w:rFonts w:ascii="Arial" w:hAnsi="Arial" w:cs="Arial"/>
        </w:rPr>
        <w:t>am really pleased that she has the Head of PPU role. Welcome Mel.</w:t>
      </w:r>
    </w:p>
    <w:p w14:paraId="0D2AC9DA" w14:textId="3D8E7B6C" w:rsidR="002F2197" w:rsidRDefault="002F2197" w:rsidP="00D95112">
      <w:pPr>
        <w:jc w:val="both"/>
        <w:rPr>
          <w:rFonts w:ascii="Arial" w:hAnsi="Arial" w:cs="Arial"/>
        </w:rPr>
      </w:pPr>
    </w:p>
    <w:p w14:paraId="47A3963C" w14:textId="270ECDC1" w:rsidR="00921580" w:rsidRPr="00AE2B9A" w:rsidRDefault="00921580" w:rsidP="00D95112">
      <w:pPr>
        <w:jc w:val="both"/>
        <w:rPr>
          <w:rFonts w:ascii="Arial" w:hAnsi="Arial" w:cs="Arial"/>
        </w:rPr>
      </w:pPr>
    </w:p>
    <w:p w14:paraId="1E21C62A" w14:textId="7DF82AF1" w:rsidR="002F2197" w:rsidRDefault="00921580" w:rsidP="0075264A">
      <w:pPr>
        <w:jc w:val="both"/>
      </w:pPr>
      <w:r w:rsidRPr="00ED25C1">
        <w:rPr>
          <w:rFonts w:ascii="Arial" w:hAnsi="Arial" w:cs="Arial"/>
          <w:noProof/>
          <w:color w:val="000000"/>
          <w:lang w:val="en-US"/>
        </w:rPr>
        <mc:AlternateContent>
          <mc:Choice Requires="wps">
            <w:drawing>
              <wp:anchor distT="0" distB="0" distL="114300" distR="114300" simplePos="0" relativeHeight="251677696" behindDoc="1" locked="0" layoutInCell="1" allowOverlap="1" wp14:anchorId="27805A7E" wp14:editId="389C765F">
                <wp:simplePos x="0" y="0"/>
                <wp:positionH relativeFrom="column">
                  <wp:posOffset>1019175</wp:posOffset>
                </wp:positionH>
                <wp:positionV relativeFrom="paragraph">
                  <wp:posOffset>8890</wp:posOffset>
                </wp:positionV>
                <wp:extent cx="4514215" cy="1266825"/>
                <wp:effectExtent l="0" t="0" r="19685" b="28575"/>
                <wp:wrapNone/>
                <wp:docPr id="12" name="Rectangle: Rounded Corners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14215" cy="1266825"/>
                        </a:xfrm>
                        <a:prstGeom prst="roundRect">
                          <a:avLst/>
                        </a:prstGeom>
                        <a:solidFill>
                          <a:schemeClr val="accent4"/>
                        </a:solidFill>
                      </wps:spPr>
                      <wps:style>
                        <a:lnRef idx="2">
                          <a:schemeClr val="accent4">
                            <a:shade val="50000"/>
                          </a:schemeClr>
                        </a:lnRef>
                        <a:fillRef idx="1">
                          <a:schemeClr val="accent4"/>
                        </a:fillRef>
                        <a:effectRef idx="0">
                          <a:schemeClr val="accent4"/>
                        </a:effectRef>
                        <a:fontRef idx="minor">
                          <a:schemeClr val="lt1"/>
                        </a:fontRef>
                      </wps:style>
                      <wps:txbx>
                        <w:txbxContent>
                          <w:p w14:paraId="6996D647" w14:textId="77777777" w:rsidR="00921580" w:rsidRPr="005773AC" w:rsidRDefault="00921580" w:rsidP="00921580">
                            <w:pPr>
                              <w:spacing w:line="240" w:lineRule="exact"/>
                              <w:jc w:val="center"/>
                              <w:rPr>
                                <w:rFonts w:ascii="Arial" w:hAnsi="Arial" w:cs="Arial"/>
                                <w:color w:val="000000"/>
                                <w:lang w:val="en-US"/>
                              </w:rPr>
                            </w:pPr>
                            <w:r w:rsidRPr="005773AC">
                              <w:rPr>
                                <w:rFonts w:ascii="Arial" w:hAnsi="Arial" w:cs="Arial"/>
                                <w:color w:val="000000"/>
                                <w:lang w:val="en-US"/>
                              </w:rPr>
                              <w:t>For more information about MAPPA in Cleveland</w:t>
                            </w:r>
                          </w:p>
                          <w:p w14:paraId="5AA75A0D" w14:textId="77777777" w:rsidR="00921580" w:rsidRPr="005773AC" w:rsidRDefault="00921580" w:rsidP="00921580">
                            <w:pPr>
                              <w:spacing w:line="240" w:lineRule="exact"/>
                              <w:jc w:val="center"/>
                              <w:rPr>
                                <w:rFonts w:ascii="Arial" w:hAnsi="Arial" w:cs="Arial"/>
                                <w:color w:val="000000"/>
                                <w:lang w:val="en-US"/>
                              </w:rPr>
                            </w:pPr>
                            <w:r w:rsidRPr="005773AC">
                              <w:rPr>
                                <w:rFonts w:ascii="Arial" w:hAnsi="Arial" w:cs="Arial"/>
                                <w:color w:val="000000"/>
                                <w:lang w:val="en-US"/>
                              </w:rPr>
                              <w:t>or for compliments, comments or complaints</w:t>
                            </w:r>
                          </w:p>
                          <w:p w14:paraId="61369304" w14:textId="77777777" w:rsidR="00921580" w:rsidRPr="005773AC" w:rsidRDefault="00921580" w:rsidP="00921580">
                            <w:pPr>
                              <w:spacing w:line="240" w:lineRule="exact"/>
                              <w:jc w:val="center"/>
                              <w:rPr>
                                <w:rFonts w:ascii="Arial" w:hAnsi="Arial" w:cs="Arial"/>
                                <w:color w:val="000000"/>
                                <w:lang w:val="en-US"/>
                              </w:rPr>
                            </w:pPr>
                            <w:r w:rsidRPr="005773AC">
                              <w:rPr>
                                <w:rFonts w:ascii="Arial" w:hAnsi="Arial" w:cs="Arial"/>
                                <w:color w:val="000000"/>
                                <w:lang w:val="en-US"/>
                              </w:rPr>
                              <w:t>please contact us at</w:t>
                            </w:r>
                          </w:p>
                          <w:p w14:paraId="05B2E8AF" w14:textId="77777777" w:rsidR="00921580" w:rsidRPr="005773AC" w:rsidRDefault="00921580" w:rsidP="00921580">
                            <w:pPr>
                              <w:spacing w:line="240" w:lineRule="exact"/>
                              <w:jc w:val="center"/>
                              <w:rPr>
                                <w:rFonts w:ascii="Arial" w:hAnsi="Arial" w:cs="Arial"/>
                                <w:color w:val="7030A0"/>
                              </w:rPr>
                            </w:pPr>
                            <w:r w:rsidRPr="005773AC">
                              <w:rPr>
                                <w:rFonts w:ascii="Arial" w:hAnsi="Arial" w:cs="Arial"/>
                                <w:color w:val="000000"/>
                                <w:lang w:val="en-US"/>
                              </w:rPr>
                              <w:t>NEPS.Teesvalley.MAPPA@Justice.gov.uk</w:t>
                            </w:r>
                          </w:p>
                          <w:p w14:paraId="6A1EA5C9" w14:textId="77777777" w:rsidR="00921580" w:rsidRDefault="00921580" w:rsidP="009215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805A7E" id="Rectangle: Rounded Corners 12" o:spid="_x0000_s1026" alt="&quot;&quot;" style="position:absolute;left:0;text-align:left;margin-left:80.25pt;margin-top:.7pt;width:355.45pt;height:99.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f2XdQIAAFsFAAAOAAAAZHJzL2Uyb0RvYy54bWysVN9r2zAQfh/sfxB6Xx2bpOtCnRJaOgal&#10;K21HnxVZqg2yTjspsbO/fifZcUNbNhjLg3Ly3X33Q9/d+UXfGrZT6BuwJc9PZpwpK6Fq7HPJfzxe&#10;fzrjzAdhK2HAqpLvlecXq48fzju3VAXUYCqFjECsX3au5HUIbpllXtaqFf4EnLKk1ICtCHTF56xC&#10;0RF6a7JiNjvNOsDKIUjlPX29GpR8lfC1VjJ819qrwEzJKbeQTkznJp7Z6lwsn1G4upFjGuIfsmhF&#10;YynoBHUlgmBbbN5AtY1E8KDDiYQ2A60bqVINVE0+e1XNQy2cSrVQc7yb2uT/H6y83T24O6Q2dM4v&#10;PYmxil5jG/8pP9anZu2nZqk+MEkf54t8XuQLziTp8uL09KxYxHZmL+4OffiqoGVRKDnC1lb39CSp&#10;U2J348Ngf7CLIT2YprpujEmXSAN1aZDtBD2gkFLZMB+jHFlmL8knKeyNiv7G3ivNmorSLVLQxKu3&#10;gClWLSo1xFnM6HeIckghVZYAo7WmDCfs/E/YQ4mjfXRViZaT8+zvzpNHigw2TM5tYwHfAzAhHwvQ&#10;gz2lf9SaKIZ+04/vvoFqf4cMYZgP7+R1Q092I3y4E0gDQaNDQx6+06ENdCWHUeKsBvz13vdoTzwl&#10;LWcdDVjJ/c+tQMWZ+WaJwV/y+TxOZLrMF58LuuCxZnOssdv2EogCOa0TJ5MY7YM5iBqhfaJdsI5R&#10;SSWspNgllwEPl8swDD5tE6nW62RGU+hEuLEPTkbw2ODIxsf+SaAbeRuI8rdwGEaxfMXcwTZ6Wlhv&#10;A+gm0Tq2eOjr2Hqa4MShcdvEFXF8T1YvO3H1GwAA//8DAFBLAwQUAAYACAAAACEA6L+jyNsAAAAJ&#10;AQAADwAAAGRycy9kb3ducmV2LnhtbExPy07DMBC8I/UfrEXiRm0QTdsQp0JIHKCHqqUf4MRLEhGv&#10;09htDV/P9kRvM5rRPIpVcr044Rg6TxoepgoEUu1tR42G/efb/QJEiIas6T2hhh8MsConN4XJrT/T&#10;Fk+72AgOoZAbDW2MQy5lqFt0Jkz9gMTalx+diUzHRtrRnDnc9fJRqUw60xE3tGbA1xbr793RcUn1&#10;kfbdcMDfzTpVy032ntR6pvXdbXp5BhExxX8zXObzdCh5U+WPZIPomWdqxlYGTyBYX8wvoNLAtUuQ&#10;ZSGvH5R/AAAA//8DAFBLAQItABQABgAIAAAAIQC2gziS/gAAAOEBAAATAAAAAAAAAAAAAAAAAAAA&#10;AABbQ29udGVudF9UeXBlc10ueG1sUEsBAi0AFAAGAAgAAAAhADj9If/WAAAAlAEAAAsAAAAAAAAA&#10;AAAAAAAALwEAAF9yZWxzLy5yZWxzUEsBAi0AFAAGAAgAAAAhAAPp/Zd1AgAAWwUAAA4AAAAAAAAA&#10;AAAAAAAALgIAAGRycy9lMm9Eb2MueG1sUEsBAi0AFAAGAAgAAAAhAOi/o8jbAAAACQEAAA8AAAAA&#10;AAAAAAAAAAAAzwQAAGRycy9kb3ducmV2LnhtbFBLBQYAAAAABAAEAPMAAADXBQAAAAA=&#10;" fillcolor="#8064a2 [3207]" strokecolor="#3f3151 [1607]" strokeweight="2pt">
                <v:textbox>
                  <w:txbxContent>
                    <w:p w14:paraId="6996D647" w14:textId="77777777" w:rsidR="00921580" w:rsidRPr="005773AC" w:rsidRDefault="00921580" w:rsidP="00921580">
                      <w:pPr>
                        <w:spacing w:line="240" w:lineRule="exact"/>
                        <w:jc w:val="center"/>
                        <w:rPr>
                          <w:rFonts w:ascii="Arial" w:hAnsi="Arial" w:cs="Arial"/>
                          <w:color w:val="000000"/>
                          <w:lang w:val="en-US"/>
                        </w:rPr>
                      </w:pPr>
                      <w:r w:rsidRPr="005773AC">
                        <w:rPr>
                          <w:rFonts w:ascii="Arial" w:hAnsi="Arial" w:cs="Arial"/>
                          <w:color w:val="000000"/>
                          <w:lang w:val="en-US"/>
                        </w:rPr>
                        <w:t>For more information about MAPPA in Cleveland</w:t>
                      </w:r>
                    </w:p>
                    <w:p w14:paraId="5AA75A0D" w14:textId="77777777" w:rsidR="00921580" w:rsidRPr="005773AC" w:rsidRDefault="00921580" w:rsidP="00921580">
                      <w:pPr>
                        <w:spacing w:line="240" w:lineRule="exact"/>
                        <w:jc w:val="center"/>
                        <w:rPr>
                          <w:rFonts w:ascii="Arial" w:hAnsi="Arial" w:cs="Arial"/>
                          <w:color w:val="000000"/>
                          <w:lang w:val="en-US"/>
                        </w:rPr>
                      </w:pPr>
                      <w:r w:rsidRPr="005773AC">
                        <w:rPr>
                          <w:rFonts w:ascii="Arial" w:hAnsi="Arial" w:cs="Arial"/>
                          <w:color w:val="000000"/>
                          <w:lang w:val="en-US"/>
                        </w:rPr>
                        <w:t>or for compliments, comments or complaints</w:t>
                      </w:r>
                    </w:p>
                    <w:p w14:paraId="61369304" w14:textId="77777777" w:rsidR="00921580" w:rsidRPr="005773AC" w:rsidRDefault="00921580" w:rsidP="00921580">
                      <w:pPr>
                        <w:spacing w:line="240" w:lineRule="exact"/>
                        <w:jc w:val="center"/>
                        <w:rPr>
                          <w:rFonts w:ascii="Arial" w:hAnsi="Arial" w:cs="Arial"/>
                          <w:color w:val="000000"/>
                          <w:lang w:val="en-US"/>
                        </w:rPr>
                      </w:pPr>
                      <w:r w:rsidRPr="005773AC">
                        <w:rPr>
                          <w:rFonts w:ascii="Arial" w:hAnsi="Arial" w:cs="Arial"/>
                          <w:color w:val="000000"/>
                          <w:lang w:val="en-US"/>
                        </w:rPr>
                        <w:t>please contact us at</w:t>
                      </w:r>
                    </w:p>
                    <w:p w14:paraId="05B2E8AF" w14:textId="77777777" w:rsidR="00921580" w:rsidRPr="005773AC" w:rsidRDefault="00921580" w:rsidP="00921580">
                      <w:pPr>
                        <w:spacing w:line="240" w:lineRule="exact"/>
                        <w:jc w:val="center"/>
                        <w:rPr>
                          <w:rFonts w:ascii="Arial" w:hAnsi="Arial" w:cs="Arial"/>
                          <w:color w:val="7030A0"/>
                        </w:rPr>
                      </w:pPr>
                      <w:r w:rsidRPr="005773AC">
                        <w:rPr>
                          <w:rFonts w:ascii="Arial" w:hAnsi="Arial" w:cs="Arial"/>
                          <w:color w:val="000000"/>
                          <w:lang w:val="en-US"/>
                        </w:rPr>
                        <w:t>NEPS.Teesvalley.MAPPA@Justice.gov.uk</w:t>
                      </w:r>
                    </w:p>
                    <w:p w14:paraId="6A1EA5C9" w14:textId="77777777" w:rsidR="00921580" w:rsidRDefault="00921580" w:rsidP="00921580">
                      <w:pPr>
                        <w:jc w:val="center"/>
                      </w:pPr>
                    </w:p>
                  </w:txbxContent>
                </v:textbox>
              </v:roundrect>
            </w:pict>
          </mc:Fallback>
        </mc:AlternateContent>
      </w:r>
    </w:p>
    <w:p w14:paraId="1416DE3D" w14:textId="1D4D502A" w:rsidR="002F2197" w:rsidRDefault="00921580" w:rsidP="00921580">
      <w:pPr>
        <w:tabs>
          <w:tab w:val="left" w:pos="3750"/>
        </w:tabs>
        <w:jc w:val="both"/>
      </w:pPr>
      <w:r>
        <w:tab/>
      </w:r>
    </w:p>
    <w:p w14:paraId="7CE96494" w14:textId="20C47502" w:rsidR="002F2197" w:rsidRDefault="002F2197" w:rsidP="0075264A">
      <w:pPr>
        <w:jc w:val="both"/>
      </w:pPr>
    </w:p>
    <w:p w14:paraId="2BC98F4A" w14:textId="6E8AE13F" w:rsidR="002F2197" w:rsidRDefault="002F2197" w:rsidP="0075264A">
      <w:pPr>
        <w:jc w:val="both"/>
      </w:pPr>
    </w:p>
    <w:p w14:paraId="60F02625" w14:textId="77F447CF" w:rsidR="002F2197" w:rsidRDefault="002F2197" w:rsidP="0075264A">
      <w:pPr>
        <w:jc w:val="both"/>
      </w:pPr>
    </w:p>
    <w:p w14:paraId="7173BF64" w14:textId="00824E73" w:rsidR="002F2197" w:rsidRDefault="002F2197" w:rsidP="0075264A">
      <w:pPr>
        <w:jc w:val="both"/>
      </w:pPr>
    </w:p>
    <w:p w14:paraId="3EEBD11E" w14:textId="77C24B6E" w:rsidR="001F6696" w:rsidRPr="0069414D" w:rsidRDefault="006F236C" w:rsidP="006F236C">
      <w:pPr>
        <w:pStyle w:val="MAPPA-Heaingsection"/>
        <w:rPr>
          <w:color w:val="7030A0"/>
        </w:rPr>
      </w:pPr>
      <w:r w:rsidRPr="0069414D">
        <w:rPr>
          <w:color w:val="7030A0"/>
        </w:rPr>
        <w:t>What is MAPPA?</w:t>
      </w:r>
    </w:p>
    <w:p w14:paraId="55065672" w14:textId="77777777" w:rsidR="006F236C" w:rsidRPr="007C7106" w:rsidRDefault="006F236C" w:rsidP="006F236C">
      <w:pPr>
        <w:pStyle w:val="Default"/>
        <w:pBdr>
          <w:bottom w:val="single" w:sz="4" w:space="1" w:color="007BC3"/>
        </w:pBdr>
        <w:rPr>
          <w:rFonts w:ascii="Arial" w:hAnsi="Arial" w:cs="Arial"/>
          <w:color w:val="FFFFFF"/>
          <w:sz w:val="16"/>
          <w:szCs w:val="16"/>
        </w:rPr>
      </w:pPr>
    </w:p>
    <w:p w14:paraId="7400CE85" w14:textId="77777777" w:rsidR="001F6696" w:rsidRPr="008D1CDE" w:rsidRDefault="001F6696" w:rsidP="001F6696">
      <w:pPr>
        <w:pStyle w:val="Style1"/>
        <w:jc w:val="both"/>
      </w:pPr>
      <w:r w:rsidRPr="008D1CDE">
        <w:t>MAPPA background</w:t>
      </w:r>
    </w:p>
    <w:p w14:paraId="5DFFC81D" w14:textId="77777777" w:rsidR="001F6696" w:rsidRPr="00206B09" w:rsidRDefault="001F6696" w:rsidP="001F6696">
      <w:pPr>
        <w:pStyle w:val="MAPPA-Bodytext-numbered"/>
        <w:ind w:left="0" w:firstLine="0"/>
        <w:jc w:val="both"/>
        <w:rPr>
          <w:sz w:val="24"/>
          <w:szCs w:val="24"/>
          <w:lang w:val="en-GB"/>
        </w:rPr>
      </w:pPr>
      <w:r w:rsidRPr="00206B09">
        <w:rPr>
          <w:sz w:val="24"/>
          <w:szCs w:val="24"/>
          <w:lang w:val="en-GB"/>
        </w:rPr>
        <w:t xml:space="preserve">MAPPA (Multi-Agency Public Protection Arrangements) are a set of arrangements to manage the risk posed by </w:t>
      </w:r>
      <w:r>
        <w:rPr>
          <w:sz w:val="24"/>
          <w:szCs w:val="24"/>
          <w:lang w:val="en-GB"/>
        </w:rPr>
        <w:t xml:space="preserve">individuals who have committed </w:t>
      </w:r>
      <w:r w:rsidRPr="00206B09">
        <w:rPr>
          <w:sz w:val="24"/>
          <w:szCs w:val="24"/>
          <w:lang w:val="en-GB"/>
        </w:rPr>
        <w:t>the most serious sexual, violent and terrorist offen</w:t>
      </w:r>
      <w:r>
        <w:rPr>
          <w:sz w:val="24"/>
          <w:szCs w:val="24"/>
          <w:lang w:val="en-GB"/>
        </w:rPr>
        <w:t>ces</w:t>
      </w:r>
      <w:r w:rsidRPr="00206B09">
        <w:rPr>
          <w:sz w:val="24"/>
          <w:szCs w:val="24"/>
          <w:lang w:val="en-GB"/>
        </w:rPr>
        <w:t xml:space="preserve"> (MAPPA-eligible </w:t>
      </w:r>
      <w:r>
        <w:rPr>
          <w:sz w:val="24"/>
          <w:szCs w:val="24"/>
          <w:lang w:val="en-GB"/>
        </w:rPr>
        <w:t>individuals</w:t>
      </w:r>
      <w:r w:rsidRPr="00206B09">
        <w:rPr>
          <w:sz w:val="24"/>
          <w:szCs w:val="24"/>
          <w:lang w:val="en-GB"/>
        </w:rPr>
        <w:t>) under the provisions of sections 325 to 327B of the Criminal Justice Act 2003.</w:t>
      </w:r>
    </w:p>
    <w:p w14:paraId="38ACEDDB" w14:textId="77777777" w:rsidR="001F6696" w:rsidRPr="00206B09" w:rsidRDefault="001F6696" w:rsidP="001F6696">
      <w:pPr>
        <w:pStyle w:val="MAPPA-Bodytext-numbered"/>
        <w:ind w:left="0" w:firstLine="0"/>
        <w:jc w:val="both"/>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5D2DC4EC" w14:textId="77777777" w:rsidR="001F6696" w:rsidRPr="00206B09" w:rsidRDefault="001F6696" w:rsidP="001F6696">
      <w:pPr>
        <w:pStyle w:val="MAPPA-Bodytext-numbered"/>
        <w:ind w:left="0" w:firstLine="0"/>
        <w:jc w:val="both"/>
        <w:rPr>
          <w:sz w:val="24"/>
          <w:szCs w:val="24"/>
          <w:lang w:val="en-GB"/>
        </w:rPr>
      </w:pPr>
      <w:r w:rsidRPr="00206B09">
        <w:rPr>
          <w:sz w:val="24"/>
          <w:szCs w:val="24"/>
          <w:lang w:val="en-GB"/>
        </w:rPr>
        <w:t>A number of other agencies are under a Duty to Co-operate (DTC) with the Responsible Authority. These include Social Services, Health Services, Youth Offending Teams, Department for Work and Pensions and Local Housing and Education Authorities.</w:t>
      </w:r>
    </w:p>
    <w:p w14:paraId="3FE86DD2" w14:textId="77777777" w:rsidR="001F6696" w:rsidRPr="00206B09" w:rsidRDefault="001F6696" w:rsidP="001F6696">
      <w:pPr>
        <w:pStyle w:val="MAPPA-Bodytext-numbered"/>
        <w:ind w:left="0" w:firstLine="0"/>
        <w:jc w:val="both"/>
        <w:rPr>
          <w:sz w:val="24"/>
          <w:szCs w:val="24"/>
          <w:lang w:val="en-GB"/>
        </w:rPr>
      </w:pPr>
      <w:r w:rsidRPr="00206B09">
        <w:rPr>
          <w:sz w:val="24"/>
          <w:szCs w:val="24"/>
          <w:lang w:val="en-GB"/>
        </w:rPr>
        <w:t xml:space="preserve">Local Strategic Management Boards (SMB) comprising senior representatives from each of the Responsible Authority and DTC agencies are responsible for delivering MAPPA within their respective areas. The Responsible Authority is also required to appoint two Lay Advisers to sit on each MAPPA SMB. </w:t>
      </w:r>
    </w:p>
    <w:p w14:paraId="52C9F432" w14:textId="77777777" w:rsidR="001F6696" w:rsidRPr="00206B09" w:rsidRDefault="001F6696" w:rsidP="001F6696">
      <w:pPr>
        <w:pStyle w:val="MAPPA-Bodytext-numbered"/>
        <w:ind w:left="0" w:firstLine="0"/>
        <w:jc w:val="both"/>
        <w:rPr>
          <w:sz w:val="24"/>
          <w:szCs w:val="24"/>
          <w:lang w:val="en-GB"/>
        </w:rPr>
      </w:pPr>
      <w:r w:rsidRPr="00206B09">
        <w:rPr>
          <w:sz w:val="24"/>
          <w:szCs w:val="24"/>
          <w:lang w:val="en-GB"/>
        </w:rPr>
        <w:t>Lay Advisers are members of the public appointed by the Minister with no links to the business of managing MAPPA</w:t>
      </w:r>
      <w:r>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8A9F303" w14:textId="77777777" w:rsidR="001F6696" w:rsidRPr="006A45B8" w:rsidRDefault="001F6696" w:rsidP="001F6696">
      <w:pPr>
        <w:pStyle w:val="Style1"/>
        <w:jc w:val="both"/>
      </w:pPr>
      <w:r w:rsidRPr="006A45B8">
        <w:t>How MAPPA works</w:t>
      </w:r>
    </w:p>
    <w:p w14:paraId="1ADC938F" w14:textId="77777777" w:rsidR="001F6696" w:rsidRPr="00206B09" w:rsidRDefault="001F6696" w:rsidP="001F6696">
      <w:pPr>
        <w:pStyle w:val="MAPPA-Bodytext"/>
        <w:jc w:val="both"/>
        <w:rPr>
          <w:sz w:val="24"/>
          <w:szCs w:val="24"/>
          <w:lang w:val="en-GB"/>
        </w:rPr>
      </w:pPr>
      <w:r w:rsidRPr="00206B09">
        <w:rPr>
          <w:sz w:val="24"/>
          <w:szCs w:val="24"/>
          <w:lang w:val="en-GB"/>
        </w:rPr>
        <w:t xml:space="preserve">MAPPA-eligible </w:t>
      </w:r>
      <w:r>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1B1583C8" w14:textId="77777777" w:rsidR="001F6696" w:rsidRPr="00206B09" w:rsidRDefault="001F6696" w:rsidP="001F6696">
      <w:pPr>
        <w:pStyle w:val="MAPPA-Bodytext"/>
        <w:jc w:val="both"/>
        <w:rPr>
          <w:sz w:val="24"/>
          <w:szCs w:val="24"/>
          <w:lang w:val="en-GB"/>
        </w:rPr>
      </w:pPr>
      <w:r w:rsidRPr="00206B09">
        <w:rPr>
          <w:sz w:val="24"/>
          <w:szCs w:val="24"/>
          <w:lang w:val="en-GB"/>
        </w:rPr>
        <w:t>That is as far as MAPPA extend in the majority of cases, but some cases require more senior oversight and structured multi-agency management. In such cases there will be regular MAPPA meetings attended by relevant agency practitioners.</w:t>
      </w:r>
    </w:p>
    <w:p w14:paraId="236D574A" w14:textId="77777777" w:rsidR="001F6696" w:rsidRPr="00206B09" w:rsidRDefault="001F6696" w:rsidP="001F6696">
      <w:pPr>
        <w:pStyle w:val="MAPPA-Bodytext"/>
        <w:jc w:val="both"/>
        <w:rPr>
          <w:sz w:val="24"/>
          <w:szCs w:val="24"/>
          <w:lang w:val="en-GB"/>
        </w:rPr>
      </w:pPr>
      <w:r w:rsidRPr="00206B09">
        <w:rPr>
          <w:sz w:val="24"/>
          <w:szCs w:val="24"/>
          <w:lang w:val="en-GB"/>
        </w:rPr>
        <w:t xml:space="preserve">There are </w:t>
      </w:r>
      <w:r>
        <w:rPr>
          <w:sz w:val="24"/>
          <w:szCs w:val="24"/>
          <w:lang w:val="en-GB"/>
        </w:rPr>
        <w:t>4</w:t>
      </w:r>
      <w:r w:rsidRPr="00206B09">
        <w:rPr>
          <w:sz w:val="24"/>
          <w:szCs w:val="24"/>
          <w:lang w:val="en-GB"/>
        </w:rPr>
        <w:t xml:space="preserve"> categories of MAPPA-eligible </w:t>
      </w:r>
      <w:r>
        <w:rPr>
          <w:sz w:val="24"/>
          <w:szCs w:val="24"/>
          <w:lang w:val="en-GB"/>
        </w:rPr>
        <w:t>individual</w:t>
      </w:r>
      <w:r w:rsidRPr="00206B09">
        <w:rPr>
          <w:sz w:val="24"/>
          <w:szCs w:val="24"/>
          <w:lang w:val="en-GB"/>
        </w:rPr>
        <w:t xml:space="preserve">: </w:t>
      </w:r>
    </w:p>
    <w:p w14:paraId="34BA7E3C" w14:textId="0763E025" w:rsidR="001F6696" w:rsidRPr="00206B09" w:rsidRDefault="001F6696" w:rsidP="001F6696">
      <w:pPr>
        <w:pStyle w:val="MAPPA-Bodytext"/>
        <w:numPr>
          <w:ilvl w:val="0"/>
          <w:numId w:val="1"/>
        </w:numPr>
        <w:jc w:val="both"/>
        <w:rPr>
          <w:sz w:val="24"/>
          <w:szCs w:val="24"/>
          <w:lang w:val="en-GB"/>
        </w:rPr>
      </w:pPr>
      <w:r w:rsidRPr="00206B09">
        <w:rPr>
          <w:b/>
          <w:sz w:val="24"/>
          <w:szCs w:val="24"/>
          <w:lang w:val="en-GB"/>
        </w:rPr>
        <w:t>Category 1</w:t>
      </w:r>
      <w:r w:rsidRPr="00206B09">
        <w:rPr>
          <w:sz w:val="24"/>
          <w:szCs w:val="24"/>
          <w:lang w:val="en-GB"/>
        </w:rPr>
        <w:t xml:space="preserve"> –subject to sex offender notification requirements. </w:t>
      </w:r>
    </w:p>
    <w:p w14:paraId="7189A128" w14:textId="44BDA888" w:rsidR="001F6696" w:rsidRPr="00206B09" w:rsidRDefault="001F6696" w:rsidP="001F6696">
      <w:pPr>
        <w:pStyle w:val="MAPPA-Bodytext"/>
        <w:numPr>
          <w:ilvl w:val="0"/>
          <w:numId w:val="1"/>
        </w:numPr>
        <w:jc w:val="both"/>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47F861CF" w14:textId="77777777" w:rsidR="001F6696" w:rsidRDefault="001F6696" w:rsidP="001F6696">
      <w:pPr>
        <w:pStyle w:val="MAPPA-Bodytext"/>
        <w:numPr>
          <w:ilvl w:val="0"/>
          <w:numId w:val="1"/>
        </w:numPr>
        <w:jc w:val="both"/>
        <w:rPr>
          <w:sz w:val="24"/>
          <w:szCs w:val="24"/>
          <w:lang w:val="en-GB"/>
        </w:rPr>
      </w:pPr>
      <w:r w:rsidRPr="00206B09">
        <w:rPr>
          <w:b/>
          <w:sz w:val="24"/>
          <w:szCs w:val="24"/>
          <w:lang w:val="en-GB"/>
        </w:rPr>
        <w:t>Category 3</w:t>
      </w:r>
      <w:r w:rsidRPr="00206B09">
        <w:rPr>
          <w:sz w:val="24"/>
          <w:szCs w:val="24"/>
          <w:lang w:val="en-GB"/>
        </w:rPr>
        <w:t xml:space="preserve"> – </w:t>
      </w:r>
      <w:r>
        <w:rPr>
          <w:sz w:val="24"/>
          <w:szCs w:val="24"/>
          <w:lang w:val="en-GB"/>
        </w:rPr>
        <w:t>individuals</w:t>
      </w:r>
      <w:r w:rsidRPr="00206B09">
        <w:rPr>
          <w:sz w:val="24"/>
          <w:szCs w:val="24"/>
          <w:lang w:val="en-GB"/>
        </w:rPr>
        <w:t xml:space="preserve"> who do not qualify under Categories 1</w:t>
      </w:r>
      <w:r>
        <w:rPr>
          <w:sz w:val="24"/>
          <w:szCs w:val="24"/>
          <w:lang w:val="en-GB"/>
        </w:rPr>
        <w:t>,</w:t>
      </w:r>
      <w:r w:rsidRPr="00206B09">
        <w:rPr>
          <w:sz w:val="24"/>
          <w:szCs w:val="24"/>
          <w:lang w:val="en-GB"/>
        </w:rPr>
        <w:t xml:space="preserve"> 2 </w:t>
      </w:r>
      <w:r>
        <w:rPr>
          <w:sz w:val="24"/>
          <w:szCs w:val="24"/>
          <w:lang w:val="en-GB"/>
        </w:rPr>
        <w:t xml:space="preserve">or 4 </w:t>
      </w:r>
      <w:r w:rsidRPr="00206B09">
        <w:rPr>
          <w:sz w:val="24"/>
          <w:szCs w:val="24"/>
          <w:lang w:val="en-GB"/>
        </w:rPr>
        <w:t>but who</w:t>
      </w:r>
      <w:r>
        <w:rPr>
          <w:sz w:val="24"/>
          <w:szCs w:val="24"/>
          <w:lang w:val="en-GB"/>
        </w:rPr>
        <w:t>se offences</w:t>
      </w:r>
      <w:r w:rsidRPr="00206B09">
        <w:rPr>
          <w:sz w:val="24"/>
          <w:szCs w:val="24"/>
          <w:lang w:val="en-GB"/>
        </w:rPr>
        <w:t xml:space="preserve"> pose a risk of serious harm. </w:t>
      </w:r>
    </w:p>
    <w:p w14:paraId="1ECD19CB" w14:textId="77777777" w:rsidR="001F6696" w:rsidRPr="00206B09" w:rsidRDefault="001F6696" w:rsidP="001F6696">
      <w:pPr>
        <w:pStyle w:val="MAPPA-Bodytext"/>
        <w:numPr>
          <w:ilvl w:val="0"/>
          <w:numId w:val="1"/>
        </w:numPr>
        <w:jc w:val="both"/>
        <w:rPr>
          <w:sz w:val="24"/>
          <w:szCs w:val="24"/>
          <w:lang w:val="en-GB"/>
        </w:rPr>
      </w:pPr>
      <w:r>
        <w:rPr>
          <w:b/>
          <w:sz w:val="24"/>
          <w:szCs w:val="24"/>
          <w:lang w:val="en-GB"/>
        </w:rPr>
        <w:t xml:space="preserve">Category 4 </w:t>
      </w:r>
      <w:r>
        <w:rPr>
          <w:bCs/>
          <w:sz w:val="24"/>
          <w:szCs w:val="24"/>
          <w:lang w:val="en-GB"/>
        </w:rPr>
        <w:t>– terrorism convicted and terrorism risk individuals</w:t>
      </w:r>
    </w:p>
    <w:p w14:paraId="3D63412F" w14:textId="505C48B5" w:rsidR="001F6696" w:rsidRPr="00206B09" w:rsidRDefault="001F6696" w:rsidP="001F6696">
      <w:pPr>
        <w:pStyle w:val="MAPPA-Bodytext"/>
        <w:jc w:val="both"/>
        <w:rPr>
          <w:sz w:val="24"/>
          <w:szCs w:val="24"/>
          <w:lang w:val="en-GB"/>
        </w:rPr>
      </w:pPr>
      <w:r w:rsidRPr="00206B09">
        <w:rPr>
          <w:sz w:val="24"/>
          <w:szCs w:val="24"/>
          <w:lang w:val="en-GB"/>
        </w:rPr>
        <w:t xml:space="preserve">There are three levels of management to ensure that resources are focused where they are most needed: generally those presenting the higher risks of serious harm. </w:t>
      </w:r>
    </w:p>
    <w:p w14:paraId="23C88A02" w14:textId="57A64820" w:rsidR="001F6696" w:rsidRPr="00206B09" w:rsidRDefault="001F6696" w:rsidP="001F6696">
      <w:pPr>
        <w:pStyle w:val="MAPPA-Bodytext"/>
        <w:numPr>
          <w:ilvl w:val="0"/>
          <w:numId w:val="2"/>
        </w:numPr>
        <w:jc w:val="both"/>
        <w:rPr>
          <w:sz w:val="24"/>
          <w:szCs w:val="24"/>
          <w:lang w:val="en-GB"/>
        </w:rPr>
      </w:pPr>
      <w:r w:rsidRPr="00206B09">
        <w:rPr>
          <w:b/>
          <w:sz w:val="24"/>
          <w:szCs w:val="24"/>
          <w:lang w:val="en-GB"/>
        </w:rPr>
        <w:t>Level 1</w:t>
      </w:r>
      <w:r w:rsidRPr="00206B09">
        <w:rPr>
          <w:sz w:val="24"/>
          <w:szCs w:val="24"/>
          <w:lang w:val="en-GB"/>
        </w:rPr>
        <w:t xml:space="preserve"> is where the </w:t>
      </w:r>
      <w:r>
        <w:rPr>
          <w:sz w:val="24"/>
          <w:szCs w:val="24"/>
          <w:lang w:val="en-GB"/>
        </w:rPr>
        <w:t>individual</w:t>
      </w:r>
      <w:r w:rsidRPr="00206B09">
        <w:rPr>
          <w:sz w:val="24"/>
          <w:szCs w:val="24"/>
          <w:lang w:val="en-GB"/>
        </w:rPr>
        <w:t xml:space="preserve"> is managed by the lead agency with information exchange and </w:t>
      </w:r>
      <w:r w:rsidRPr="00C53F03">
        <w:rPr>
          <w:b/>
          <w:bCs/>
          <w:sz w:val="24"/>
          <w:szCs w:val="24"/>
          <w:lang w:val="en-GB"/>
        </w:rPr>
        <w:t>multi-agency support</w:t>
      </w:r>
      <w:r w:rsidRPr="00206B09">
        <w:rPr>
          <w:sz w:val="24"/>
          <w:szCs w:val="24"/>
          <w:lang w:val="en-GB"/>
        </w:rPr>
        <w:t xml:space="preserve"> as required but without formal MAPPA meetings. </w:t>
      </w:r>
    </w:p>
    <w:p w14:paraId="5F6331B6" w14:textId="77777777" w:rsidR="001F6696" w:rsidRPr="00206B09" w:rsidRDefault="001F6696" w:rsidP="001F6696">
      <w:pPr>
        <w:pStyle w:val="MAPPA-Bodytext"/>
        <w:numPr>
          <w:ilvl w:val="0"/>
          <w:numId w:val="2"/>
        </w:numPr>
        <w:jc w:val="both"/>
        <w:rPr>
          <w:sz w:val="24"/>
          <w:szCs w:val="24"/>
          <w:lang w:val="en-GB"/>
        </w:rPr>
      </w:pPr>
      <w:r w:rsidRPr="00206B09">
        <w:rPr>
          <w:b/>
          <w:sz w:val="24"/>
          <w:szCs w:val="24"/>
          <w:lang w:val="en-GB"/>
        </w:rPr>
        <w:lastRenderedPageBreak/>
        <w:t>Level 2</w:t>
      </w:r>
      <w:r w:rsidRPr="00206B09">
        <w:rPr>
          <w:sz w:val="24"/>
          <w:szCs w:val="24"/>
          <w:lang w:val="en-GB"/>
        </w:rPr>
        <w:t xml:space="preserve"> is where formal MAPPA meetings are required to manage the </w:t>
      </w:r>
      <w:r>
        <w:rPr>
          <w:sz w:val="24"/>
          <w:szCs w:val="24"/>
          <w:lang w:val="en-GB"/>
        </w:rPr>
        <w:t>individual</w:t>
      </w:r>
      <w:r w:rsidRPr="00206B09">
        <w:rPr>
          <w:sz w:val="24"/>
          <w:szCs w:val="24"/>
          <w:lang w:val="en-GB"/>
        </w:rPr>
        <w:t xml:space="preserve">. </w:t>
      </w:r>
    </w:p>
    <w:p w14:paraId="7B76FBCA" w14:textId="77777777" w:rsidR="001F6696" w:rsidRPr="00206B09" w:rsidRDefault="001F6696" w:rsidP="001F6696">
      <w:pPr>
        <w:pStyle w:val="MAPPA-Bodytext"/>
        <w:numPr>
          <w:ilvl w:val="0"/>
          <w:numId w:val="2"/>
        </w:numPr>
        <w:jc w:val="both"/>
        <w:rPr>
          <w:sz w:val="24"/>
          <w:szCs w:val="24"/>
          <w:lang w:val="en-GB"/>
        </w:rPr>
      </w:pPr>
      <w:r w:rsidRPr="00206B09">
        <w:rPr>
          <w:b/>
          <w:sz w:val="24"/>
          <w:szCs w:val="24"/>
          <w:lang w:val="en-GB"/>
        </w:rPr>
        <w:t xml:space="preserve">Level 3 </w:t>
      </w:r>
      <w:r w:rsidRPr="00206B09">
        <w:rPr>
          <w:sz w:val="24"/>
          <w:szCs w:val="24"/>
          <w:lang w:val="en-GB"/>
        </w:rPr>
        <w:t xml:space="preserve">is where risk management plans require the attendance and commitment of resources at a senior level at MAPPA meetings. </w:t>
      </w:r>
    </w:p>
    <w:p w14:paraId="6189EEC4" w14:textId="0C613589" w:rsidR="00E7753E" w:rsidRDefault="00E7753E" w:rsidP="00E7753E">
      <w:pPr>
        <w:pStyle w:val="Style1"/>
        <w:spacing w:line="240" w:lineRule="auto"/>
        <w:jc w:val="both"/>
        <w:rPr>
          <w:rFonts w:eastAsia="Times New Roman" w:cs="Arial"/>
          <w:color w:val="000000"/>
          <w:sz w:val="24"/>
          <w:szCs w:val="24"/>
        </w:rPr>
      </w:pPr>
      <w:r w:rsidRPr="00E7753E">
        <w:rPr>
          <w:rFonts w:eastAsia="Times New Roman" w:cs="Arial"/>
          <w:color w:val="000000"/>
          <w:sz w:val="24"/>
          <w:szCs w:val="24"/>
        </w:rPr>
        <w:t>MAPPA are supported by ViSOR. This is a national IT system to assist in the management of individuals who pose a serious risk of harm to the public. The use of ViSOR increases the ability to share intelligence across organisations and enables the safe transfer of key information when high risk individuals move between areas, enhancing public protection measures</w:t>
      </w:r>
      <w:r>
        <w:rPr>
          <w:rFonts w:eastAsia="Times New Roman" w:cs="Arial"/>
          <w:color w:val="000000"/>
          <w:sz w:val="24"/>
          <w:szCs w:val="24"/>
        </w:rPr>
        <w:t>.</w:t>
      </w:r>
    </w:p>
    <w:p w14:paraId="084F8CE2" w14:textId="77777777" w:rsidR="00E7753E" w:rsidRDefault="00E7753E" w:rsidP="00E7753E">
      <w:pPr>
        <w:pStyle w:val="Style1"/>
        <w:spacing w:line="240" w:lineRule="auto"/>
        <w:jc w:val="both"/>
        <w:rPr>
          <w:rFonts w:eastAsia="Times New Roman" w:cs="Arial"/>
          <w:color w:val="000000"/>
          <w:sz w:val="24"/>
          <w:szCs w:val="24"/>
        </w:rPr>
      </w:pPr>
    </w:p>
    <w:p w14:paraId="4A5FCD15" w14:textId="1C471EF5" w:rsidR="00E7753E" w:rsidRDefault="00E7753E" w:rsidP="00E7753E">
      <w:pPr>
        <w:pStyle w:val="Style1"/>
        <w:spacing w:line="240" w:lineRule="auto"/>
        <w:jc w:val="both"/>
        <w:rPr>
          <w:rFonts w:eastAsia="Times New Roman" w:cs="Arial"/>
          <w:color w:val="000000"/>
          <w:sz w:val="24"/>
          <w:szCs w:val="24"/>
        </w:rPr>
      </w:pPr>
      <w:r w:rsidRPr="00E7753E">
        <w:rPr>
          <w:rFonts w:eastAsia="Times New Roman" w:cs="Arial"/>
          <w:color w:val="000000"/>
          <w:sz w:val="24"/>
          <w:szCs w:val="24"/>
        </w:rPr>
        <w:t xml:space="preserve">ViSOR allows staff from the Police, Probation and Prison Services to work on the same IT system, improving the quality and timeliness of risk assessments and interventions to prevent offending. </w:t>
      </w:r>
    </w:p>
    <w:p w14:paraId="6F7B6049" w14:textId="77777777" w:rsidR="00E7753E" w:rsidRPr="00E7753E" w:rsidRDefault="00E7753E" w:rsidP="00E7753E">
      <w:pPr>
        <w:pStyle w:val="Style1"/>
        <w:spacing w:line="240" w:lineRule="auto"/>
        <w:jc w:val="both"/>
        <w:rPr>
          <w:rFonts w:eastAsia="Times New Roman" w:cs="Arial"/>
          <w:color w:val="000000"/>
          <w:sz w:val="24"/>
          <w:szCs w:val="24"/>
        </w:rPr>
      </w:pPr>
    </w:p>
    <w:p w14:paraId="10860279" w14:textId="405D09C0" w:rsidR="00E7753E" w:rsidRDefault="00E7753E" w:rsidP="00E7753E">
      <w:pPr>
        <w:pStyle w:val="Style1"/>
        <w:spacing w:line="240" w:lineRule="auto"/>
        <w:jc w:val="both"/>
        <w:rPr>
          <w:rFonts w:eastAsia="Times New Roman" w:cs="Arial"/>
          <w:color w:val="000000"/>
          <w:sz w:val="24"/>
          <w:szCs w:val="24"/>
        </w:rPr>
      </w:pPr>
      <w:r w:rsidRPr="00E7753E">
        <w:rPr>
          <w:rFonts w:eastAsia="Times New Roman" w:cs="Arial"/>
          <w:color w:val="000000"/>
          <w:sz w:val="24"/>
          <w:szCs w:val="24"/>
        </w:rPr>
        <w:t xml:space="preserve">All MAPPA reports from England and Wales are published online at: </w:t>
      </w:r>
      <w:hyperlink r:id="rId17" w:history="1">
        <w:r w:rsidRPr="00E53313">
          <w:rPr>
            <w:rStyle w:val="Hyperlink"/>
            <w:rFonts w:eastAsia="Times New Roman" w:cs="Arial"/>
            <w:sz w:val="24"/>
            <w:szCs w:val="24"/>
          </w:rPr>
          <w:t>www.gov.uk</w:t>
        </w:r>
      </w:hyperlink>
    </w:p>
    <w:p w14:paraId="1A087112" w14:textId="77777777" w:rsidR="00E7753E" w:rsidRDefault="00E7753E" w:rsidP="00E7753E">
      <w:pPr>
        <w:pStyle w:val="Style1"/>
        <w:spacing w:line="240" w:lineRule="auto"/>
        <w:jc w:val="both"/>
        <w:rPr>
          <w:rFonts w:eastAsia="Times New Roman" w:cs="Arial"/>
          <w:color w:val="000000"/>
          <w:sz w:val="24"/>
          <w:szCs w:val="24"/>
        </w:rPr>
      </w:pPr>
    </w:p>
    <w:p w14:paraId="7063DE33" w14:textId="77777777" w:rsidR="00E7753E" w:rsidRDefault="00E7753E" w:rsidP="001F6696">
      <w:pPr>
        <w:pStyle w:val="Style1"/>
        <w:jc w:val="both"/>
        <w:rPr>
          <w:rFonts w:eastAsia="Times New Roman" w:cs="Arial"/>
          <w:color w:val="000000"/>
          <w:sz w:val="24"/>
          <w:szCs w:val="24"/>
        </w:rPr>
      </w:pPr>
    </w:p>
    <w:p w14:paraId="6F2F36EB" w14:textId="326DECB2" w:rsidR="001F6696" w:rsidRDefault="001F6696" w:rsidP="006F236C">
      <w:pPr>
        <w:pStyle w:val="MAPPA-Bodytext"/>
        <w:sectPr w:rsidR="001F6696" w:rsidSect="00735E92">
          <w:type w:val="continuous"/>
          <w:pgSz w:w="11905" w:h="16837" w:code="9"/>
          <w:pgMar w:top="720" w:right="720" w:bottom="720" w:left="720" w:header="720" w:footer="567" w:gutter="0"/>
          <w:cols w:space="720"/>
          <w:noEndnote/>
        </w:sectPr>
      </w:pPr>
    </w:p>
    <w:p w14:paraId="015AB79B" w14:textId="77777777" w:rsidR="006F236C" w:rsidRDefault="006F236C" w:rsidP="006F236C">
      <w:pPr>
        <w:pStyle w:val="MAPPA-Bodytext"/>
      </w:pPr>
    </w:p>
    <w:p w14:paraId="776ADBCF" w14:textId="77777777" w:rsidR="006F236C" w:rsidRDefault="006F236C" w:rsidP="006F236C">
      <w:pPr>
        <w:pStyle w:val="MAPPA-HeadingPara"/>
      </w:pPr>
    </w:p>
    <w:p w14:paraId="0A9BB124" w14:textId="6B29D511" w:rsidR="001F6696" w:rsidRDefault="001F6696" w:rsidP="006F236C">
      <w:pPr>
        <w:pStyle w:val="MAPPA-HeadingPara"/>
      </w:pPr>
    </w:p>
    <w:p w14:paraId="3EDFD374" w14:textId="2BBFE0BC" w:rsidR="00E7753E" w:rsidRDefault="00E7753E" w:rsidP="006F236C">
      <w:pPr>
        <w:pStyle w:val="MAPPA-HeadingPara"/>
      </w:pPr>
    </w:p>
    <w:p w14:paraId="7B1D4CBB" w14:textId="2E15AA3B" w:rsidR="00E7753E" w:rsidRDefault="00E7753E" w:rsidP="006F236C">
      <w:pPr>
        <w:pStyle w:val="MAPPA-HeadingPara"/>
      </w:pPr>
    </w:p>
    <w:p w14:paraId="10305C7F" w14:textId="2A593D6B" w:rsidR="00E7753E" w:rsidRDefault="00E7753E" w:rsidP="006F236C">
      <w:pPr>
        <w:pStyle w:val="MAPPA-HeadingPara"/>
      </w:pPr>
    </w:p>
    <w:p w14:paraId="3C95FE13" w14:textId="6140EE53" w:rsidR="00E7753E" w:rsidRDefault="00E7753E" w:rsidP="006F236C">
      <w:pPr>
        <w:pStyle w:val="MAPPA-HeadingPara"/>
      </w:pPr>
    </w:p>
    <w:p w14:paraId="1303D4AD" w14:textId="77777777" w:rsidR="00E7753E" w:rsidRDefault="00E7753E" w:rsidP="006F236C">
      <w:pPr>
        <w:pStyle w:val="MAPPA-HeadingPara"/>
      </w:pPr>
    </w:p>
    <w:p w14:paraId="736C7E8F" w14:textId="77777777" w:rsidR="001F6696" w:rsidRDefault="001F6696" w:rsidP="006F236C">
      <w:pPr>
        <w:pStyle w:val="MAPPA-HeadingPara"/>
      </w:pPr>
    </w:p>
    <w:p w14:paraId="4D45F78A" w14:textId="77777777" w:rsidR="001F6696" w:rsidRDefault="001F6696" w:rsidP="006F236C">
      <w:pPr>
        <w:pStyle w:val="MAPPA-HeadingPara"/>
      </w:pPr>
    </w:p>
    <w:p w14:paraId="0CF63928" w14:textId="77777777" w:rsidR="001F6696" w:rsidRDefault="001F6696" w:rsidP="006F236C">
      <w:pPr>
        <w:pStyle w:val="MAPPA-HeadingPara"/>
      </w:pPr>
    </w:p>
    <w:p w14:paraId="36A54721" w14:textId="77777777" w:rsidR="001F6696" w:rsidRDefault="001F6696" w:rsidP="006F236C">
      <w:pPr>
        <w:pStyle w:val="MAPPA-HeadingPara"/>
      </w:pPr>
    </w:p>
    <w:p w14:paraId="7834D45F" w14:textId="77777777" w:rsidR="001F6696" w:rsidRDefault="001F6696" w:rsidP="006F236C">
      <w:pPr>
        <w:pStyle w:val="MAPPA-HeadingPara"/>
      </w:pPr>
    </w:p>
    <w:p w14:paraId="08F9EC03" w14:textId="77777777" w:rsidR="001F6696" w:rsidRDefault="001F6696" w:rsidP="006F236C">
      <w:pPr>
        <w:pStyle w:val="MAPPA-HeadingPara"/>
      </w:pPr>
    </w:p>
    <w:p w14:paraId="10426DE2" w14:textId="1DC42631" w:rsidR="001F6696" w:rsidRDefault="001F6696" w:rsidP="006F236C">
      <w:pPr>
        <w:pStyle w:val="MAPPA-HeadingPara"/>
        <w:sectPr w:rsidR="001F6696" w:rsidSect="00867C9E">
          <w:type w:val="continuous"/>
          <w:pgSz w:w="11905" w:h="16837" w:code="9"/>
          <w:pgMar w:top="720" w:right="720" w:bottom="720" w:left="720" w:header="720" w:footer="567" w:gutter="0"/>
          <w:cols w:space="720"/>
          <w:noEndnote/>
        </w:sectPr>
      </w:pPr>
    </w:p>
    <w:p w14:paraId="6B335901" w14:textId="77777777" w:rsidR="006F236C" w:rsidRPr="001F0E43" w:rsidRDefault="006F236C" w:rsidP="006F236C">
      <w:pPr>
        <w:pStyle w:val="MAPPA-HeadingPara"/>
        <w:rPr>
          <w:lang w:val="en-GB"/>
        </w:rPr>
        <w:sectPr w:rsidR="006F236C" w:rsidRPr="001F0E43" w:rsidSect="00867C9E">
          <w:type w:val="continuous"/>
          <w:pgSz w:w="11905" w:h="16837" w:code="9"/>
          <w:pgMar w:top="720" w:right="720" w:bottom="720" w:left="720" w:header="720" w:footer="567" w:gutter="0"/>
          <w:cols w:space="720"/>
          <w:noEndnote/>
        </w:sectPr>
      </w:pPr>
    </w:p>
    <w:p w14:paraId="63C95B76" w14:textId="5F7BDBC9" w:rsidR="00332EE6" w:rsidRPr="00ED25C1" w:rsidRDefault="00332EE6" w:rsidP="00332EE6">
      <w:pPr>
        <w:pStyle w:val="MAPPA-Heaingsection"/>
        <w:rPr>
          <w:color w:val="7030A0"/>
        </w:rPr>
      </w:pPr>
      <w:r w:rsidRPr="00ED25C1">
        <w:rPr>
          <w:color w:val="7030A0"/>
        </w:rPr>
        <w:lastRenderedPageBreak/>
        <w:t>MAPPA Statistics</w:t>
      </w:r>
    </w:p>
    <w:p w14:paraId="3EC6AC63" w14:textId="77777777" w:rsidR="00332EE6" w:rsidRPr="00ED25C1" w:rsidRDefault="00332EE6" w:rsidP="00332EE6">
      <w:pPr>
        <w:pStyle w:val="Default"/>
        <w:pBdr>
          <w:bottom w:val="single" w:sz="4" w:space="1" w:color="007BC3"/>
        </w:pBdr>
        <w:rPr>
          <w:rFonts w:ascii="Arial" w:hAnsi="Arial" w:cs="Arial"/>
          <w:color w:val="FFFFFF"/>
          <w:sz w:val="16"/>
          <w:szCs w:val="16"/>
        </w:rPr>
      </w:pPr>
    </w:p>
    <w:p w14:paraId="0857564A" w14:textId="77777777" w:rsidR="001F6696" w:rsidRDefault="001F6696" w:rsidP="001F6696">
      <w:pPr>
        <w:keepNext/>
        <w:keepLines/>
        <w:spacing w:before="40" w:line="360" w:lineRule="auto"/>
        <w:outlineLvl w:val="2"/>
        <w:rPr>
          <w:rFonts w:ascii="Arial" w:eastAsiaTheme="majorEastAsia" w:hAnsi="Arial" w:cstheme="majorBidi"/>
          <w:b/>
          <w:bCs/>
          <w:color w:val="243F60" w:themeColor="accent1" w:themeShade="7F"/>
        </w:rPr>
      </w:pPr>
    </w:p>
    <w:p w14:paraId="023438D2" w14:textId="0C2F297D" w:rsidR="001F6696" w:rsidRPr="001F6696" w:rsidRDefault="001F6696" w:rsidP="001F6696">
      <w:pPr>
        <w:keepNext/>
        <w:keepLines/>
        <w:spacing w:before="40" w:line="360" w:lineRule="auto"/>
        <w:outlineLvl w:val="2"/>
        <w:rPr>
          <w:rFonts w:ascii="Arial" w:eastAsiaTheme="majorEastAsia" w:hAnsi="Arial" w:cstheme="majorBidi"/>
          <w:b/>
          <w:bCs/>
          <w:szCs w:val="28"/>
        </w:rPr>
      </w:pPr>
      <w:r w:rsidRPr="001F6696">
        <w:rPr>
          <w:rFonts w:ascii="Arial" w:eastAsiaTheme="majorEastAsia" w:hAnsi="Arial" w:cstheme="majorBidi"/>
          <w:b/>
          <w:bCs/>
        </w:rPr>
        <w:t>MAPPA-eligible individuals on 31 March 2023</w:t>
      </w:r>
    </w:p>
    <w:tbl>
      <w:tblPr>
        <w:tblStyle w:val="Style4"/>
        <w:tblW w:w="10485" w:type="dxa"/>
        <w:tblLook w:val="04A0" w:firstRow="1" w:lastRow="0" w:firstColumn="1" w:lastColumn="0" w:noHBand="0" w:noVBand="1"/>
      </w:tblPr>
      <w:tblGrid>
        <w:gridCol w:w="1742"/>
        <w:gridCol w:w="2185"/>
        <w:gridCol w:w="2186"/>
        <w:gridCol w:w="2186"/>
        <w:gridCol w:w="2186"/>
      </w:tblGrid>
      <w:tr w:rsidR="001F6696" w:rsidRPr="001F6696" w14:paraId="722052B0" w14:textId="77777777" w:rsidTr="005703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287483D7"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p>
        </w:tc>
        <w:tc>
          <w:tcPr>
            <w:tcW w:w="2185" w:type="dxa"/>
          </w:tcPr>
          <w:p w14:paraId="18F2A7C0"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Category 1:</w:t>
            </w:r>
            <w:r w:rsidRPr="001F6696">
              <w:rPr>
                <w:b w:val="0"/>
                <w:bCs w:val="0"/>
                <w:color w:val="000000" w:themeColor="text1"/>
              </w:rPr>
              <w:br/>
              <w:t>Subject to sex offender notification requirements</w:t>
            </w:r>
          </w:p>
        </w:tc>
        <w:tc>
          <w:tcPr>
            <w:tcW w:w="2186" w:type="dxa"/>
          </w:tcPr>
          <w:p w14:paraId="301A36A9"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Category 2:</w:t>
            </w:r>
            <w:r w:rsidRPr="001F6696">
              <w:rPr>
                <w:b w:val="0"/>
                <w:bCs w:val="0"/>
                <w:color w:val="000000" w:themeColor="text1"/>
              </w:rPr>
              <w:br/>
              <w:t>Violent</w:t>
            </w:r>
            <w:r w:rsidRPr="001F6696">
              <w:rPr>
                <w:b w:val="0"/>
                <w:bCs w:val="0"/>
                <w:color w:val="000000" w:themeColor="text1"/>
              </w:rPr>
              <w:br/>
              <w:t>offenders</w:t>
            </w:r>
          </w:p>
        </w:tc>
        <w:tc>
          <w:tcPr>
            <w:tcW w:w="2186" w:type="dxa"/>
          </w:tcPr>
          <w:p w14:paraId="78AFB6ED"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Category 3:</w:t>
            </w:r>
            <w:r w:rsidRPr="001F6696">
              <w:rPr>
                <w:b w:val="0"/>
                <w:bCs w:val="0"/>
                <w:color w:val="000000" w:themeColor="text1"/>
              </w:rPr>
              <w:br/>
              <w:t>Other dangerous</w:t>
            </w:r>
            <w:r w:rsidRPr="001F6696">
              <w:rPr>
                <w:b w:val="0"/>
                <w:bCs w:val="0"/>
                <w:color w:val="000000" w:themeColor="text1"/>
              </w:rPr>
              <w:br/>
              <w:t>offenders</w:t>
            </w:r>
          </w:p>
        </w:tc>
        <w:tc>
          <w:tcPr>
            <w:tcW w:w="2186" w:type="dxa"/>
          </w:tcPr>
          <w:p w14:paraId="08099185"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Total</w:t>
            </w:r>
          </w:p>
        </w:tc>
      </w:tr>
      <w:tr w:rsidR="00E7753E" w:rsidRPr="001F6696" w14:paraId="2E7F147E" w14:textId="77777777" w:rsidTr="00570366">
        <w:tc>
          <w:tcPr>
            <w:cnfStyle w:val="001000000000" w:firstRow="0" w:lastRow="0" w:firstColumn="1" w:lastColumn="0" w:oddVBand="0" w:evenVBand="0" w:oddHBand="0" w:evenHBand="0" w:firstRowFirstColumn="0" w:firstRowLastColumn="0" w:lastRowFirstColumn="0" w:lastRowLastColumn="0"/>
            <w:tcW w:w="1742" w:type="dxa"/>
          </w:tcPr>
          <w:p w14:paraId="5D110CB1" w14:textId="77777777" w:rsidR="00E7753E" w:rsidRPr="001F6696" w:rsidRDefault="00E7753E" w:rsidP="00E7753E">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Level 1</w:t>
            </w:r>
          </w:p>
        </w:tc>
        <w:tc>
          <w:tcPr>
            <w:tcW w:w="2185" w:type="dxa"/>
          </w:tcPr>
          <w:p w14:paraId="7220CBB9" w14:textId="51EDF749"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911</w:t>
            </w:r>
          </w:p>
        </w:tc>
        <w:tc>
          <w:tcPr>
            <w:tcW w:w="2186" w:type="dxa"/>
          </w:tcPr>
          <w:p w14:paraId="6F3467D9" w14:textId="31349279"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360</w:t>
            </w:r>
          </w:p>
        </w:tc>
        <w:tc>
          <w:tcPr>
            <w:tcW w:w="2186" w:type="dxa"/>
          </w:tcPr>
          <w:p w14:paraId="4880E28C" w14:textId="48E3F576"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rPr>
              <w:t>-</w:t>
            </w:r>
          </w:p>
        </w:tc>
        <w:tc>
          <w:tcPr>
            <w:tcW w:w="2186" w:type="dxa"/>
          </w:tcPr>
          <w:p w14:paraId="137FF24C" w14:textId="6C4C90F9"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1271</w:t>
            </w:r>
          </w:p>
        </w:tc>
      </w:tr>
      <w:tr w:rsidR="00E7753E" w:rsidRPr="001F6696" w14:paraId="05886B67" w14:textId="77777777" w:rsidTr="00570366">
        <w:tc>
          <w:tcPr>
            <w:cnfStyle w:val="001000000000" w:firstRow="0" w:lastRow="0" w:firstColumn="1" w:lastColumn="0" w:oddVBand="0" w:evenVBand="0" w:oddHBand="0" w:evenHBand="0" w:firstRowFirstColumn="0" w:firstRowLastColumn="0" w:lastRowFirstColumn="0" w:lastRowLastColumn="0"/>
            <w:tcW w:w="1742" w:type="dxa"/>
          </w:tcPr>
          <w:p w14:paraId="5C41F92B" w14:textId="77777777" w:rsidR="00E7753E" w:rsidRPr="001F6696" w:rsidRDefault="00E7753E" w:rsidP="00E7753E">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Level 2</w:t>
            </w:r>
          </w:p>
        </w:tc>
        <w:tc>
          <w:tcPr>
            <w:tcW w:w="2185" w:type="dxa"/>
          </w:tcPr>
          <w:p w14:paraId="6A00C6D4" w14:textId="506289E1"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1</w:t>
            </w:r>
          </w:p>
        </w:tc>
        <w:tc>
          <w:tcPr>
            <w:tcW w:w="2186" w:type="dxa"/>
          </w:tcPr>
          <w:p w14:paraId="3AD8958C" w14:textId="6F506C74"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2</w:t>
            </w:r>
          </w:p>
        </w:tc>
        <w:tc>
          <w:tcPr>
            <w:tcW w:w="2186" w:type="dxa"/>
          </w:tcPr>
          <w:p w14:paraId="21EDF03B" w14:textId="7B5D97AC"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9</w:t>
            </w:r>
          </w:p>
        </w:tc>
        <w:tc>
          <w:tcPr>
            <w:tcW w:w="2186" w:type="dxa"/>
          </w:tcPr>
          <w:p w14:paraId="4025CF24" w14:textId="5090934D"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12</w:t>
            </w:r>
          </w:p>
        </w:tc>
      </w:tr>
      <w:tr w:rsidR="00E7753E" w:rsidRPr="001F6696" w14:paraId="31BECAC2" w14:textId="77777777" w:rsidTr="00570366">
        <w:tc>
          <w:tcPr>
            <w:cnfStyle w:val="001000000000" w:firstRow="0" w:lastRow="0" w:firstColumn="1" w:lastColumn="0" w:oddVBand="0" w:evenVBand="0" w:oddHBand="0" w:evenHBand="0" w:firstRowFirstColumn="0" w:firstRowLastColumn="0" w:lastRowFirstColumn="0" w:lastRowLastColumn="0"/>
            <w:tcW w:w="1742" w:type="dxa"/>
          </w:tcPr>
          <w:p w14:paraId="5D8D014B" w14:textId="77777777" w:rsidR="00E7753E" w:rsidRPr="001F6696" w:rsidRDefault="00E7753E" w:rsidP="00E7753E">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Level 3</w:t>
            </w:r>
          </w:p>
        </w:tc>
        <w:tc>
          <w:tcPr>
            <w:tcW w:w="2185" w:type="dxa"/>
          </w:tcPr>
          <w:p w14:paraId="057780E7" w14:textId="556FC784"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0</w:t>
            </w:r>
          </w:p>
        </w:tc>
        <w:tc>
          <w:tcPr>
            <w:tcW w:w="2186" w:type="dxa"/>
          </w:tcPr>
          <w:p w14:paraId="5498CB8C" w14:textId="3C45E4ED"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1</w:t>
            </w:r>
          </w:p>
        </w:tc>
        <w:tc>
          <w:tcPr>
            <w:tcW w:w="2186" w:type="dxa"/>
          </w:tcPr>
          <w:p w14:paraId="04C5AB74" w14:textId="606C26FF"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1</w:t>
            </w:r>
          </w:p>
        </w:tc>
        <w:tc>
          <w:tcPr>
            <w:tcW w:w="2186" w:type="dxa"/>
          </w:tcPr>
          <w:p w14:paraId="2E4F42B4" w14:textId="3020E8BE"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2</w:t>
            </w:r>
          </w:p>
        </w:tc>
      </w:tr>
      <w:tr w:rsidR="00E7753E" w:rsidRPr="001F6696" w14:paraId="542F3DFC" w14:textId="77777777" w:rsidTr="00570366">
        <w:tc>
          <w:tcPr>
            <w:cnfStyle w:val="001000000000" w:firstRow="0" w:lastRow="0" w:firstColumn="1" w:lastColumn="0" w:oddVBand="0" w:evenVBand="0" w:oddHBand="0" w:evenHBand="0" w:firstRowFirstColumn="0" w:firstRowLastColumn="0" w:lastRowFirstColumn="0" w:lastRowLastColumn="0"/>
            <w:tcW w:w="1742" w:type="dxa"/>
          </w:tcPr>
          <w:p w14:paraId="7F75465F" w14:textId="77777777" w:rsidR="00E7753E" w:rsidRPr="001F6696" w:rsidRDefault="00E7753E" w:rsidP="00E7753E">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Total</w:t>
            </w:r>
          </w:p>
        </w:tc>
        <w:tc>
          <w:tcPr>
            <w:tcW w:w="2185" w:type="dxa"/>
          </w:tcPr>
          <w:p w14:paraId="511998CE" w14:textId="798D8E45"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912</w:t>
            </w:r>
          </w:p>
        </w:tc>
        <w:tc>
          <w:tcPr>
            <w:tcW w:w="2186" w:type="dxa"/>
          </w:tcPr>
          <w:p w14:paraId="5E07FF0F" w14:textId="4697F7AF"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363</w:t>
            </w:r>
          </w:p>
        </w:tc>
        <w:tc>
          <w:tcPr>
            <w:tcW w:w="2186" w:type="dxa"/>
          </w:tcPr>
          <w:p w14:paraId="73D0D5B0" w14:textId="4F05CFE9"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10</w:t>
            </w:r>
          </w:p>
        </w:tc>
        <w:tc>
          <w:tcPr>
            <w:tcW w:w="2186" w:type="dxa"/>
          </w:tcPr>
          <w:p w14:paraId="2DA2A8B7" w14:textId="2D060798"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1285</w:t>
            </w:r>
          </w:p>
        </w:tc>
      </w:tr>
    </w:tbl>
    <w:p w14:paraId="3369CDA8" w14:textId="77777777" w:rsidR="001F6696" w:rsidRPr="001F6696" w:rsidRDefault="001F6696" w:rsidP="001F6696">
      <w:pPr>
        <w:suppressAutoHyphens/>
        <w:autoSpaceDE w:val="0"/>
        <w:autoSpaceDN w:val="0"/>
        <w:adjustRightInd w:val="0"/>
        <w:spacing w:after="240" w:line="260" w:lineRule="exact"/>
        <w:textAlignment w:val="center"/>
        <w:rPr>
          <w:rFonts w:ascii="Arial" w:hAnsi="Arial" w:cs="Arial"/>
          <w:sz w:val="20"/>
          <w:szCs w:val="28"/>
        </w:rPr>
      </w:pPr>
    </w:p>
    <w:p w14:paraId="7D036917" w14:textId="77777777" w:rsidR="001F6696" w:rsidRPr="001F6696" w:rsidRDefault="001F6696" w:rsidP="001F6696">
      <w:pPr>
        <w:keepNext/>
        <w:keepLines/>
        <w:spacing w:before="40" w:line="360" w:lineRule="auto"/>
        <w:outlineLvl w:val="2"/>
        <w:rPr>
          <w:rFonts w:ascii="Arial" w:eastAsiaTheme="majorEastAsia" w:hAnsi="Arial" w:cstheme="majorBidi"/>
          <w:b/>
          <w:bCs/>
          <w:szCs w:val="28"/>
        </w:rPr>
      </w:pPr>
      <w:r w:rsidRPr="001F6696">
        <w:rPr>
          <w:rFonts w:ascii="Arial" w:eastAsiaTheme="majorEastAsia" w:hAnsi="Arial" w:cstheme="majorBidi"/>
          <w:b/>
          <w:bCs/>
        </w:rPr>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1F6696" w:rsidRPr="001F6696" w14:paraId="408B14AD" w14:textId="77777777" w:rsidTr="00E7753E">
        <w:trPr>
          <w:cnfStyle w:val="100000000000" w:firstRow="1" w:lastRow="0" w:firstColumn="0" w:lastColumn="0" w:oddVBand="0" w:evenVBand="0" w:oddHBand="0" w:evenHBand="0" w:firstRowFirstColumn="0" w:firstRowLastColumn="0" w:lastRowFirstColumn="0" w:lastRowLastColumn="0"/>
          <w:trHeight w:val="1027"/>
        </w:trPr>
        <w:tc>
          <w:tcPr>
            <w:cnfStyle w:val="001000000000" w:firstRow="0" w:lastRow="0" w:firstColumn="1" w:lastColumn="0" w:oddVBand="0" w:evenVBand="0" w:oddHBand="0" w:evenHBand="0" w:firstRowFirstColumn="0" w:firstRowLastColumn="0" w:lastRowFirstColumn="0" w:lastRowLastColumn="0"/>
            <w:tcW w:w="1742" w:type="dxa"/>
          </w:tcPr>
          <w:p w14:paraId="06E38701"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p>
        </w:tc>
        <w:tc>
          <w:tcPr>
            <w:tcW w:w="2185" w:type="dxa"/>
          </w:tcPr>
          <w:p w14:paraId="61BED75A"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Category 1:</w:t>
            </w:r>
            <w:r w:rsidRPr="001F6696">
              <w:rPr>
                <w:b w:val="0"/>
                <w:bCs w:val="0"/>
                <w:color w:val="000000" w:themeColor="text1"/>
              </w:rPr>
              <w:br/>
              <w:t>Subject to sex offender notification requirements</w:t>
            </w:r>
          </w:p>
        </w:tc>
        <w:tc>
          <w:tcPr>
            <w:tcW w:w="2186" w:type="dxa"/>
          </w:tcPr>
          <w:p w14:paraId="7158750E"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Category 2:</w:t>
            </w:r>
            <w:r w:rsidRPr="001F6696">
              <w:rPr>
                <w:b w:val="0"/>
                <w:bCs w:val="0"/>
                <w:color w:val="000000" w:themeColor="text1"/>
              </w:rPr>
              <w:br/>
              <w:t>Violent</w:t>
            </w:r>
            <w:r w:rsidRPr="001F6696">
              <w:rPr>
                <w:b w:val="0"/>
                <w:bCs w:val="0"/>
                <w:color w:val="000000" w:themeColor="text1"/>
              </w:rPr>
              <w:br/>
              <w:t>offenders</w:t>
            </w:r>
          </w:p>
        </w:tc>
        <w:tc>
          <w:tcPr>
            <w:tcW w:w="2186" w:type="dxa"/>
          </w:tcPr>
          <w:p w14:paraId="698F805C"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Category 3:</w:t>
            </w:r>
            <w:r w:rsidRPr="001F6696">
              <w:rPr>
                <w:b w:val="0"/>
                <w:bCs w:val="0"/>
                <w:color w:val="000000" w:themeColor="text1"/>
              </w:rPr>
              <w:br/>
              <w:t>Other dangerous</w:t>
            </w:r>
            <w:r w:rsidRPr="001F6696">
              <w:rPr>
                <w:b w:val="0"/>
                <w:bCs w:val="0"/>
                <w:color w:val="000000" w:themeColor="text1"/>
              </w:rPr>
              <w:br/>
              <w:t>offenders</w:t>
            </w:r>
          </w:p>
        </w:tc>
        <w:tc>
          <w:tcPr>
            <w:tcW w:w="2186" w:type="dxa"/>
          </w:tcPr>
          <w:p w14:paraId="413C4760"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Total</w:t>
            </w:r>
          </w:p>
        </w:tc>
      </w:tr>
      <w:tr w:rsidR="00E7753E" w:rsidRPr="001F6696" w14:paraId="7636CC22" w14:textId="77777777" w:rsidTr="00570366">
        <w:tc>
          <w:tcPr>
            <w:cnfStyle w:val="001000000000" w:firstRow="0" w:lastRow="0" w:firstColumn="1" w:lastColumn="0" w:oddVBand="0" w:evenVBand="0" w:oddHBand="0" w:evenHBand="0" w:firstRowFirstColumn="0" w:firstRowLastColumn="0" w:lastRowFirstColumn="0" w:lastRowLastColumn="0"/>
            <w:tcW w:w="1742" w:type="dxa"/>
          </w:tcPr>
          <w:p w14:paraId="32A512C8" w14:textId="77777777" w:rsidR="00E7753E" w:rsidRPr="001F6696" w:rsidRDefault="00E7753E" w:rsidP="00E7753E">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Level 2</w:t>
            </w:r>
          </w:p>
        </w:tc>
        <w:tc>
          <w:tcPr>
            <w:tcW w:w="2185" w:type="dxa"/>
          </w:tcPr>
          <w:p w14:paraId="01CE45A5" w14:textId="675E4C08"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6</w:t>
            </w:r>
          </w:p>
        </w:tc>
        <w:tc>
          <w:tcPr>
            <w:tcW w:w="2186" w:type="dxa"/>
          </w:tcPr>
          <w:p w14:paraId="61528D40" w14:textId="2797AE84"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11</w:t>
            </w:r>
          </w:p>
        </w:tc>
        <w:tc>
          <w:tcPr>
            <w:tcW w:w="2186" w:type="dxa"/>
          </w:tcPr>
          <w:p w14:paraId="3701C6F1" w14:textId="010ECF1B"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42</w:t>
            </w:r>
          </w:p>
        </w:tc>
        <w:tc>
          <w:tcPr>
            <w:tcW w:w="2186" w:type="dxa"/>
          </w:tcPr>
          <w:p w14:paraId="5A39CB3D" w14:textId="302BE76C"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59</w:t>
            </w:r>
          </w:p>
        </w:tc>
      </w:tr>
      <w:tr w:rsidR="00E7753E" w:rsidRPr="001F6696" w14:paraId="001B1C73" w14:textId="77777777" w:rsidTr="00570366">
        <w:tc>
          <w:tcPr>
            <w:cnfStyle w:val="001000000000" w:firstRow="0" w:lastRow="0" w:firstColumn="1" w:lastColumn="0" w:oddVBand="0" w:evenVBand="0" w:oddHBand="0" w:evenHBand="0" w:firstRowFirstColumn="0" w:firstRowLastColumn="0" w:lastRowFirstColumn="0" w:lastRowLastColumn="0"/>
            <w:tcW w:w="1742" w:type="dxa"/>
          </w:tcPr>
          <w:p w14:paraId="2F42208D" w14:textId="77777777" w:rsidR="00E7753E" w:rsidRPr="001F6696" w:rsidRDefault="00E7753E" w:rsidP="00E7753E">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Level 3</w:t>
            </w:r>
          </w:p>
        </w:tc>
        <w:tc>
          <w:tcPr>
            <w:tcW w:w="2185" w:type="dxa"/>
          </w:tcPr>
          <w:p w14:paraId="16E77FCA" w14:textId="1F59DEF2"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0</w:t>
            </w:r>
          </w:p>
        </w:tc>
        <w:tc>
          <w:tcPr>
            <w:tcW w:w="2186" w:type="dxa"/>
          </w:tcPr>
          <w:p w14:paraId="4A1E358F" w14:textId="55CABE8B"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0</w:t>
            </w:r>
          </w:p>
        </w:tc>
        <w:tc>
          <w:tcPr>
            <w:tcW w:w="2186" w:type="dxa"/>
          </w:tcPr>
          <w:p w14:paraId="03F98C3D" w14:textId="5DFCCDC6"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1</w:t>
            </w:r>
          </w:p>
        </w:tc>
        <w:tc>
          <w:tcPr>
            <w:tcW w:w="2186" w:type="dxa"/>
          </w:tcPr>
          <w:p w14:paraId="1785B91C" w14:textId="466EFD0C"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1</w:t>
            </w:r>
          </w:p>
        </w:tc>
      </w:tr>
      <w:tr w:rsidR="00E7753E" w:rsidRPr="001F6696" w14:paraId="578BAD3E" w14:textId="77777777" w:rsidTr="00570366">
        <w:tc>
          <w:tcPr>
            <w:cnfStyle w:val="001000000000" w:firstRow="0" w:lastRow="0" w:firstColumn="1" w:lastColumn="0" w:oddVBand="0" w:evenVBand="0" w:oddHBand="0" w:evenHBand="0" w:firstRowFirstColumn="0" w:firstRowLastColumn="0" w:lastRowFirstColumn="0" w:lastRowLastColumn="0"/>
            <w:tcW w:w="1742" w:type="dxa"/>
          </w:tcPr>
          <w:p w14:paraId="2B1F20E0" w14:textId="77777777" w:rsidR="00E7753E" w:rsidRPr="001F6696" w:rsidRDefault="00E7753E" w:rsidP="00E7753E">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Total</w:t>
            </w:r>
          </w:p>
        </w:tc>
        <w:tc>
          <w:tcPr>
            <w:tcW w:w="2185" w:type="dxa"/>
          </w:tcPr>
          <w:p w14:paraId="643CF496" w14:textId="2AEE8037"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6</w:t>
            </w:r>
          </w:p>
        </w:tc>
        <w:tc>
          <w:tcPr>
            <w:tcW w:w="2186" w:type="dxa"/>
          </w:tcPr>
          <w:p w14:paraId="11800419" w14:textId="1AB98311"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11</w:t>
            </w:r>
          </w:p>
        </w:tc>
        <w:tc>
          <w:tcPr>
            <w:tcW w:w="2186" w:type="dxa"/>
          </w:tcPr>
          <w:p w14:paraId="7729F23E" w14:textId="59E5E8C8"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43</w:t>
            </w:r>
          </w:p>
        </w:tc>
        <w:tc>
          <w:tcPr>
            <w:tcW w:w="2186" w:type="dxa"/>
          </w:tcPr>
          <w:p w14:paraId="1F3F3973" w14:textId="6420370B"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Cs/>
              </w:rPr>
              <w:fldChar w:fldCharType="begin"/>
            </w:r>
            <w:r w:rsidRPr="00E7753E">
              <w:rPr>
                <w:b w:val="0"/>
                <w:bCs/>
              </w:rPr>
              <w:instrText xml:space="preserve"> =Sum(ABOVE) </w:instrText>
            </w:r>
            <w:r w:rsidRPr="00E7753E">
              <w:rPr>
                <w:bCs/>
              </w:rPr>
              <w:fldChar w:fldCharType="separate"/>
            </w:r>
            <w:r w:rsidRPr="00E7753E">
              <w:rPr>
                <w:b w:val="0"/>
                <w:bCs/>
                <w:noProof/>
              </w:rPr>
              <w:t>60</w:t>
            </w:r>
            <w:r w:rsidRPr="00E7753E">
              <w:rPr>
                <w:bCs/>
              </w:rPr>
              <w:fldChar w:fldCharType="end"/>
            </w:r>
          </w:p>
        </w:tc>
      </w:tr>
    </w:tbl>
    <w:p w14:paraId="248213C5" w14:textId="77777777" w:rsidR="001F6696" w:rsidRPr="001F6696" w:rsidRDefault="001F6696" w:rsidP="001F6696">
      <w:pPr>
        <w:suppressAutoHyphens/>
        <w:autoSpaceDE w:val="0"/>
        <w:autoSpaceDN w:val="0"/>
        <w:adjustRightInd w:val="0"/>
        <w:spacing w:after="240" w:line="260" w:lineRule="exact"/>
        <w:textAlignment w:val="center"/>
        <w:rPr>
          <w:rFonts w:ascii="Arial" w:hAnsi="Arial" w:cs="Arial"/>
        </w:rPr>
      </w:pPr>
    </w:p>
    <w:tbl>
      <w:tblPr>
        <w:tblStyle w:val="Style5"/>
        <w:tblW w:w="0" w:type="auto"/>
        <w:tblLook w:val="01E0" w:firstRow="1" w:lastRow="1" w:firstColumn="1" w:lastColumn="1" w:noHBand="0" w:noVBand="0"/>
      </w:tblPr>
      <w:tblGrid>
        <w:gridCol w:w="8365"/>
        <w:gridCol w:w="2090"/>
      </w:tblGrid>
      <w:tr w:rsidR="001F6696" w:rsidRPr="001F6696" w14:paraId="2470830C" w14:textId="77777777" w:rsidTr="00570366">
        <w:tc>
          <w:tcPr>
            <w:cnfStyle w:val="001000000000" w:firstRow="0" w:lastRow="0" w:firstColumn="1" w:lastColumn="0" w:oddVBand="0" w:evenVBand="0" w:oddHBand="0" w:evenHBand="0" w:firstRowFirstColumn="0" w:firstRowLastColumn="0" w:lastRowFirstColumn="0" w:lastRowLastColumn="0"/>
            <w:tcW w:w="8466" w:type="dxa"/>
          </w:tcPr>
          <w:p w14:paraId="2D3D23CA" w14:textId="77777777" w:rsidR="001F6696" w:rsidRPr="001F6696" w:rsidRDefault="001F6696" w:rsidP="001F6696">
            <w:pPr>
              <w:keepNext/>
              <w:keepLines/>
              <w:spacing w:before="40"/>
              <w:outlineLvl w:val="2"/>
              <w:rPr>
                <w:rFonts w:eastAsiaTheme="majorEastAsia" w:cstheme="majorBidi"/>
                <w:color w:val="000000" w:themeColor="text1"/>
              </w:rPr>
            </w:pPr>
            <w:r w:rsidRPr="001F6696">
              <w:rPr>
                <w:rFonts w:eastAsiaTheme="majorEastAsia" w:cstheme="majorBidi"/>
                <w:color w:val="000000" w:themeColor="text1"/>
              </w:rPr>
              <w:t>Category 1 cautioned or convicted for breach of notification requirements</w:t>
            </w:r>
          </w:p>
        </w:tc>
        <w:tc>
          <w:tcPr>
            <w:tcW w:w="2113" w:type="dxa"/>
          </w:tcPr>
          <w:p w14:paraId="1D92D134" w14:textId="044EB7DB" w:rsidR="001F6696" w:rsidRPr="00E7753E" w:rsidRDefault="00E7753E"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7753E">
              <w:rPr>
                <w:color w:val="000000" w:themeColor="text1"/>
                <w:sz w:val="20"/>
                <w:szCs w:val="20"/>
              </w:rPr>
              <w:t>115</w:t>
            </w:r>
          </w:p>
        </w:tc>
      </w:tr>
    </w:tbl>
    <w:p w14:paraId="0B601DF5" w14:textId="77777777" w:rsidR="001F6696" w:rsidRPr="001F6696" w:rsidRDefault="001F6696" w:rsidP="001F6696">
      <w:pPr>
        <w:suppressAutoHyphens/>
        <w:autoSpaceDE w:val="0"/>
        <w:autoSpaceDN w:val="0"/>
        <w:adjustRightInd w:val="0"/>
        <w:spacing w:after="240" w:line="260" w:lineRule="exact"/>
        <w:textAlignment w:val="center"/>
        <w:rPr>
          <w:rFonts w:ascii="Arial" w:hAnsi="Arial" w:cs="Arial"/>
        </w:rPr>
      </w:pPr>
    </w:p>
    <w:tbl>
      <w:tblPr>
        <w:tblStyle w:val="Style5"/>
        <w:tblW w:w="0" w:type="auto"/>
        <w:tblLook w:val="01E0" w:firstRow="1" w:lastRow="1" w:firstColumn="1" w:lastColumn="1" w:noHBand="0" w:noVBand="0"/>
      </w:tblPr>
      <w:tblGrid>
        <w:gridCol w:w="8367"/>
        <w:gridCol w:w="2088"/>
      </w:tblGrid>
      <w:tr w:rsidR="001F6696" w:rsidRPr="001F6696" w14:paraId="3498A10B" w14:textId="77777777" w:rsidTr="00570366">
        <w:tc>
          <w:tcPr>
            <w:cnfStyle w:val="001000000000" w:firstRow="0" w:lastRow="0" w:firstColumn="1" w:lastColumn="0" w:oddVBand="0" w:evenVBand="0" w:oddHBand="0" w:evenHBand="0" w:firstRowFirstColumn="0" w:firstRowLastColumn="0" w:lastRowFirstColumn="0" w:lastRowLastColumn="0"/>
            <w:tcW w:w="8466" w:type="dxa"/>
          </w:tcPr>
          <w:p w14:paraId="0169F522" w14:textId="77777777" w:rsidR="001F6696" w:rsidRPr="001F6696" w:rsidRDefault="001F6696" w:rsidP="001F6696">
            <w:pPr>
              <w:keepNext/>
              <w:keepLines/>
              <w:spacing w:before="40"/>
              <w:outlineLvl w:val="2"/>
              <w:rPr>
                <w:rFonts w:eastAsiaTheme="majorEastAsia" w:cstheme="majorBidi"/>
                <w:color w:val="000000" w:themeColor="text1"/>
              </w:rPr>
            </w:pPr>
            <w:r w:rsidRPr="001F6696">
              <w:rPr>
                <w:rFonts w:eastAsiaTheme="majorEastAsia" w:cstheme="majorBidi"/>
                <w:color w:val="000000" w:themeColor="text1"/>
              </w:rPr>
              <w:t xml:space="preserve">Category 1 who have had their life time notification revoked on application </w:t>
            </w:r>
          </w:p>
        </w:tc>
        <w:tc>
          <w:tcPr>
            <w:tcW w:w="2113" w:type="dxa"/>
          </w:tcPr>
          <w:p w14:paraId="58EDC482" w14:textId="1397641E" w:rsidR="001F6696" w:rsidRPr="00E7753E" w:rsidRDefault="00E7753E"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7753E">
              <w:rPr>
                <w:color w:val="000000" w:themeColor="text1"/>
                <w:sz w:val="20"/>
                <w:szCs w:val="20"/>
              </w:rPr>
              <w:t>2</w:t>
            </w:r>
          </w:p>
        </w:tc>
      </w:tr>
    </w:tbl>
    <w:p w14:paraId="5E6704ED" w14:textId="77777777" w:rsidR="001F6696" w:rsidRPr="001F6696" w:rsidRDefault="001F6696" w:rsidP="001F6696">
      <w:pPr>
        <w:suppressAutoHyphens/>
        <w:autoSpaceDE w:val="0"/>
        <w:autoSpaceDN w:val="0"/>
        <w:adjustRightInd w:val="0"/>
        <w:spacing w:after="240" w:line="260" w:lineRule="exact"/>
        <w:textAlignment w:val="center"/>
        <w:rPr>
          <w:rFonts w:ascii="Arial" w:hAnsi="Arial" w:cs="Arial"/>
          <w:sz w:val="20"/>
          <w:szCs w:val="28"/>
        </w:rPr>
      </w:pPr>
    </w:p>
    <w:p w14:paraId="3134E173" w14:textId="77777777" w:rsidR="001F6696" w:rsidRPr="001F6696" w:rsidRDefault="001F6696" w:rsidP="001F6696">
      <w:pPr>
        <w:keepNext/>
        <w:keepLines/>
        <w:spacing w:before="40" w:line="360" w:lineRule="auto"/>
        <w:outlineLvl w:val="2"/>
        <w:rPr>
          <w:rFonts w:ascii="Arial" w:eastAsiaTheme="majorEastAsia" w:hAnsi="Arial" w:cstheme="majorBidi"/>
          <w:b/>
          <w:bCs/>
          <w:szCs w:val="28"/>
        </w:rPr>
      </w:pPr>
      <w:r w:rsidRPr="001F6696">
        <w:rPr>
          <w:rFonts w:ascii="Arial" w:eastAsiaTheme="majorEastAsia" w:hAnsi="Arial" w:cstheme="majorBidi"/>
          <w:b/>
          <w:bCs/>
        </w:rPr>
        <w:t>Restrictive orders for Category 1 offenders</w:t>
      </w:r>
    </w:p>
    <w:tbl>
      <w:tblPr>
        <w:tblStyle w:val="Style5"/>
        <w:tblW w:w="0" w:type="auto"/>
        <w:tblLook w:val="04A0" w:firstRow="1" w:lastRow="0" w:firstColumn="1" w:lastColumn="0" w:noHBand="0" w:noVBand="1"/>
      </w:tblPr>
      <w:tblGrid>
        <w:gridCol w:w="8359"/>
        <w:gridCol w:w="2096"/>
      </w:tblGrid>
      <w:tr w:rsidR="001F6696" w:rsidRPr="001F6696" w14:paraId="03BDAF44" w14:textId="77777777" w:rsidTr="00570366">
        <w:tc>
          <w:tcPr>
            <w:cnfStyle w:val="001000000000" w:firstRow="0" w:lastRow="0" w:firstColumn="1" w:lastColumn="0" w:oddVBand="0" w:evenVBand="0" w:oddHBand="0" w:evenHBand="0" w:firstRowFirstColumn="0" w:firstRowLastColumn="0" w:lastRowFirstColumn="0" w:lastRowLastColumn="0"/>
            <w:tcW w:w="8359" w:type="dxa"/>
          </w:tcPr>
          <w:p w14:paraId="54B9BB17" w14:textId="77777777" w:rsidR="001F6696" w:rsidRPr="001F6696" w:rsidRDefault="001F6696" w:rsidP="001F6696">
            <w:pPr>
              <w:suppressAutoHyphens/>
              <w:autoSpaceDE w:val="0"/>
              <w:autoSpaceDN w:val="0"/>
              <w:adjustRightInd w:val="0"/>
              <w:spacing w:before="30" w:after="30" w:line="260" w:lineRule="exact"/>
              <w:textAlignment w:val="center"/>
              <w:rPr>
                <w:color w:val="000000" w:themeColor="text1"/>
              </w:rPr>
            </w:pPr>
            <w:r w:rsidRPr="001F6696">
              <w:rPr>
                <w:color w:val="000000" w:themeColor="text1"/>
              </w:rPr>
              <w:t>Sexual Harm Prevention Order (SHPO)</w:t>
            </w:r>
          </w:p>
        </w:tc>
        <w:tc>
          <w:tcPr>
            <w:tcW w:w="2096" w:type="dxa"/>
          </w:tcPr>
          <w:p w14:paraId="744B31AD" w14:textId="493DFC22" w:rsidR="001F6696" w:rsidRPr="00E7753E" w:rsidRDefault="00E7753E"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7753E">
              <w:rPr>
                <w:color w:val="000000" w:themeColor="text1"/>
                <w:sz w:val="20"/>
                <w:szCs w:val="20"/>
              </w:rPr>
              <w:t>95</w:t>
            </w:r>
          </w:p>
        </w:tc>
      </w:tr>
      <w:tr w:rsidR="001F6696" w:rsidRPr="001F6696" w14:paraId="2A4C528C" w14:textId="77777777" w:rsidTr="00570366">
        <w:tc>
          <w:tcPr>
            <w:cnfStyle w:val="001000000000" w:firstRow="0" w:lastRow="0" w:firstColumn="1" w:lastColumn="0" w:oddVBand="0" w:evenVBand="0" w:oddHBand="0" w:evenHBand="0" w:firstRowFirstColumn="0" w:firstRowLastColumn="0" w:lastRowFirstColumn="0" w:lastRowLastColumn="0"/>
            <w:tcW w:w="8359" w:type="dxa"/>
          </w:tcPr>
          <w:p w14:paraId="1EF96918" w14:textId="77777777" w:rsidR="001F6696" w:rsidRPr="001F6696" w:rsidRDefault="001F6696" w:rsidP="001F6696">
            <w:pPr>
              <w:suppressAutoHyphens/>
              <w:autoSpaceDE w:val="0"/>
              <w:autoSpaceDN w:val="0"/>
              <w:adjustRightInd w:val="0"/>
              <w:spacing w:before="30" w:after="30" w:line="260" w:lineRule="exact"/>
              <w:textAlignment w:val="center"/>
              <w:rPr>
                <w:color w:val="000000" w:themeColor="text1"/>
              </w:rPr>
            </w:pPr>
            <w:r w:rsidRPr="001F6696">
              <w:rPr>
                <w:color w:val="000000" w:themeColor="text1"/>
              </w:rPr>
              <w:t>SHPO with foreign travel restriction</w:t>
            </w:r>
          </w:p>
        </w:tc>
        <w:tc>
          <w:tcPr>
            <w:tcW w:w="2096" w:type="dxa"/>
          </w:tcPr>
          <w:p w14:paraId="614189B2" w14:textId="69FE8A07" w:rsidR="001F6696" w:rsidRPr="00E7753E" w:rsidRDefault="00E7753E"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7753E">
              <w:rPr>
                <w:color w:val="000000" w:themeColor="text1"/>
                <w:sz w:val="20"/>
                <w:szCs w:val="20"/>
              </w:rPr>
              <w:t>0</w:t>
            </w:r>
          </w:p>
        </w:tc>
      </w:tr>
      <w:tr w:rsidR="001F6696" w:rsidRPr="001F6696" w14:paraId="41FFF02E" w14:textId="77777777" w:rsidTr="00570366">
        <w:tc>
          <w:tcPr>
            <w:cnfStyle w:val="001000000000" w:firstRow="0" w:lastRow="0" w:firstColumn="1" w:lastColumn="0" w:oddVBand="0" w:evenVBand="0" w:oddHBand="0" w:evenHBand="0" w:firstRowFirstColumn="0" w:firstRowLastColumn="0" w:lastRowFirstColumn="0" w:lastRowLastColumn="0"/>
            <w:tcW w:w="8359" w:type="dxa"/>
          </w:tcPr>
          <w:p w14:paraId="4D079961" w14:textId="77777777" w:rsidR="001F6696" w:rsidRPr="001F6696" w:rsidRDefault="001F6696" w:rsidP="001F6696">
            <w:pPr>
              <w:suppressAutoHyphens/>
              <w:autoSpaceDE w:val="0"/>
              <w:autoSpaceDN w:val="0"/>
              <w:adjustRightInd w:val="0"/>
              <w:spacing w:before="30" w:after="30" w:line="260" w:lineRule="exact"/>
              <w:textAlignment w:val="center"/>
              <w:rPr>
                <w:color w:val="000000" w:themeColor="text1"/>
              </w:rPr>
            </w:pPr>
            <w:r w:rsidRPr="001F6696">
              <w:rPr>
                <w:color w:val="000000" w:themeColor="text1"/>
              </w:rPr>
              <w:t>Notification Order</w:t>
            </w:r>
          </w:p>
        </w:tc>
        <w:tc>
          <w:tcPr>
            <w:tcW w:w="2096" w:type="dxa"/>
          </w:tcPr>
          <w:p w14:paraId="3793F3E2" w14:textId="65021B0A" w:rsidR="001F6696" w:rsidRPr="00E7753E" w:rsidRDefault="00E7753E"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7753E">
              <w:rPr>
                <w:color w:val="000000" w:themeColor="text1"/>
                <w:sz w:val="20"/>
                <w:szCs w:val="20"/>
              </w:rPr>
              <w:t>3</w:t>
            </w:r>
          </w:p>
        </w:tc>
      </w:tr>
    </w:tbl>
    <w:p w14:paraId="12ADEEB4" w14:textId="77777777" w:rsidR="001F6696" w:rsidRPr="001F6696" w:rsidRDefault="001F6696" w:rsidP="001F6696">
      <w:pPr>
        <w:suppressAutoHyphens/>
        <w:autoSpaceDE w:val="0"/>
        <w:autoSpaceDN w:val="0"/>
        <w:adjustRightInd w:val="0"/>
        <w:spacing w:after="240" w:line="260" w:lineRule="exact"/>
        <w:textAlignment w:val="center"/>
        <w:rPr>
          <w:rFonts w:ascii="Arial" w:hAnsi="Arial" w:cs="Arial"/>
        </w:rPr>
      </w:pPr>
    </w:p>
    <w:tbl>
      <w:tblPr>
        <w:tblStyle w:val="Style5"/>
        <w:tblW w:w="0" w:type="auto"/>
        <w:tblLook w:val="01E0" w:firstRow="1" w:lastRow="1" w:firstColumn="1" w:lastColumn="1" w:noHBand="0" w:noVBand="0"/>
      </w:tblPr>
      <w:tblGrid>
        <w:gridCol w:w="8368"/>
        <w:gridCol w:w="2087"/>
      </w:tblGrid>
      <w:tr w:rsidR="001F6696" w:rsidRPr="00E7753E" w14:paraId="56C0ACC2" w14:textId="77777777" w:rsidTr="001F6696">
        <w:tc>
          <w:tcPr>
            <w:cnfStyle w:val="001000000000" w:firstRow="0" w:lastRow="0" w:firstColumn="1" w:lastColumn="0" w:oddVBand="0" w:evenVBand="0" w:oddHBand="0" w:evenHBand="0" w:firstRowFirstColumn="0" w:firstRowLastColumn="0" w:lastRowFirstColumn="0" w:lastRowLastColumn="0"/>
            <w:tcW w:w="8466" w:type="dxa"/>
          </w:tcPr>
          <w:p w14:paraId="35AB28A3" w14:textId="77777777" w:rsidR="001F6696" w:rsidRPr="001F6696" w:rsidRDefault="001F6696" w:rsidP="001F6696">
            <w:pPr>
              <w:keepNext/>
              <w:keepLines/>
              <w:outlineLvl w:val="2"/>
              <w:rPr>
                <w:rFonts w:eastAsiaTheme="majorEastAsia" w:cstheme="majorBidi"/>
                <w:color w:val="000000" w:themeColor="text1"/>
              </w:rPr>
            </w:pPr>
            <w:r w:rsidRPr="001F6696">
              <w:rPr>
                <w:rFonts w:eastAsiaTheme="majorEastAsia" w:cstheme="majorBidi"/>
                <w:color w:val="000000" w:themeColor="text1"/>
              </w:rPr>
              <w:t xml:space="preserve">Number of individuals who became subject to sex offender notification requirements following a breach(es) of a Sexual Risk Order (SRO) </w:t>
            </w:r>
          </w:p>
        </w:tc>
        <w:tc>
          <w:tcPr>
            <w:tcW w:w="2113" w:type="dxa"/>
          </w:tcPr>
          <w:p w14:paraId="0242C65E" w14:textId="13A835B8" w:rsidR="001F6696" w:rsidRPr="00E7753E" w:rsidRDefault="00E7753E"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7753E">
              <w:rPr>
                <w:color w:val="000000" w:themeColor="text1"/>
                <w:sz w:val="20"/>
                <w:szCs w:val="20"/>
              </w:rPr>
              <w:t>0</w:t>
            </w:r>
          </w:p>
        </w:tc>
      </w:tr>
    </w:tbl>
    <w:p w14:paraId="38B0798D" w14:textId="2E4FCA7C" w:rsidR="001F6696" w:rsidRDefault="001F6696" w:rsidP="001F6696">
      <w:pPr>
        <w:rPr>
          <w:rFonts w:ascii="Times New Roman" w:hAnsi="Times New Roman" w:cs="Times New Roman"/>
        </w:rPr>
      </w:pPr>
    </w:p>
    <w:p w14:paraId="4617B6F6" w14:textId="16D2D2E3" w:rsidR="001F6696" w:rsidRDefault="001F6696" w:rsidP="001F6696">
      <w:pPr>
        <w:rPr>
          <w:rFonts w:ascii="Times New Roman" w:hAnsi="Times New Roman" w:cs="Times New Roman"/>
        </w:rPr>
      </w:pPr>
    </w:p>
    <w:p w14:paraId="30F107F0" w14:textId="29CA41E1" w:rsidR="001F6696" w:rsidRDefault="001F6696" w:rsidP="001F6696">
      <w:pPr>
        <w:rPr>
          <w:rFonts w:ascii="Times New Roman" w:hAnsi="Times New Roman" w:cs="Times New Roman"/>
        </w:rPr>
      </w:pPr>
    </w:p>
    <w:p w14:paraId="4F4E1759" w14:textId="6021F403" w:rsidR="001F6696" w:rsidRDefault="001F6696" w:rsidP="001F6696">
      <w:pPr>
        <w:rPr>
          <w:rFonts w:ascii="Times New Roman" w:hAnsi="Times New Roman" w:cs="Times New Roman"/>
        </w:rPr>
      </w:pPr>
    </w:p>
    <w:p w14:paraId="119B132D" w14:textId="77777777" w:rsidR="00E7753E" w:rsidRDefault="00E7753E" w:rsidP="001F6696">
      <w:pPr>
        <w:rPr>
          <w:rFonts w:ascii="Times New Roman" w:hAnsi="Times New Roman" w:cs="Times New Roman"/>
        </w:rPr>
      </w:pPr>
    </w:p>
    <w:p w14:paraId="6DC228F8" w14:textId="77777777" w:rsidR="001F6696" w:rsidRPr="001F6696" w:rsidRDefault="001F6696" w:rsidP="001F6696">
      <w:pPr>
        <w:rPr>
          <w:rFonts w:ascii="Times New Roman" w:hAnsi="Times New Roman" w:cs="Times New Roman"/>
        </w:rPr>
      </w:pPr>
    </w:p>
    <w:p w14:paraId="6533F65B" w14:textId="77777777" w:rsidR="001F6696" w:rsidRPr="001F6696" w:rsidRDefault="001F6696" w:rsidP="001F6696">
      <w:pPr>
        <w:keepNext/>
        <w:keepLines/>
        <w:spacing w:before="40" w:line="360" w:lineRule="auto"/>
        <w:outlineLvl w:val="2"/>
        <w:rPr>
          <w:rFonts w:ascii="Arial" w:eastAsiaTheme="majorEastAsia" w:hAnsi="Arial" w:cstheme="majorBidi"/>
          <w:b/>
          <w:bCs/>
          <w:szCs w:val="28"/>
        </w:rPr>
      </w:pPr>
      <w:r w:rsidRPr="001F6696">
        <w:rPr>
          <w:rFonts w:ascii="Arial" w:eastAsiaTheme="majorEastAsia" w:hAnsi="Arial" w:cstheme="majorBidi"/>
          <w:b/>
          <w:bCs/>
        </w:rPr>
        <w:lastRenderedPageBreak/>
        <w:t>Level 2 and 3 individuals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1F6696" w:rsidRPr="001F6696" w14:paraId="1C1186C9" w14:textId="77777777" w:rsidTr="005703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57EDCA0"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 xml:space="preserve">Returned to custody for breach of </w:t>
            </w:r>
            <w:proofErr w:type="spellStart"/>
            <w:r w:rsidRPr="001F6696">
              <w:rPr>
                <w:b w:val="0"/>
                <w:bCs w:val="0"/>
                <w:color w:val="000000" w:themeColor="text1"/>
              </w:rPr>
              <w:t>licence</w:t>
            </w:r>
            <w:proofErr w:type="spellEnd"/>
          </w:p>
        </w:tc>
        <w:tc>
          <w:tcPr>
            <w:tcW w:w="2185" w:type="dxa"/>
          </w:tcPr>
          <w:p w14:paraId="3EE29841"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Category 1:</w:t>
            </w:r>
            <w:r w:rsidRPr="001F6696">
              <w:rPr>
                <w:b w:val="0"/>
                <w:bCs w:val="0"/>
                <w:color w:val="000000" w:themeColor="text1"/>
              </w:rPr>
              <w:br/>
              <w:t>Subject to notification requirements</w:t>
            </w:r>
          </w:p>
        </w:tc>
        <w:tc>
          <w:tcPr>
            <w:tcW w:w="2186" w:type="dxa"/>
          </w:tcPr>
          <w:p w14:paraId="15F7BCF3"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Category 2:</w:t>
            </w:r>
            <w:r w:rsidRPr="001F6696">
              <w:rPr>
                <w:b w:val="0"/>
                <w:bCs w:val="0"/>
                <w:color w:val="000000" w:themeColor="text1"/>
              </w:rPr>
              <w:br/>
              <w:t>Violent</w:t>
            </w:r>
            <w:r w:rsidRPr="001F6696">
              <w:rPr>
                <w:b w:val="0"/>
                <w:bCs w:val="0"/>
                <w:color w:val="000000" w:themeColor="text1"/>
              </w:rPr>
              <w:br/>
              <w:t>offenders</w:t>
            </w:r>
          </w:p>
        </w:tc>
        <w:tc>
          <w:tcPr>
            <w:tcW w:w="2186" w:type="dxa"/>
          </w:tcPr>
          <w:p w14:paraId="5C1866C1"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Category 3:</w:t>
            </w:r>
            <w:r w:rsidRPr="001F6696">
              <w:rPr>
                <w:b w:val="0"/>
                <w:bCs w:val="0"/>
                <w:color w:val="000000" w:themeColor="text1"/>
              </w:rPr>
              <w:br/>
              <w:t>Other dangerous</w:t>
            </w:r>
            <w:r w:rsidRPr="001F6696">
              <w:rPr>
                <w:b w:val="0"/>
                <w:bCs w:val="0"/>
                <w:color w:val="000000" w:themeColor="text1"/>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2F2AE7F6" w14:textId="77777777" w:rsidR="001F6696" w:rsidRPr="001F6696" w:rsidRDefault="001F6696" w:rsidP="001F6696">
            <w:pPr>
              <w:suppressAutoHyphens/>
              <w:autoSpaceDE w:val="0"/>
              <w:autoSpaceDN w:val="0"/>
              <w:adjustRightInd w:val="0"/>
              <w:spacing w:before="30" w:after="30" w:line="260" w:lineRule="exact"/>
              <w:jc w:val="right"/>
              <w:textAlignment w:val="center"/>
              <w:rPr>
                <w:b w:val="0"/>
                <w:bCs w:val="0"/>
                <w:color w:val="000000" w:themeColor="text1"/>
              </w:rPr>
            </w:pPr>
            <w:r w:rsidRPr="001F6696">
              <w:rPr>
                <w:b w:val="0"/>
                <w:bCs w:val="0"/>
                <w:color w:val="000000" w:themeColor="text1"/>
              </w:rPr>
              <w:t>Total</w:t>
            </w:r>
          </w:p>
        </w:tc>
      </w:tr>
      <w:tr w:rsidR="00E7753E" w:rsidRPr="001F6696" w14:paraId="473536E4" w14:textId="77777777" w:rsidTr="00570366">
        <w:tc>
          <w:tcPr>
            <w:cnfStyle w:val="001000000000" w:firstRow="0" w:lastRow="0" w:firstColumn="1" w:lastColumn="0" w:oddVBand="0" w:evenVBand="0" w:oddHBand="0" w:evenHBand="0" w:firstRowFirstColumn="0" w:firstRowLastColumn="0" w:lastRowFirstColumn="0" w:lastRowLastColumn="0"/>
            <w:tcW w:w="1742" w:type="dxa"/>
          </w:tcPr>
          <w:p w14:paraId="676C8C42" w14:textId="77777777" w:rsidR="00E7753E" w:rsidRPr="001F6696" w:rsidRDefault="00E7753E" w:rsidP="00E7753E">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Level 2</w:t>
            </w:r>
          </w:p>
        </w:tc>
        <w:tc>
          <w:tcPr>
            <w:tcW w:w="2185" w:type="dxa"/>
          </w:tcPr>
          <w:p w14:paraId="4A4DA581" w14:textId="524506F6"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3</w:t>
            </w:r>
          </w:p>
        </w:tc>
        <w:tc>
          <w:tcPr>
            <w:tcW w:w="2186" w:type="dxa"/>
          </w:tcPr>
          <w:p w14:paraId="1FD3246D" w14:textId="3D28F877"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5</w:t>
            </w:r>
          </w:p>
        </w:tc>
        <w:tc>
          <w:tcPr>
            <w:tcW w:w="2186" w:type="dxa"/>
          </w:tcPr>
          <w:p w14:paraId="022925EB" w14:textId="67D0B2B0"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17</w:t>
            </w:r>
          </w:p>
        </w:tc>
        <w:tc>
          <w:tcPr>
            <w:cnfStyle w:val="000100000000" w:firstRow="0" w:lastRow="0" w:firstColumn="0" w:lastColumn="1" w:oddVBand="0" w:evenVBand="0" w:oddHBand="0" w:evenHBand="0" w:firstRowFirstColumn="0" w:firstRowLastColumn="0" w:lastRowFirstColumn="0" w:lastRowLastColumn="0"/>
            <w:tcW w:w="2186" w:type="dxa"/>
          </w:tcPr>
          <w:p w14:paraId="7FA0644F" w14:textId="4C63F263" w:rsidR="00E7753E" w:rsidRPr="00E7753E" w:rsidRDefault="00E7753E" w:rsidP="00E7753E">
            <w:pPr>
              <w:suppressAutoHyphens/>
              <w:autoSpaceDE w:val="0"/>
              <w:autoSpaceDN w:val="0"/>
              <w:adjustRightInd w:val="0"/>
              <w:spacing w:before="30" w:after="30" w:line="260" w:lineRule="exact"/>
              <w:jc w:val="right"/>
              <w:textAlignment w:val="center"/>
              <w:rPr>
                <w:b w:val="0"/>
                <w:color w:val="000000" w:themeColor="text1"/>
              </w:rPr>
            </w:pPr>
            <w:r w:rsidRPr="00E7753E">
              <w:rPr>
                <w:b w:val="0"/>
                <w:noProof/>
              </w:rPr>
              <w:t>25</w:t>
            </w:r>
          </w:p>
        </w:tc>
      </w:tr>
      <w:tr w:rsidR="00E7753E" w:rsidRPr="001F6696" w14:paraId="5EC3A7AF" w14:textId="77777777" w:rsidTr="00570366">
        <w:tc>
          <w:tcPr>
            <w:cnfStyle w:val="001000000000" w:firstRow="0" w:lastRow="0" w:firstColumn="1" w:lastColumn="0" w:oddVBand="0" w:evenVBand="0" w:oddHBand="0" w:evenHBand="0" w:firstRowFirstColumn="0" w:firstRowLastColumn="0" w:lastRowFirstColumn="0" w:lastRowLastColumn="0"/>
            <w:tcW w:w="1742" w:type="dxa"/>
          </w:tcPr>
          <w:p w14:paraId="5F87B3E6" w14:textId="77777777" w:rsidR="00E7753E" w:rsidRPr="001F6696" w:rsidRDefault="00E7753E" w:rsidP="00E7753E">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Level 3</w:t>
            </w:r>
          </w:p>
        </w:tc>
        <w:tc>
          <w:tcPr>
            <w:tcW w:w="2185" w:type="dxa"/>
          </w:tcPr>
          <w:p w14:paraId="740D6E0C" w14:textId="3156A1BF"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0</w:t>
            </w:r>
          </w:p>
        </w:tc>
        <w:tc>
          <w:tcPr>
            <w:tcW w:w="2186" w:type="dxa"/>
          </w:tcPr>
          <w:p w14:paraId="4243A6FD" w14:textId="6387F7CC"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0</w:t>
            </w:r>
          </w:p>
        </w:tc>
        <w:tc>
          <w:tcPr>
            <w:tcW w:w="2186" w:type="dxa"/>
          </w:tcPr>
          <w:p w14:paraId="386A0FA7" w14:textId="723A3E06" w:rsidR="00E7753E" w:rsidRPr="00E7753E" w:rsidRDefault="00E7753E" w:rsidP="00E7753E">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bCs/>
                <w:color w:val="000000" w:themeColor="text1"/>
              </w:rPr>
            </w:pPr>
            <w:r w:rsidRPr="00E7753E">
              <w:rPr>
                <w:b w:val="0"/>
                <w:bCs/>
                <w:noProof/>
              </w:rPr>
              <w:t>0</w:t>
            </w:r>
          </w:p>
        </w:tc>
        <w:tc>
          <w:tcPr>
            <w:cnfStyle w:val="000100000000" w:firstRow="0" w:lastRow="0" w:firstColumn="0" w:lastColumn="1" w:oddVBand="0" w:evenVBand="0" w:oddHBand="0" w:evenHBand="0" w:firstRowFirstColumn="0" w:firstRowLastColumn="0" w:lastRowFirstColumn="0" w:lastRowLastColumn="0"/>
            <w:tcW w:w="2186" w:type="dxa"/>
          </w:tcPr>
          <w:p w14:paraId="57E7480B" w14:textId="3F6A621E" w:rsidR="00E7753E" w:rsidRPr="00E7753E" w:rsidRDefault="00E7753E" w:rsidP="00E7753E">
            <w:pPr>
              <w:suppressAutoHyphens/>
              <w:autoSpaceDE w:val="0"/>
              <w:autoSpaceDN w:val="0"/>
              <w:adjustRightInd w:val="0"/>
              <w:spacing w:before="30" w:after="30" w:line="260" w:lineRule="exact"/>
              <w:jc w:val="right"/>
              <w:textAlignment w:val="center"/>
              <w:rPr>
                <w:b w:val="0"/>
                <w:color w:val="000000" w:themeColor="text1"/>
              </w:rPr>
            </w:pPr>
            <w:r w:rsidRPr="00E7753E">
              <w:rPr>
                <w:b w:val="0"/>
                <w:noProof/>
              </w:rPr>
              <w:t>0</w:t>
            </w:r>
          </w:p>
        </w:tc>
      </w:tr>
      <w:tr w:rsidR="00E7753E" w:rsidRPr="001F6696" w14:paraId="2950CBD6" w14:textId="77777777" w:rsidTr="0057036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304CEAD" w14:textId="77777777" w:rsidR="00E7753E" w:rsidRPr="001F6696" w:rsidRDefault="00E7753E" w:rsidP="00E7753E">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Total</w:t>
            </w:r>
          </w:p>
        </w:tc>
        <w:tc>
          <w:tcPr>
            <w:tcW w:w="2185" w:type="dxa"/>
          </w:tcPr>
          <w:p w14:paraId="3A797E1E" w14:textId="6F42EF23" w:rsidR="00E7753E" w:rsidRPr="00E7753E" w:rsidRDefault="00E7753E" w:rsidP="00E7753E">
            <w:pPr>
              <w:suppressAutoHyphens/>
              <w:autoSpaceDE w:val="0"/>
              <w:autoSpaceDN w:val="0"/>
              <w:adjustRightInd w:val="0"/>
              <w:spacing w:before="30" w:after="30" w:line="260" w:lineRule="exact"/>
              <w:jc w:val="right"/>
              <w:textAlignment w:val="center"/>
              <w:cnfStyle w:val="010000000000" w:firstRow="0" w:lastRow="1" w:firstColumn="0" w:lastColumn="0" w:oddVBand="0" w:evenVBand="0" w:oddHBand="0" w:evenHBand="0" w:firstRowFirstColumn="0" w:firstRowLastColumn="0" w:lastRowFirstColumn="0" w:lastRowLastColumn="0"/>
              <w:rPr>
                <w:b w:val="0"/>
                <w:color w:val="000000" w:themeColor="text1"/>
              </w:rPr>
            </w:pPr>
            <w:r w:rsidRPr="00E7753E">
              <w:fldChar w:fldCharType="begin"/>
            </w:r>
            <w:r w:rsidRPr="00E7753E">
              <w:rPr>
                <w:b w:val="0"/>
              </w:rPr>
              <w:instrText xml:space="preserve"> =SUM(ABOVE) </w:instrText>
            </w:r>
            <w:r w:rsidRPr="00E7753E">
              <w:fldChar w:fldCharType="separate"/>
            </w:r>
            <w:r w:rsidRPr="00E7753E">
              <w:rPr>
                <w:b w:val="0"/>
                <w:noProof/>
              </w:rPr>
              <w:t>3</w:t>
            </w:r>
            <w:r w:rsidRPr="00E7753E">
              <w:fldChar w:fldCharType="end"/>
            </w:r>
          </w:p>
        </w:tc>
        <w:tc>
          <w:tcPr>
            <w:tcW w:w="2186" w:type="dxa"/>
          </w:tcPr>
          <w:p w14:paraId="61E8125F" w14:textId="75DD1489" w:rsidR="00E7753E" w:rsidRPr="00E7753E" w:rsidRDefault="00E7753E" w:rsidP="00E7753E">
            <w:pPr>
              <w:suppressAutoHyphens/>
              <w:autoSpaceDE w:val="0"/>
              <w:autoSpaceDN w:val="0"/>
              <w:adjustRightInd w:val="0"/>
              <w:spacing w:before="30" w:after="30" w:line="260" w:lineRule="exact"/>
              <w:jc w:val="right"/>
              <w:textAlignment w:val="center"/>
              <w:cnfStyle w:val="010000000000" w:firstRow="0" w:lastRow="1" w:firstColumn="0" w:lastColumn="0" w:oddVBand="0" w:evenVBand="0" w:oddHBand="0" w:evenHBand="0" w:firstRowFirstColumn="0" w:firstRowLastColumn="0" w:lastRowFirstColumn="0" w:lastRowLastColumn="0"/>
              <w:rPr>
                <w:b w:val="0"/>
                <w:color w:val="000000" w:themeColor="text1"/>
              </w:rPr>
            </w:pPr>
            <w:r w:rsidRPr="00E7753E">
              <w:fldChar w:fldCharType="begin"/>
            </w:r>
            <w:r w:rsidRPr="00E7753E">
              <w:rPr>
                <w:b w:val="0"/>
              </w:rPr>
              <w:instrText xml:space="preserve"> =SUM(ABOVE) </w:instrText>
            </w:r>
            <w:r w:rsidRPr="00E7753E">
              <w:fldChar w:fldCharType="separate"/>
            </w:r>
            <w:r w:rsidRPr="00E7753E">
              <w:rPr>
                <w:b w:val="0"/>
                <w:noProof/>
              </w:rPr>
              <w:t>5</w:t>
            </w:r>
            <w:r w:rsidRPr="00E7753E">
              <w:fldChar w:fldCharType="end"/>
            </w:r>
          </w:p>
        </w:tc>
        <w:tc>
          <w:tcPr>
            <w:tcW w:w="2186" w:type="dxa"/>
          </w:tcPr>
          <w:p w14:paraId="1F15BFAC" w14:textId="3D69D1AB" w:rsidR="00E7753E" w:rsidRPr="00E7753E" w:rsidRDefault="00E7753E" w:rsidP="00E7753E">
            <w:pPr>
              <w:suppressAutoHyphens/>
              <w:autoSpaceDE w:val="0"/>
              <w:autoSpaceDN w:val="0"/>
              <w:adjustRightInd w:val="0"/>
              <w:spacing w:before="30" w:after="30" w:line="260" w:lineRule="exact"/>
              <w:jc w:val="right"/>
              <w:textAlignment w:val="center"/>
              <w:cnfStyle w:val="010000000000" w:firstRow="0" w:lastRow="1" w:firstColumn="0" w:lastColumn="0" w:oddVBand="0" w:evenVBand="0" w:oddHBand="0" w:evenHBand="0" w:firstRowFirstColumn="0" w:firstRowLastColumn="0" w:lastRowFirstColumn="0" w:lastRowLastColumn="0"/>
              <w:rPr>
                <w:b w:val="0"/>
                <w:color w:val="000000" w:themeColor="text1"/>
              </w:rPr>
            </w:pPr>
            <w:r w:rsidRPr="00E7753E">
              <w:fldChar w:fldCharType="begin"/>
            </w:r>
            <w:r w:rsidRPr="00E7753E">
              <w:rPr>
                <w:b w:val="0"/>
              </w:rPr>
              <w:instrText xml:space="preserve"> =SUM(ABOVE) </w:instrText>
            </w:r>
            <w:r w:rsidRPr="00E7753E">
              <w:fldChar w:fldCharType="separate"/>
            </w:r>
            <w:r w:rsidRPr="00E7753E">
              <w:rPr>
                <w:b w:val="0"/>
                <w:noProof/>
              </w:rPr>
              <w:t>17</w:t>
            </w:r>
            <w:r w:rsidRPr="00E7753E">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2066F850" w14:textId="1F9D5761" w:rsidR="00E7753E" w:rsidRPr="00E7753E" w:rsidRDefault="00E7753E" w:rsidP="00E7753E">
            <w:pPr>
              <w:suppressAutoHyphens/>
              <w:autoSpaceDE w:val="0"/>
              <w:autoSpaceDN w:val="0"/>
              <w:adjustRightInd w:val="0"/>
              <w:spacing w:before="30" w:after="30" w:line="260" w:lineRule="exact"/>
              <w:jc w:val="right"/>
              <w:textAlignment w:val="center"/>
              <w:rPr>
                <w:b w:val="0"/>
                <w:color w:val="000000" w:themeColor="text1"/>
              </w:rPr>
            </w:pPr>
            <w:r w:rsidRPr="00E7753E">
              <w:rPr>
                <w:b w:val="0"/>
                <w:noProof/>
              </w:rPr>
              <w:t>25</w:t>
            </w:r>
          </w:p>
        </w:tc>
      </w:tr>
    </w:tbl>
    <w:p w14:paraId="1BA8A21E" w14:textId="77777777" w:rsidR="001F6696" w:rsidRPr="001F6696" w:rsidRDefault="001F6696" w:rsidP="001F6696">
      <w:pPr>
        <w:rPr>
          <w:rFonts w:ascii="Times New Roman" w:hAnsi="Times New Roman" w:cs="Times New Roman"/>
        </w:rPr>
      </w:pPr>
    </w:p>
    <w:tbl>
      <w:tblPr>
        <w:tblStyle w:val="Style4"/>
        <w:tblW w:w="10485" w:type="dxa"/>
        <w:tblLook w:val="01E0" w:firstRow="1" w:lastRow="1" w:firstColumn="1" w:lastColumn="1" w:noHBand="0" w:noVBand="0"/>
      </w:tblPr>
      <w:tblGrid>
        <w:gridCol w:w="8359"/>
        <w:gridCol w:w="2126"/>
      </w:tblGrid>
      <w:tr w:rsidR="001F6696" w:rsidRPr="001F6696" w14:paraId="45DC9199" w14:textId="77777777" w:rsidTr="005703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F60166A"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1448BF38" w14:textId="77777777" w:rsidR="001F6696" w:rsidRPr="001F6696" w:rsidRDefault="001F6696" w:rsidP="001F6696">
            <w:pPr>
              <w:suppressAutoHyphens/>
              <w:autoSpaceDE w:val="0"/>
              <w:autoSpaceDN w:val="0"/>
              <w:adjustRightInd w:val="0"/>
              <w:spacing w:before="30" w:after="30" w:line="260" w:lineRule="exact"/>
              <w:jc w:val="right"/>
              <w:textAlignment w:val="center"/>
              <w:rPr>
                <w:b w:val="0"/>
                <w:bCs w:val="0"/>
                <w:color w:val="000000" w:themeColor="text1"/>
              </w:rPr>
            </w:pPr>
          </w:p>
        </w:tc>
      </w:tr>
      <w:tr w:rsidR="001F6696" w:rsidRPr="001F6696" w14:paraId="7124EF57" w14:textId="77777777" w:rsidTr="00570366">
        <w:tc>
          <w:tcPr>
            <w:cnfStyle w:val="001000000000" w:firstRow="0" w:lastRow="0" w:firstColumn="1" w:lastColumn="0" w:oddVBand="0" w:evenVBand="0" w:oddHBand="0" w:evenHBand="0" w:firstRowFirstColumn="0" w:firstRowLastColumn="0" w:lastRowFirstColumn="0" w:lastRowLastColumn="0"/>
            <w:tcW w:w="8359" w:type="dxa"/>
          </w:tcPr>
          <w:p w14:paraId="39CA74A6"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26E9C485" w14:textId="4A847B4B" w:rsidR="001F6696" w:rsidRPr="001F6696" w:rsidRDefault="00E7753E" w:rsidP="001F6696">
            <w:pPr>
              <w:suppressAutoHyphens/>
              <w:autoSpaceDE w:val="0"/>
              <w:autoSpaceDN w:val="0"/>
              <w:adjustRightInd w:val="0"/>
              <w:spacing w:before="30" w:after="30" w:line="260" w:lineRule="exact"/>
              <w:jc w:val="right"/>
              <w:textAlignment w:val="center"/>
              <w:rPr>
                <w:b w:val="0"/>
                <w:bCs w:val="0"/>
                <w:color w:val="000000" w:themeColor="text1"/>
              </w:rPr>
            </w:pPr>
            <w:r>
              <w:rPr>
                <w:b w:val="0"/>
                <w:bCs w:val="0"/>
                <w:color w:val="000000" w:themeColor="text1"/>
              </w:rPr>
              <w:t>0</w:t>
            </w:r>
          </w:p>
        </w:tc>
      </w:tr>
      <w:tr w:rsidR="001F6696" w:rsidRPr="001F6696" w14:paraId="71E6B594" w14:textId="77777777" w:rsidTr="00570366">
        <w:tc>
          <w:tcPr>
            <w:cnfStyle w:val="001000000000" w:firstRow="0" w:lastRow="0" w:firstColumn="1" w:lastColumn="0" w:oddVBand="0" w:evenVBand="0" w:oddHBand="0" w:evenHBand="0" w:firstRowFirstColumn="0" w:firstRowLastColumn="0" w:lastRowFirstColumn="0" w:lastRowLastColumn="0"/>
            <w:tcW w:w="8359" w:type="dxa"/>
          </w:tcPr>
          <w:p w14:paraId="30FED252"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3AD7550D" w14:textId="577AB899" w:rsidR="001F6696" w:rsidRPr="001F6696" w:rsidRDefault="00E7753E" w:rsidP="001F6696">
            <w:pPr>
              <w:suppressAutoHyphens/>
              <w:autoSpaceDE w:val="0"/>
              <w:autoSpaceDN w:val="0"/>
              <w:adjustRightInd w:val="0"/>
              <w:spacing w:before="30" w:after="30" w:line="260" w:lineRule="exact"/>
              <w:jc w:val="right"/>
              <w:textAlignment w:val="center"/>
              <w:rPr>
                <w:b w:val="0"/>
                <w:bCs w:val="0"/>
                <w:color w:val="000000" w:themeColor="text1"/>
              </w:rPr>
            </w:pPr>
            <w:r>
              <w:rPr>
                <w:b w:val="0"/>
                <w:bCs w:val="0"/>
                <w:color w:val="000000" w:themeColor="text1"/>
              </w:rPr>
              <w:t>0</w:t>
            </w:r>
          </w:p>
        </w:tc>
      </w:tr>
      <w:tr w:rsidR="001F6696" w:rsidRPr="001F6696" w14:paraId="75DF84FA" w14:textId="77777777" w:rsidTr="0057036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3AD0D126"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7F4654F" w14:textId="1A08A2F2" w:rsidR="001F6696" w:rsidRPr="001F6696" w:rsidRDefault="00E7753E" w:rsidP="001F6696">
            <w:pPr>
              <w:suppressAutoHyphens/>
              <w:autoSpaceDE w:val="0"/>
              <w:autoSpaceDN w:val="0"/>
              <w:adjustRightInd w:val="0"/>
              <w:spacing w:before="30" w:after="30" w:line="260" w:lineRule="exact"/>
              <w:jc w:val="right"/>
              <w:textAlignment w:val="center"/>
              <w:rPr>
                <w:b w:val="0"/>
                <w:bCs w:val="0"/>
                <w:color w:val="000000" w:themeColor="text1"/>
              </w:rPr>
            </w:pPr>
            <w:r>
              <w:rPr>
                <w:b w:val="0"/>
                <w:bCs w:val="0"/>
                <w:color w:val="000000" w:themeColor="text1"/>
              </w:rPr>
              <w:t>0</w:t>
            </w:r>
          </w:p>
        </w:tc>
      </w:tr>
    </w:tbl>
    <w:p w14:paraId="1AFD5FA3" w14:textId="77777777" w:rsidR="001F6696" w:rsidRPr="001F6696" w:rsidRDefault="001F6696" w:rsidP="001F6696">
      <w:pPr>
        <w:suppressAutoHyphens/>
        <w:autoSpaceDE w:val="0"/>
        <w:autoSpaceDN w:val="0"/>
        <w:adjustRightInd w:val="0"/>
        <w:spacing w:after="240" w:line="260" w:lineRule="exact"/>
        <w:textAlignment w:val="center"/>
        <w:rPr>
          <w:rFonts w:ascii="Arial" w:hAnsi="Arial" w:cs="Arial"/>
          <w:sz w:val="20"/>
          <w:szCs w:val="28"/>
        </w:rPr>
      </w:pPr>
    </w:p>
    <w:tbl>
      <w:tblPr>
        <w:tblStyle w:val="Style5"/>
        <w:tblW w:w="0" w:type="auto"/>
        <w:tblLook w:val="01E0" w:firstRow="1" w:lastRow="1" w:firstColumn="1" w:lastColumn="1" w:noHBand="0" w:noVBand="0"/>
      </w:tblPr>
      <w:tblGrid>
        <w:gridCol w:w="8365"/>
        <w:gridCol w:w="2090"/>
      </w:tblGrid>
      <w:tr w:rsidR="001F6696" w:rsidRPr="001F6696" w14:paraId="4FA5CDC9" w14:textId="77777777" w:rsidTr="00570366">
        <w:tc>
          <w:tcPr>
            <w:cnfStyle w:val="001000000000" w:firstRow="0" w:lastRow="0" w:firstColumn="1" w:lastColumn="0" w:oddVBand="0" w:evenVBand="0" w:oddHBand="0" w:evenHBand="0" w:firstRowFirstColumn="0" w:firstRowLastColumn="0" w:lastRowFirstColumn="0" w:lastRowLastColumn="0"/>
            <w:tcW w:w="8466" w:type="dxa"/>
          </w:tcPr>
          <w:p w14:paraId="054AAA97" w14:textId="77777777" w:rsidR="001F6696" w:rsidRPr="001F6696" w:rsidRDefault="001F6696" w:rsidP="001F6696">
            <w:pPr>
              <w:keepNext/>
              <w:keepLines/>
              <w:spacing w:before="40"/>
              <w:outlineLvl w:val="2"/>
              <w:rPr>
                <w:rFonts w:eastAsiaTheme="majorEastAsia" w:cstheme="majorBidi"/>
                <w:color w:val="000000" w:themeColor="text1"/>
              </w:rPr>
            </w:pPr>
            <w:r w:rsidRPr="001F6696">
              <w:rPr>
                <w:rFonts w:eastAsiaTheme="majorEastAsia" w:cstheme="majorBidi"/>
                <w:color w:val="000000" w:themeColor="text1"/>
              </w:rPr>
              <w:t>Total number of individuals subject to sex offender notification requirements per 100,000 population</w:t>
            </w:r>
          </w:p>
        </w:tc>
        <w:tc>
          <w:tcPr>
            <w:tcW w:w="2113" w:type="dxa"/>
          </w:tcPr>
          <w:p w14:paraId="1C7F0314" w14:textId="25EB723E" w:rsidR="001F6696" w:rsidRPr="00E7753E" w:rsidRDefault="00E7753E"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7753E">
              <w:rPr>
                <w:color w:val="000000" w:themeColor="text1"/>
                <w:sz w:val="20"/>
                <w:szCs w:val="20"/>
              </w:rPr>
              <w:t>178</w:t>
            </w:r>
          </w:p>
        </w:tc>
      </w:tr>
    </w:tbl>
    <w:p w14:paraId="26D488B7" w14:textId="77777777" w:rsidR="001F6696" w:rsidRPr="001F6696" w:rsidRDefault="001F6696" w:rsidP="001F6696">
      <w:pPr>
        <w:rPr>
          <w:rFonts w:ascii="Arial" w:hAnsi="Arial" w:cs="Arial"/>
          <w:sz w:val="20"/>
          <w:szCs w:val="20"/>
        </w:rPr>
      </w:pPr>
    </w:p>
    <w:p w14:paraId="428D8F26" w14:textId="20F0FB21" w:rsidR="001F6696" w:rsidRPr="001F6696" w:rsidRDefault="001F6696" w:rsidP="001F6696">
      <w:pPr>
        <w:rPr>
          <w:rFonts w:ascii="Arial" w:hAnsi="Arial" w:cs="Arial"/>
          <w:sz w:val="20"/>
          <w:szCs w:val="20"/>
        </w:rPr>
      </w:pPr>
      <w:r w:rsidRPr="001F6696">
        <w:rPr>
          <w:rFonts w:ascii="Arial" w:hAnsi="Arial" w:cs="Arial"/>
          <w:sz w:val="20"/>
          <w:szCs w:val="20"/>
        </w:rPr>
        <w:t>This figure has been calculated using the mid-202</w:t>
      </w:r>
      <w:r w:rsidR="00E7753E">
        <w:rPr>
          <w:rFonts w:ascii="Arial" w:hAnsi="Arial" w:cs="Arial"/>
          <w:sz w:val="20"/>
          <w:szCs w:val="20"/>
        </w:rPr>
        <w:t>2</w:t>
      </w:r>
      <w:r w:rsidRPr="001F6696">
        <w:rPr>
          <w:rFonts w:ascii="Arial" w:hAnsi="Arial" w:cs="Arial"/>
          <w:sz w:val="20"/>
          <w:szCs w:val="20"/>
        </w:rPr>
        <w:t xml:space="preserve"> estimated resident population, published by the Office for National Statistics (ONS) on 21 December 202</w:t>
      </w:r>
      <w:r w:rsidR="00213B33">
        <w:rPr>
          <w:rFonts w:ascii="Arial" w:hAnsi="Arial" w:cs="Arial"/>
          <w:sz w:val="20"/>
          <w:szCs w:val="20"/>
        </w:rPr>
        <w:t>2</w:t>
      </w:r>
      <w:r w:rsidRPr="001F6696">
        <w:rPr>
          <w:rFonts w:ascii="Arial" w:hAnsi="Arial" w:cs="Arial"/>
          <w:sz w:val="20"/>
          <w:szCs w:val="20"/>
        </w:rPr>
        <w:t xml:space="preserve">, excluding those aged less than ten years of age. </w:t>
      </w:r>
    </w:p>
    <w:p w14:paraId="4BB98743" w14:textId="77777777" w:rsidR="001F6696" w:rsidRPr="001F6696" w:rsidRDefault="001F6696" w:rsidP="001F6696">
      <w:pPr>
        <w:rPr>
          <w:rFonts w:ascii="Arial" w:hAnsi="Arial" w:cs="Arial"/>
          <w:sz w:val="20"/>
          <w:szCs w:val="20"/>
        </w:rPr>
      </w:pPr>
    </w:p>
    <w:p w14:paraId="2786E2BE" w14:textId="52DA935E" w:rsidR="001F6696" w:rsidRPr="001F6696" w:rsidRDefault="001F6696" w:rsidP="001F6696">
      <w:pPr>
        <w:rPr>
          <w:rFonts w:ascii="Arial" w:hAnsi="Arial" w:cs="Arial"/>
          <w:sz w:val="20"/>
          <w:szCs w:val="20"/>
        </w:rPr>
        <w:sectPr w:rsidR="001F6696" w:rsidRPr="001F6696" w:rsidSect="001F6696">
          <w:type w:val="continuous"/>
          <w:pgSz w:w="11905" w:h="16837" w:code="9"/>
          <w:pgMar w:top="720" w:right="720" w:bottom="720" w:left="720" w:header="720" w:footer="567" w:gutter="0"/>
          <w:cols w:space="720"/>
          <w:noEndnote/>
        </w:sectPr>
      </w:pPr>
      <w:r w:rsidRPr="001F6696">
        <w:rPr>
          <w:rFonts w:ascii="Arial" w:hAnsi="Arial" w:cs="Arial"/>
          <w:sz w:val="20"/>
          <w:szCs w:val="20"/>
        </w:rPr>
        <w:t>Consistent with previous publications, this figure should be based on mid-202</w:t>
      </w:r>
      <w:r w:rsidR="00E7753E">
        <w:rPr>
          <w:rFonts w:ascii="Arial" w:hAnsi="Arial" w:cs="Arial"/>
          <w:sz w:val="20"/>
          <w:szCs w:val="20"/>
        </w:rPr>
        <w:t>3</w:t>
      </w:r>
      <w:r w:rsidRPr="001F6696">
        <w:rPr>
          <w:rFonts w:ascii="Arial" w:hAnsi="Arial" w:cs="Arial"/>
          <w:sz w:val="20"/>
          <w:szCs w:val="20"/>
        </w:rPr>
        <w:t xml:space="preserve"> estimated resident population; however, the ONS has changed its publication schedule such that the mid-202</w:t>
      </w:r>
      <w:r w:rsidR="00E7753E">
        <w:rPr>
          <w:rFonts w:ascii="Arial" w:hAnsi="Arial" w:cs="Arial"/>
          <w:sz w:val="20"/>
          <w:szCs w:val="20"/>
        </w:rPr>
        <w:t>3</w:t>
      </w:r>
      <w:r w:rsidRPr="001F6696">
        <w:rPr>
          <w:rFonts w:ascii="Arial" w:hAnsi="Arial" w:cs="Arial"/>
          <w:sz w:val="20"/>
          <w:szCs w:val="20"/>
        </w:rPr>
        <w:t xml:space="preserve"> estimates will be published later this year. As such, the current figure may differ from the corresponding figure based on the mid-202</w:t>
      </w:r>
      <w:r w:rsidR="00E7753E">
        <w:rPr>
          <w:rFonts w:ascii="Arial" w:hAnsi="Arial" w:cs="Arial"/>
          <w:sz w:val="20"/>
          <w:szCs w:val="20"/>
        </w:rPr>
        <w:t>3</w:t>
      </w:r>
      <w:r w:rsidRPr="001F6696">
        <w:rPr>
          <w:rFonts w:ascii="Arial" w:hAnsi="Arial" w:cs="Arial"/>
          <w:sz w:val="20"/>
          <w:szCs w:val="20"/>
        </w:rPr>
        <w:t xml:space="preserve"> estimates.</w:t>
      </w:r>
    </w:p>
    <w:p w14:paraId="6E9DF408" w14:textId="571C1A18" w:rsidR="00332EE6" w:rsidRPr="001F6696" w:rsidRDefault="00332EE6" w:rsidP="00332EE6">
      <w:pPr>
        <w:pStyle w:val="MAPPA-Bodytext"/>
        <w:spacing w:line="280" w:lineRule="exact"/>
        <w:sectPr w:rsidR="00332EE6" w:rsidRPr="001F6696" w:rsidSect="00867C9E">
          <w:footerReference w:type="default" r:id="rId18"/>
          <w:type w:val="continuous"/>
          <w:pgSz w:w="11905" w:h="16837" w:code="9"/>
          <w:pgMar w:top="720" w:right="720" w:bottom="720" w:left="720" w:header="720" w:footer="567" w:gutter="0"/>
          <w:cols w:space="720"/>
          <w:noEndnote/>
        </w:sectPr>
      </w:pPr>
    </w:p>
    <w:p w14:paraId="3CA7D2FD" w14:textId="7C8D5CAB" w:rsidR="00332EE6" w:rsidRPr="00ED25C1" w:rsidRDefault="00332EE6" w:rsidP="00332EE6">
      <w:pPr>
        <w:pStyle w:val="MAPPA-Heaingsection"/>
        <w:rPr>
          <w:color w:val="7030A0"/>
        </w:rPr>
      </w:pPr>
      <w:r w:rsidRPr="00ED25C1">
        <w:rPr>
          <w:color w:val="7030A0"/>
        </w:rPr>
        <w:lastRenderedPageBreak/>
        <w:t>Explanation commentary on statistical tables</w:t>
      </w:r>
    </w:p>
    <w:p w14:paraId="0D5605F6" w14:textId="77777777" w:rsidR="00332EE6" w:rsidRPr="00ED25C1" w:rsidRDefault="00332EE6" w:rsidP="00332EE6">
      <w:pPr>
        <w:pStyle w:val="Default"/>
        <w:pBdr>
          <w:bottom w:val="single" w:sz="4" w:space="1" w:color="007BC3"/>
        </w:pBdr>
        <w:rPr>
          <w:rFonts w:ascii="Arial" w:hAnsi="Arial" w:cs="Arial"/>
          <w:color w:val="FFFFFF"/>
          <w:sz w:val="16"/>
          <w:szCs w:val="16"/>
        </w:rPr>
      </w:pPr>
    </w:p>
    <w:p w14:paraId="382F5DDF" w14:textId="77777777" w:rsidR="00332EE6" w:rsidRPr="00ED25C1" w:rsidRDefault="00332EE6" w:rsidP="00332EE6">
      <w:pPr>
        <w:pStyle w:val="MAPPA-Bodytext"/>
        <w:sectPr w:rsidR="00332EE6" w:rsidRPr="00ED25C1" w:rsidSect="00867C9E">
          <w:footerReference w:type="default" r:id="rId19"/>
          <w:pgSz w:w="11905" w:h="16837" w:code="9"/>
          <w:pgMar w:top="720" w:right="720" w:bottom="720" w:left="720" w:header="720" w:footer="567" w:gutter="0"/>
          <w:cols w:space="720"/>
          <w:noEndnote/>
        </w:sectPr>
      </w:pPr>
    </w:p>
    <w:p w14:paraId="0C311400" w14:textId="77777777" w:rsidR="00332EE6" w:rsidRPr="00ED25C1" w:rsidRDefault="00332EE6" w:rsidP="00332EE6">
      <w:pPr>
        <w:pStyle w:val="MAPPA-Bodytext"/>
      </w:pPr>
    </w:p>
    <w:p w14:paraId="51D8EB43" w14:textId="77777777" w:rsidR="00332EE6" w:rsidRPr="00ED25C1" w:rsidRDefault="00332EE6" w:rsidP="00332EE6">
      <w:pPr>
        <w:pStyle w:val="MAPPA-HeadingPara"/>
        <w:rPr>
          <w:rFonts w:cs="Arial"/>
        </w:rPr>
        <w:sectPr w:rsidR="00332EE6" w:rsidRPr="00ED25C1" w:rsidSect="00867C9E">
          <w:type w:val="continuous"/>
          <w:pgSz w:w="11905" w:h="16837" w:code="9"/>
          <w:pgMar w:top="720" w:right="720" w:bottom="720" w:left="720" w:header="720" w:footer="567" w:gutter="0"/>
          <w:cols w:space="720"/>
          <w:noEndnote/>
        </w:sectPr>
      </w:pPr>
    </w:p>
    <w:p w14:paraId="1D9FE3D3" w14:textId="77777777" w:rsidR="001F6696" w:rsidRPr="001F6696" w:rsidRDefault="001F6696" w:rsidP="001F6696">
      <w:pPr>
        <w:keepNext/>
        <w:keepLines/>
        <w:spacing w:before="40" w:line="360" w:lineRule="auto"/>
        <w:jc w:val="both"/>
        <w:outlineLvl w:val="1"/>
        <w:rPr>
          <w:rFonts w:ascii="Arial" w:eastAsiaTheme="majorEastAsia" w:hAnsi="Arial" w:cstheme="majorBidi"/>
          <w:color w:val="7030A0"/>
          <w:sz w:val="38"/>
          <w:szCs w:val="38"/>
        </w:rPr>
      </w:pPr>
      <w:r w:rsidRPr="001F6696">
        <w:rPr>
          <w:rFonts w:ascii="Arial" w:eastAsiaTheme="majorEastAsia" w:hAnsi="Arial" w:cstheme="majorBidi"/>
          <w:color w:val="7030A0"/>
          <w:sz w:val="38"/>
          <w:szCs w:val="38"/>
        </w:rPr>
        <w:t>MAPPA background</w:t>
      </w:r>
    </w:p>
    <w:p w14:paraId="19F3D1D3" w14:textId="05034658"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hAnsi="Arial" w:cs="Arial"/>
          <w:color w:val="000000"/>
        </w:rPr>
        <w:t>The totals of MAPPA-eligible individuals, broken down by category, reflect the picture on 31 March 2023 (i.e. they are a snapshot). The rest of the data covers the period 1 April 202</w:t>
      </w:r>
      <w:r w:rsidR="00E7753E">
        <w:rPr>
          <w:rFonts w:ascii="Arial" w:hAnsi="Arial" w:cs="Arial"/>
          <w:color w:val="000000"/>
        </w:rPr>
        <w:t>3</w:t>
      </w:r>
      <w:r w:rsidRPr="001F6696">
        <w:rPr>
          <w:rFonts w:ascii="Arial" w:hAnsi="Arial" w:cs="Arial"/>
          <w:color w:val="000000"/>
        </w:rPr>
        <w:t xml:space="preserve"> to 31 March 202</w:t>
      </w:r>
      <w:r w:rsidR="00E7753E">
        <w:rPr>
          <w:rFonts w:ascii="Arial" w:hAnsi="Arial" w:cs="Arial"/>
          <w:color w:val="000000"/>
        </w:rPr>
        <w:t>4</w:t>
      </w:r>
      <w:r w:rsidRPr="001F6696">
        <w:rPr>
          <w:rFonts w:ascii="Arial" w:hAnsi="Arial" w:cs="Arial"/>
          <w:color w:val="000000"/>
        </w:rPr>
        <w:t>.</w:t>
      </w:r>
    </w:p>
    <w:p w14:paraId="39C539A9" w14:textId="77777777"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eastAsiaTheme="majorEastAsia" w:hAnsi="Arial" w:cs="Arial"/>
          <w:b/>
          <w:iCs/>
          <w:color w:val="7030A0"/>
          <w:lang w:val="en-US"/>
        </w:rPr>
        <w:t>(a) MAPPA-eligible individuals</w:t>
      </w:r>
      <w:r w:rsidRPr="001F6696">
        <w:rPr>
          <w:rFonts w:ascii="Arial" w:hAnsi="Arial" w:cs="Arial"/>
          <w:color w:val="7030A0"/>
        </w:rPr>
        <w:t xml:space="preserve"> </w:t>
      </w:r>
      <w:r w:rsidRPr="001F6696">
        <w:rPr>
          <w:rFonts w:ascii="Arial" w:hAnsi="Arial" w:cs="Arial"/>
          <w:color w:val="000000"/>
        </w:rPr>
        <w:t>– there are individuals defined in law as eligible for MAPPA management because they have committed specified sexual, violent or terrorist offences or they currently pose a risk of serious harm. The majority are managed at Level 1 without formal MAPPA meetings. These figures only include those MAPPA eligible individuals living in the community. They do not include those in prison or detained under the Mental Health Act.</w:t>
      </w:r>
    </w:p>
    <w:p w14:paraId="5E41D019" w14:textId="77777777"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eastAsiaTheme="majorEastAsia" w:hAnsi="Arial" w:cs="Arial"/>
          <w:b/>
          <w:iCs/>
          <w:color w:val="7030A0"/>
          <w:lang w:val="en-US"/>
        </w:rPr>
        <w:t>(b) Subject to Sex Offender Notification Requirements</w:t>
      </w:r>
      <w:r w:rsidRPr="001F6696">
        <w:rPr>
          <w:rFonts w:ascii="Arial" w:hAnsi="Arial" w:cs="Arial"/>
          <w:color w:val="7030A0"/>
        </w:rPr>
        <w:t xml:space="preserve"> </w:t>
      </w:r>
      <w:r w:rsidRPr="001F6696">
        <w:rPr>
          <w:rFonts w:ascii="Arial" w:hAnsi="Arial" w:cs="Arial"/>
          <w:color w:val="000000"/>
        </w:rPr>
        <w:t>– those who are required to notify the police of their name, address and other personal details and to notify of any subsequent changes (this is known as the “notification requirement.”) These individuals are assessed and managed by the police. They may also be managed by probation or health services if they are subject to licence or a hospital order. Failure to comply with the notification requirement is a criminal offence that carries a maximum penalty of 5 years’ imprisonment.</w:t>
      </w:r>
    </w:p>
    <w:p w14:paraId="1DD948C5" w14:textId="77777777"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eastAsiaTheme="majorEastAsia" w:hAnsi="Arial" w:cs="Arial"/>
          <w:b/>
          <w:iCs/>
          <w:color w:val="7030A0"/>
          <w:lang w:val="en-US"/>
        </w:rPr>
        <w:t>(c) Violent Offenders</w:t>
      </w:r>
      <w:r w:rsidRPr="001F6696">
        <w:rPr>
          <w:rFonts w:ascii="Arial" w:hAnsi="Arial" w:cs="Arial"/>
          <w:color w:val="7030A0"/>
        </w:rPr>
        <w:t xml:space="preserve"> </w:t>
      </w:r>
      <w:r w:rsidRPr="001F6696">
        <w:rPr>
          <w:rFonts w:ascii="Arial" w:hAnsi="Arial" w:cs="Arial"/>
          <w:color w:val="000000"/>
        </w:rPr>
        <w:t xml:space="preserve">– individuals convicted of violent offences who were sentenced to imprisonment or detention for 12 months or more, or detained under a hospital order and a small number of individuals convicted of sexual offences who are not subject to notification requirements. These individuals are assessed and managed by the Probation </w:t>
      </w:r>
      <w:r w:rsidRPr="001F6696">
        <w:rPr>
          <w:rFonts w:ascii="Arial" w:hAnsi="Arial" w:cs="Arial"/>
          <w:color w:val="000000"/>
        </w:rPr>
        <w:t xml:space="preserve">Service, Youth Offending Team or Mental Health Services. </w:t>
      </w:r>
    </w:p>
    <w:p w14:paraId="33C96072" w14:textId="065C7EF9"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eastAsiaTheme="majorEastAsia" w:hAnsi="Arial" w:cs="Arial"/>
          <w:b/>
          <w:iCs/>
          <w:color w:val="7030A0"/>
          <w:lang w:val="en-US"/>
        </w:rPr>
        <w:t>(d) Other Dangerous Offenders</w:t>
      </w:r>
      <w:r w:rsidRPr="001F6696">
        <w:rPr>
          <w:rFonts w:ascii="Arial" w:hAnsi="Arial" w:cs="Arial"/>
          <w:color w:val="7030A0"/>
        </w:rPr>
        <w:t xml:space="preserve"> </w:t>
      </w:r>
      <w:r w:rsidRPr="001F6696">
        <w:rPr>
          <w:rFonts w:ascii="Arial" w:hAnsi="Arial" w:cs="Arial"/>
          <w:color w:val="000000"/>
        </w:rPr>
        <w:t>– individuals who do not qualify under the other MAPPA-eligible categories but have committed an offence that indicates that they pose a risk of serious harm which requires management via MAPPA meetings. These individuals are assessed and managed by whichever agency has the primary responsibility for them.</w:t>
      </w:r>
    </w:p>
    <w:p w14:paraId="4F85B5B4" w14:textId="77777777"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eastAsiaTheme="majorEastAsia" w:hAnsi="Arial" w:cs="Arial"/>
          <w:b/>
          <w:iCs/>
          <w:color w:val="7030A0"/>
          <w:lang w:val="en-US"/>
        </w:rPr>
        <w:t>(e) Terrorism and Terrorism Risk Offenders</w:t>
      </w:r>
      <w:r w:rsidRPr="001F6696">
        <w:rPr>
          <w:rFonts w:ascii="Arial" w:hAnsi="Arial" w:cs="Arial"/>
          <w:color w:val="7030A0"/>
        </w:rPr>
        <w:t xml:space="preserve"> </w:t>
      </w:r>
      <w:r w:rsidRPr="001F6696">
        <w:rPr>
          <w:rFonts w:ascii="Arial" w:hAnsi="Arial" w:cs="Arial"/>
          <w:color w:val="000000"/>
        </w:rPr>
        <w:t xml:space="preserve">– individuals subject to terrorism offender notification requirements; individuals convicted of terrorism or terrorism related offences who were sentenced to imprisonment or detention for 12 months or more, or detained under a hospital order; and those who have committed an offence and may be at risk of involvement in terrorism-related activity. These individuals are assessed and managed by Counter-Terrorism Police and the National Security Division of the Probation Service. </w:t>
      </w:r>
    </w:p>
    <w:p w14:paraId="57988E62" w14:textId="77777777"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eastAsiaTheme="majorEastAsia" w:hAnsi="Arial" w:cs="Arial"/>
          <w:b/>
          <w:iCs/>
          <w:color w:val="7030A0"/>
          <w:lang w:val="en-US"/>
        </w:rPr>
        <w:t xml:space="preserve">(f) Breach of </w:t>
      </w:r>
      <w:proofErr w:type="spellStart"/>
      <w:r w:rsidRPr="001F6696">
        <w:rPr>
          <w:rFonts w:ascii="Arial" w:eastAsiaTheme="majorEastAsia" w:hAnsi="Arial" w:cs="Arial"/>
          <w:b/>
          <w:iCs/>
          <w:color w:val="7030A0"/>
          <w:lang w:val="en-US"/>
        </w:rPr>
        <w:t>Licence</w:t>
      </w:r>
      <w:proofErr w:type="spellEnd"/>
      <w:r w:rsidRPr="001F6696">
        <w:rPr>
          <w:rFonts w:ascii="Arial" w:hAnsi="Arial" w:cs="Arial"/>
          <w:color w:val="7030A0"/>
        </w:rPr>
        <w:t xml:space="preserve"> </w:t>
      </w:r>
      <w:r w:rsidRPr="001F6696">
        <w:rPr>
          <w:rFonts w:ascii="Arial" w:hAnsi="Arial" w:cs="Arial"/>
          <w:color w:val="000000"/>
        </w:rPr>
        <w:t>– individuals released into the community following a period of imprisonment will be subject to a licence with conditions (under probation supervision). If the individual does not comply with these conditions, the Probation Service will take breach action and the individual may be recalled to prison.</w:t>
      </w:r>
    </w:p>
    <w:p w14:paraId="129B3732" w14:textId="77777777"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eastAsiaTheme="majorEastAsia" w:hAnsi="Arial" w:cs="Arial"/>
          <w:b/>
          <w:iCs/>
          <w:color w:val="7030A0"/>
          <w:lang w:val="en-US"/>
        </w:rPr>
        <w:t>(g) Sexual Harm Prevention Order (SHPO) (including any additional foreign travel restriction).</w:t>
      </w:r>
      <w:r w:rsidRPr="001F6696">
        <w:rPr>
          <w:rFonts w:ascii="Arial" w:hAnsi="Arial" w:cs="Arial"/>
          <w:b/>
          <w:color w:val="7030A0"/>
        </w:rPr>
        <w:t xml:space="preserve"> </w:t>
      </w:r>
      <w:r w:rsidRPr="001F6696">
        <w:rPr>
          <w:rFonts w:ascii="Arial" w:hAnsi="Arial" w:cs="Arial"/>
          <w:color w:val="000000"/>
        </w:rPr>
        <w:t xml:space="preserve">Sexual Harm Prevention Orders (SHPOs) and interim SHPOs replaced Sexual Offence Prevention Orders are intended to protect the public from individuals convicted of a sexual or violent offence who pose a risk of </w:t>
      </w:r>
      <w:r w:rsidRPr="001F6696">
        <w:rPr>
          <w:rFonts w:ascii="Arial" w:hAnsi="Arial" w:cs="Arial"/>
          <w:color w:val="000000"/>
        </w:rPr>
        <w:lastRenderedPageBreak/>
        <w:t>sexual harm to the public by placing restrictions and/or positive obligations on their behaviour. They require the individual to notify their details to the police (as set out in Part 2 of the 2003 Act) for the duration of the order.</w:t>
      </w:r>
    </w:p>
    <w:p w14:paraId="67A13AB9" w14:textId="3383BB36"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hAnsi="Arial" w:cs="Arial"/>
          <w:color w:val="000000"/>
        </w:rPr>
        <w:t>The court must be satisfied on the balance of probability that an order is necessary to protect the public (or any particular members of the public) in the UK, or children or vulnerable adults (or any particular children or vulnerable adults) abroad, from sexual harm from the individual. In the case of an order made on a free-standing application by a Chief Officer,</w:t>
      </w:r>
      <w:r w:rsidRPr="001F6696" w:rsidDel="00332EE6">
        <w:rPr>
          <w:rFonts w:ascii="Arial" w:hAnsi="Arial" w:cs="Arial"/>
          <w:color w:val="000000"/>
        </w:rPr>
        <w:t xml:space="preserve"> </w:t>
      </w:r>
      <w:r w:rsidRPr="001F6696">
        <w:rPr>
          <w:rFonts w:ascii="Arial" w:hAnsi="Arial" w:cs="Arial"/>
          <w:color w:val="000000"/>
        </w:rPr>
        <w:t>the National Crime Agency (NCA), British Transport Police (BTP) or the Ministry of Defence Police (MODP), the chief officer/NCA/BTP/MODP must be able to show that the individual has acted in a way since their conviction that makes the order necessary.</w:t>
      </w:r>
    </w:p>
    <w:p w14:paraId="2F56C8F0" w14:textId="77777777"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hAnsi="Arial" w:cs="Arial"/>
          <w:color w:val="000000"/>
        </w:rPr>
        <w:t>The minimum duration for a full order is five years. The lower age limit is 10, which is the age of criminal responsibility, but where the defendant is under the age of 18 an application for an order should only be considered exceptionally.</w:t>
      </w:r>
    </w:p>
    <w:p w14:paraId="2F677116" w14:textId="77777777"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eastAsiaTheme="majorEastAsia" w:hAnsi="Arial" w:cs="Arial"/>
          <w:b/>
          <w:iCs/>
          <w:color w:val="7030A0"/>
          <w:lang w:val="en-US"/>
        </w:rPr>
        <w:t>(h) Notification Order</w:t>
      </w:r>
      <w:r w:rsidRPr="001F6696">
        <w:rPr>
          <w:rFonts w:ascii="Arial" w:hAnsi="Arial" w:cs="Arial"/>
          <w:color w:val="7030A0"/>
        </w:rPr>
        <w:t xml:space="preserve"> </w:t>
      </w:r>
      <w:r w:rsidRPr="001F6696">
        <w:rPr>
          <w:rFonts w:ascii="Arial" w:hAnsi="Arial" w:cs="Arial"/>
          <w:color w:val="000000"/>
        </w:rPr>
        <w:t>– this requires individuals convicted of qualifying sexual offences overseas to register with the police, in order to protect the public in the UK from the risks that they pose. The police in England and Wales may issue a notification order directly to an offender who is already in the UK or who is intending to come to the UK who has to notify within three days of receipt. Individuals have a right of appeal against notification.</w:t>
      </w:r>
    </w:p>
    <w:p w14:paraId="2E6A20ED" w14:textId="77777777" w:rsidR="001F6696" w:rsidRPr="001F6696" w:rsidRDefault="001F6696" w:rsidP="001F6696">
      <w:pPr>
        <w:keepNext/>
        <w:keepLines/>
        <w:spacing w:after="240" w:line="260" w:lineRule="exact"/>
        <w:jc w:val="both"/>
        <w:outlineLvl w:val="3"/>
        <w:rPr>
          <w:rFonts w:ascii="Arial" w:eastAsiaTheme="majorEastAsia" w:hAnsi="Arial" w:cs="Arial"/>
          <w:bCs/>
          <w:iCs/>
          <w:color w:val="auto"/>
        </w:rPr>
      </w:pPr>
      <w:r w:rsidRPr="001F6696">
        <w:rPr>
          <w:rFonts w:ascii="Arial" w:eastAsiaTheme="majorEastAsia" w:hAnsi="Arial" w:cs="Arial"/>
          <w:b/>
          <w:iCs/>
          <w:color w:val="7030A0"/>
        </w:rPr>
        <w:t>(</w:t>
      </w:r>
      <w:proofErr w:type="spellStart"/>
      <w:r w:rsidRPr="001F6696">
        <w:rPr>
          <w:rFonts w:ascii="Arial" w:eastAsiaTheme="majorEastAsia" w:hAnsi="Arial" w:cs="Arial"/>
          <w:b/>
          <w:iCs/>
          <w:color w:val="7030A0"/>
        </w:rPr>
        <w:t>i</w:t>
      </w:r>
      <w:proofErr w:type="spellEnd"/>
      <w:r w:rsidRPr="001F6696">
        <w:rPr>
          <w:rFonts w:ascii="Arial" w:eastAsiaTheme="majorEastAsia" w:hAnsi="Arial" w:cs="Arial"/>
          <w:b/>
          <w:iCs/>
          <w:color w:val="7030A0"/>
        </w:rPr>
        <w:t xml:space="preserve">) Sexual Risk Order (including any additional foreign travel restriction) </w:t>
      </w:r>
      <w:r w:rsidRPr="001F6696">
        <w:rPr>
          <w:rFonts w:ascii="Arial" w:eastAsiaTheme="majorEastAsia" w:hAnsi="Arial" w:cs="Arial"/>
          <w:bCs/>
          <w:iCs/>
          <w:color w:val="auto"/>
        </w:rPr>
        <w:t>–The Sexual Risk Order (SRO) replaced the Risk of Sexual Harm Order (</w:t>
      </w:r>
      <w:proofErr w:type="spellStart"/>
      <w:r w:rsidRPr="001F6696">
        <w:rPr>
          <w:rFonts w:ascii="Arial" w:eastAsiaTheme="majorEastAsia" w:hAnsi="Arial" w:cs="Arial"/>
          <w:bCs/>
          <w:iCs/>
          <w:color w:val="auto"/>
        </w:rPr>
        <w:t>RoSHO</w:t>
      </w:r>
      <w:proofErr w:type="spellEnd"/>
      <w:r w:rsidRPr="001F6696">
        <w:rPr>
          <w:rFonts w:ascii="Arial" w:eastAsiaTheme="majorEastAsia" w:hAnsi="Arial" w:cs="Arial"/>
          <w:bCs/>
          <w:iCs/>
          <w:color w:val="auto"/>
        </w:rPr>
        <w:t xml:space="preserve">) and may be made in relation to a person without a conviction for a sexual or violent offence (or any other offence), but who poses a risk of sexual harm. </w:t>
      </w:r>
    </w:p>
    <w:p w14:paraId="387DE5F6" w14:textId="77777777" w:rsidR="001F6696" w:rsidRPr="001F6696" w:rsidRDefault="001F6696" w:rsidP="001F6696">
      <w:pPr>
        <w:widowControl w:val="0"/>
        <w:autoSpaceDE w:val="0"/>
        <w:autoSpaceDN w:val="0"/>
        <w:adjustRightInd w:val="0"/>
        <w:spacing w:after="240" w:line="260" w:lineRule="exact"/>
        <w:jc w:val="both"/>
        <w:rPr>
          <w:rFonts w:ascii="Arial" w:hAnsi="Arial" w:cs="Arial"/>
          <w:color w:val="000000"/>
        </w:rPr>
      </w:pPr>
      <w:r w:rsidRPr="001F6696">
        <w:rPr>
          <w:rFonts w:ascii="Arial" w:hAnsi="Arial" w:cs="Arial"/>
          <w:color w:val="000000"/>
        </w:rPr>
        <w:t>The SRO may be made at the magistrates’ court on application by the police,</w:t>
      </w:r>
      <w:r w:rsidRPr="001F6696" w:rsidDel="00332EE6">
        <w:rPr>
          <w:rFonts w:ascii="Arial" w:hAnsi="Arial" w:cs="Arial"/>
          <w:color w:val="000000"/>
        </w:rPr>
        <w:t xml:space="preserve"> </w:t>
      </w:r>
      <w:r w:rsidRPr="001F6696">
        <w:rPr>
          <w:rFonts w:ascii="Arial" w:hAnsi="Arial" w:cs="Arial"/>
          <w:color w:val="000000"/>
        </w:rPr>
        <w:t>NCA, BTP or MODP where an individual has committed an act of a sexual nature and the court is satisfied that the person poses a risk of harm to the public in the UK or children or vulnerable adults overseas.</w:t>
      </w:r>
    </w:p>
    <w:p w14:paraId="50EBDB3E" w14:textId="77777777" w:rsidR="001F6696" w:rsidRPr="001F6696" w:rsidRDefault="001F6696" w:rsidP="001F6696">
      <w:pPr>
        <w:widowControl w:val="0"/>
        <w:autoSpaceDE w:val="0"/>
        <w:autoSpaceDN w:val="0"/>
        <w:adjustRightInd w:val="0"/>
        <w:spacing w:after="240" w:line="260" w:lineRule="exact"/>
        <w:jc w:val="both"/>
        <w:rPr>
          <w:rFonts w:ascii="Arial" w:hAnsi="Arial" w:cs="Arial"/>
          <w:color w:val="000000"/>
        </w:rPr>
      </w:pPr>
      <w:r w:rsidRPr="001F6696">
        <w:rPr>
          <w:rFonts w:ascii="Arial" w:hAnsi="Arial" w:cs="Arial"/>
          <w:color w:val="000000"/>
        </w:rPr>
        <w:t xml:space="preserve">An SRO may prohibit the person from doing anything described in it, including travel </w:t>
      </w:r>
      <w:r w:rsidRPr="001F6696">
        <w:rPr>
          <w:rFonts w:ascii="Arial" w:hAnsi="Arial" w:cs="Arial"/>
          <w:color w:val="000000"/>
        </w:rPr>
        <w:t xml:space="preserve">overseas, or place positive obligations upon them. Any prohibition and/or obligation must be necessary to protect the public in the UK from sexual harm or, in relation to foreign travel, protecting children or vulnerable adults from sexual harm. </w:t>
      </w:r>
    </w:p>
    <w:p w14:paraId="0346C14E" w14:textId="77777777" w:rsidR="001F6696" w:rsidRPr="001F6696" w:rsidRDefault="001F6696" w:rsidP="001F6696">
      <w:pPr>
        <w:widowControl w:val="0"/>
        <w:autoSpaceDE w:val="0"/>
        <w:autoSpaceDN w:val="0"/>
        <w:adjustRightInd w:val="0"/>
        <w:spacing w:after="240" w:line="260" w:lineRule="exact"/>
        <w:jc w:val="both"/>
        <w:rPr>
          <w:rFonts w:ascii="Arial" w:hAnsi="Arial" w:cs="Arial"/>
          <w:color w:val="000000"/>
        </w:rPr>
      </w:pPr>
      <w:r w:rsidRPr="001F6696">
        <w:rPr>
          <w:rFonts w:ascii="Arial" w:hAnsi="Arial" w:cs="Arial"/>
          <w:color w:val="000000"/>
        </w:rPr>
        <w:t>An individual subject to an SRO is required to notify the police of their name and home address within three days of the order being made and also to notify any changes to this information within three days.</w:t>
      </w:r>
    </w:p>
    <w:p w14:paraId="4C727067" w14:textId="77777777" w:rsidR="001F6696" w:rsidRPr="001F6696" w:rsidRDefault="001F6696" w:rsidP="001F6696">
      <w:pPr>
        <w:widowControl w:val="0"/>
        <w:autoSpaceDE w:val="0"/>
        <w:autoSpaceDN w:val="0"/>
        <w:adjustRightInd w:val="0"/>
        <w:spacing w:after="240" w:line="260" w:lineRule="exact"/>
        <w:jc w:val="both"/>
        <w:rPr>
          <w:rFonts w:ascii="Arial" w:hAnsi="Arial" w:cs="Arial"/>
          <w:color w:val="000000"/>
        </w:rPr>
      </w:pPr>
      <w:r w:rsidRPr="001F6696">
        <w:rPr>
          <w:rFonts w:ascii="Arial" w:hAnsi="Arial" w:cs="Arial"/>
          <w:color w:val="000000"/>
        </w:rPr>
        <w:t xml:space="preserve">An SRO can last for a minimum of two years and has no maximum duration, with the exception of any foreign travel restrictions which, if applicable, last for a maximum of five years (but may be renewed). </w:t>
      </w:r>
    </w:p>
    <w:p w14:paraId="5D4EF98F" w14:textId="77777777" w:rsidR="001F6696" w:rsidRPr="001F6696" w:rsidRDefault="001F6696" w:rsidP="001F6696">
      <w:pPr>
        <w:widowControl w:val="0"/>
        <w:autoSpaceDE w:val="0"/>
        <w:autoSpaceDN w:val="0"/>
        <w:adjustRightInd w:val="0"/>
        <w:spacing w:after="240" w:line="260" w:lineRule="exact"/>
        <w:jc w:val="both"/>
        <w:rPr>
          <w:rFonts w:ascii="Arial" w:hAnsi="Arial" w:cs="Arial"/>
          <w:color w:val="000000"/>
        </w:rPr>
      </w:pPr>
      <w:r w:rsidRPr="001F6696">
        <w:rPr>
          <w:rFonts w:ascii="Arial" w:hAnsi="Arial" w:cs="Arial"/>
          <w:color w:val="000000"/>
        </w:rPr>
        <w:t>The criminal standard of proof continues to apply. The person concerned is able to appeal against the making of the order and the police or the person concerned are able to apply for the order to be varied, renewed or discharged.</w:t>
      </w:r>
    </w:p>
    <w:p w14:paraId="39C8C123" w14:textId="77777777" w:rsidR="001F6696" w:rsidRPr="001F6696" w:rsidRDefault="001F6696" w:rsidP="001F6696">
      <w:pPr>
        <w:widowControl w:val="0"/>
        <w:autoSpaceDE w:val="0"/>
        <w:autoSpaceDN w:val="0"/>
        <w:adjustRightInd w:val="0"/>
        <w:spacing w:after="240" w:line="260" w:lineRule="exact"/>
        <w:jc w:val="both"/>
        <w:rPr>
          <w:rFonts w:ascii="Arial" w:hAnsi="Arial" w:cs="Arial"/>
          <w:color w:val="000000"/>
        </w:rPr>
      </w:pPr>
      <w:r w:rsidRPr="001F6696">
        <w:rPr>
          <w:rFonts w:ascii="Arial" w:hAnsi="Arial" w:cs="Arial"/>
          <w:color w:val="000000"/>
        </w:rPr>
        <w:t xml:space="preserve">A breach of an SRO is a criminal offence punishable by a maximum of five years’ imprisonment. Where an individual breaches their SRO, they will become subject to full notification requirements.  </w:t>
      </w:r>
    </w:p>
    <w:p w14:paraId="65A61B8D" w14:textId="77777777" w:rsidR="001F6696" w:rsidRPr="001F6696" w:rsidRDefault="001F6696" w:rsidP="001F6696">
      <w:pPr>
        <w:spacing w:after="240" w:line="260" w:lineRule="exact"/>
        <w:jc w:val="both"/>
        <w:rPr>
          <w:rFonts w:ascii="Arial" w:hAnsi="Arial" w:cs="Arial"/>
          <w:color w:val="auto"/>
        </w:rPr>
      </w:pPr>
      <w:r w:rsidRPr="001F6696">
        <w:rPr>
          <w:rFonts w:ascii="Arial" w:hAnsi="Arial" w:cs="Arial"/>
          <w:color w:val="auto"/>
        </w:rPr>
        <w:t>Individuals made subject of an SRO are recorded on VISOR as a Potentially Dangerous Person (PDP).</w:t>
      </w:r>
    </w:p>
    <w:p w14:paraId="307BE723" w14:textId="77777777" w:rsidR="001F6696" w:rsidRPr="001F6696" w:rsidRDefault="001F6696" w:rsidP="001F6696">
      <w:pPr>
        <w:keepNext/>
        <w:keepLines/>
        <w:spacing w:after="240" w:line="260" w:lineRule="exact"/>
        <w:jc w:val="both"/>
        <w:outlineLvl w:val="3"/>
        <w:rPr>
          <w:rFonts w:ascii="Arial" w:eastAsiaTheme="majorEastAsia" w:hAnsi="Arial" w:cs="Arial"/>
          <w:bCs/>
          <w:iCs/>
          <w:color w:val="auto"/>
        </w:rPr>
      </w:pPr>
      <w:r w:rsidRPr="001F6696">
        <w:rPr>
          <w:rFonts w:ascii="Arial" w:eastAsiaTheme="majorEastAsia" w:hAnsi="Arial" w:cs="Arial"/>
          <w:b/>
          <w:iCs/>
          <w:color w:val="7030A0"/>
        </w:rPr>
        <w:t xml:space="preserve">(j) Lifetime notification requirements revoked on application </w:t>
      </w:r>
      <w:r w:rsidRPr="001F6696">
        <w:rPr>
          <w:rFonts w:ascii="Arial" w:eastAsiaTheme="majorEastAsia" w:hAnsi="Arial" w:cs="Arial"/>
          <w:bCs/>
          <w:iCs/>
          <w:color w:val="auto"/>
        </w:rPr>
        <w:t>– A legal challenge in 2010 and a corresponding legislative response means there is a mechanism in place that allows qualifying individuals to apply for a review of their notification requirements. Qualifying individuals may submit an application to the police to review their indefinite notification requirements. The police review the application and decide whether to revoke the notification requirements. This decision is made at the rank of Superintendent. Those who continue to pose a significant risk will remain subject to notification requirements for life, if necessary.</w:t>
      </w:r>
    </w:p>
    <w:p w14:paraId="1C5EE74F" w14:textId="77777777" w:rsidR="001F6696" w:rsidRPr="001F6696" w:rsidRDefault="001F6696" w:rsidP="001F6696">
      <w:pPr>
        <w:autoSpaceDE w:val="0"/>
        <w:autoSpaceDN w:val="0"/>
        <w:adjustRightInd w:val="0"/>
        <w:spacing w:after="240" w:line="260" w:lineRule="exact"/>
        <w:jc w:val="both"/>
        <w:rPr>
          <w:rFonts w:ascii="Arial" w:hAnsi="Arial" w:cs="Arial"/>
          <w:color w:val="000000"/>
        </w:rPr>
      </w:pPr>
      <w:r w:rsidRPr="001F6696">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4087E6" w14:textId="22712F30" w:rsidR="001F6696" w:rsidRPr="00ED25C1" w:rsidRDefault="001F6696" w:rsidP="00332EE6">
      <w:pPr>
        <w:pStyle w:val="MAPPA-Bodytext"/>
        <w:rPr>
          <w:szCs w:val="28"/>
        </w:rPr>
        <w:sectPr w:rsidR="001F6696" w:rsidRPr="00ED25C1" w:rsidSect="00867C9E">
          <w:type w:val="continuous"/>
          <w:pgSz w:w="11905" w:h="16837" w:code="9"/>
          <w:pgMar w:top="720" w:right="720" w:bottom="720" w:left="720" w:header="720" w:footer="567" w:gutter="0"/>
          <w:cols w:num="2" w:space="720"/>
          <w:noEndnote/>
        </w:sectPr>
      </w:pPr>
    </w:p>
    <w:p w14:paraId="3FE725F6" w14:textId="11977F0A" w:rsidR="00987766" w:rsidRDefault="00987766" w:rsidP="008C0C55">
      <w:pPr>
        <w:pStyle w:val="MAPPA-Bodytext"/>
        <w:spacing w:before="240" w:line="240" w:lineRule="atLeast"/>
        <w:jc w:val="center"/>
        <w:rPr>
          <w:b/>
          <w:bCs/>
          <w:color w:val="7030A0"/>
          <w:sz w:val="26"/>
          <w:szCs w:val="26"/>
        </w:rPr>
      </w:pPr>
      <w:r>
        <w:rPr>
          <w:noProof/>
        </w:rPr>
        <w:lastRenderedPageBreak/>
        <w:drawing>
          <wp:inline distT="0" distB="0" distL="0" distR="0" wp14:anchorId="08E1D91D" wp14:editId="63CBD711">
            <wp:extent cx="7527290" cy="4614866"/>
            <wp:effectExtent l="0" t="0" r="0" b="0"/>
            <wp:docPr id="8" name="Picture 8" descr="Picture of Saltburn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icture of Saltburn beach"/>
                    <pic:cNvPicPr>
                      <a:picLocks noChangeAspect="1" noChangeArrowheads="1"/>
                    </pic:cNvPicPr>
                  </pic:nvPicPr>
                  <pic:blipFill>
                    <a:blip r:embed="rId20">
                      <a:alphaModFix amt="58000"/>
                      <a:extLst>
                        <a:ext uri="{28A0092B-C50C-407E-A947-70E740481C1C}">
                          <a14:useLocalDpi xmlns:a14="http://schemas.microsoft.com/office/drawing/2010/main" val="0"/>
                        </a:ext>
                      </a:extLst>
                    </a:blip>
                    <a:srcRect/>
                    <a:stretch>
                      <a:fillRect/>
                    </a:stretch>
                  </pic:blipFill>
                  <pic:spPr bwMode="auto">
                    <a:xfrm>
                      <a:off x="0" y="0"/>
                      <a:ext cx="7546708" cy="4626771"/>
                    </a:xfrm>
                    <a:prstGeom prst="rect">
                      <a:avLst/>
                    </a:prstGeom>
                    <a:noFill/>
                    <a:ln>
                      <a:noFill/>
                    </a:ln>
                  </pic:spPr>
                </pic:pic>
              </a:graphicData>
            </a:graphic>
          </wp:inline>
        </w:drawing>
      </w:r>
    </w:p>
    <w:p w14:paraId="26BF042F" w14:textId="77777777" w:rsidR="00EE56D3" w:rsidRDefault="00EE56D3" w:rsidP="008A4C5F">
      <w:pPr>
        <w:pStyle w:val="MAPPA-Bodytext"/>
        <w:jc w:val="center"/>
        <w:rPr>
          <w:b/>
          <w:bCs/>
          <w:color w:val="7030A0"/>
          <w:sz w:val="26"/>
          <w:szCs w:val="26"/>
        </w:rPr>
        <w:sectPr w:rsidR="00EE56D3" w:rsidSect="00EE56D3">
          <w:footerReference w:type="default" r:id="rId21"/>
          <w:pgSz w:w="11905" w:h="16837" w:code="9"/>
          <w:pgMar w:top="720" w:right="0" w:bottom="720" w:left="0" w:header="720" w:footer="567" w:gutter="0"/>
          <w:cols w:space="720"/>
          <w:noEndnote/>
          <w:docGrid w:linePitch="360"/>
        </w:sectPr>
      </w:pPr>
    </w:p>
    <w:p w14:paraId="7E38617F" w14:textId="1B2B228F" w:rsidR="008A4C5F" w:rsidRDefault="008A4C5F" w:rsidP="008A4C5F">
      <w:pPr>
        <w:pStyle w:val="MAPPA-Bodytext"/>
        <w:jc w:val="center"/>
        <w:rPr>
          <w:b/>
          <w:bCs/>
          <w:color w:val="7030A0"/>
          <w:sz w:val="26"/>
          <w:szCs w:val="26"/>
        </w:rPr>
      </w:pPr>
    </w:p>
    <w:p w14:paraId="60D992A7" w14:textId="77777777" w:rsidR="00880650" w:rsidRDefault="00880650" w:rsidP="008A4C5F">
      <w:pPr>
        <w:pStyle w:val="MAPPA-Bodytext"/>
        <w:jc w:val="center"/>
        <w:rPr>
          <w:b/>
          <w:bCs/>
          <w:color w:val="7030A0"/>
          <w:sz w:val="26"/>
          <w:szCs w:val="26"/>
        </w:rPr>
      </w:pPr>
    </w:p>
    <w:p w14:paraId="0B00A588" w14:textId="61CB36BD" w:rsidR="00833AD5" w:rsidRPr="00ED25C1" w:rsidRDefault="00833AD5" w:rsidP="008A4C5F">
      <w:pPr>
        <w:pStyle w:val="MAPPA-Bodytext"/>
        <w:jc w:val="center"/>
        <w:rPr>
          <w:b/>
          <w:bCs/>
          <w:color w:val="7030A0"/>
          <w:sz w:val="26"/>
          <w:szCs w:val="26"/>
        </w:rPr>
      </w:pPr>
      <w:r w:rsidRPr="00ED25C1">
        <w:rPr>
          <w:b/>
          <w:bCs/>
          <w:color w:val="7030A0"/>
          <w:sz w:val="26"/>
          <w:szCs w:val="26"/>
        </w:rPr>
        <w:t xml:space="preserve">All </w:t>
      </w:r>
      <w:r w:rsidR="00A41D7B">
        <w:rPr>
          <w:b/>
          <w:bCs/>
          <w:color w:val="7030A0"/>
          <w:sz w:val="26"/>
          <w:szCs w:val="26"/>
        </w:rPr>
        <w:t>M</w:t>
      </w:r>
      <w:r w:rsidRPr="00ED25C1">
        <w:rPr>
          <w:b/>
          <w:bCs/>
          <w:color w:val="7030A0"/>
          <w:sz w:val="26"/>
          <w:szCs w:val="26"/>
        </w:rPr>
        <w:t>APPA reports from England and Wales are published online at:</w:t>
      </w:r>
    </w:p>
    <w:p w14:paraId="3BD99B9F" w14:textId="72A2C41F" w:rsidR="00833AD5" w:rsidRPr="00987766" w:rsidRDefault="00D71275" w:rsidP="00987766">
      <w:pPr>
        <w:pStyle w:val="MAPPA-Bodytext"/>
        <w:jc w:val="center"/>
        <w:rPr>
          <w:b/>
          <w:bCs/>
          <w:color w:val="007DC3"/>
          <w:sz w:val="26"/>
          <w:szCs w:val="26"/>
        </w:rPr>
      </w:pPr>
      <w:hyperlink r:id="rId22" w:history="1">
        <w:r w:rsidR="00833AD5" w:rsidRPr="00ED25C1">
          <w:rPr>
            <w:rStyle w:val="Hyperlink"/>
            <w:rFonts w:cs="Arial"/>
            <w:b/>
            <w:bCs/>
            <w:sz w:val="26"/>
            <w:szCs w:val="26"/>
          </w:rPr>
          <w:t>www.gov.uk</w:t>
        </w:r>
      </w:hyperlink>
    </w:p>
    <w:tbl>
      <w:tblPr>
        <w:tblStyle w:val="TableGrid"/>
        <w:tblpPr w:leftFromText="180" w:rightFromText="180" w:vertAnchor="text" w:horzAnchor="margin" w:tblpY="25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6"/>
        <w:gridCol w:w="3360"/>
        <w:gridCol w:w="3399"/>
      </w:tblGrid>
      <w:tr w:rsidR="00833AD5" w:rsidRPr="00ED25C1" w14:paraId="6724494A" w14:textId="77777777" w:rsidTr="00833AD5">
        <w:tc>
          <w:tcPr>
            <w:tcW w:w="3696" w:type="dxa"/>
          </w:tcPr>
          <w:p w14:paraId="10A0110A" w14:textId="2CE3A6CD" w:rsidR="00FF53F6" w:rsidRDefault="00FF53F6" w:rsidP="00FF53F6">
            <w:pPr>
              <w:pStyle w:val="MAPPA-Bodytext"/>
              <w:spacing w:line="240" w:lineRule="atLeast"/>
              <w:jc w:val="center"/>
              <w:rPr>
                <w:b/>
                <w:bCs/>
                <w:color w:val="7030A0"/>
                <w:sz w:val="26"/>
                <w:szCs w:val="26"/>
              </w:rPr>
            </w:pPr>
          </w:p>
          <w:p w14:paraId="5D97F1D2" w14:textId="3482BF6B" w:rsidR="00833AD5" w:rsidRPr="00ED25C1" w:rsidRDefault="00FF53F6" w:rsidP="00FF53F6">
            <w:pPr>
              <w:pStyle w:val="MAPPA-Bodytext"/>
              <w:spacing w:line="240" w:lineRule="atLeast"/>
              <w:jc w:val="center"/>
              <w:rPr>
                <w:b/>
                <w:bCs/>
                <w:color w:val="7030A0"/>
                <w:sz w:val="26"/>
                <w:szCs w:val="26"/>
              </w:rPr>
            </w:pPr>
            <w:r>
              <w:rPr>
                <w:noProof/>
              </w:rPr>
              <w:drawing>
                <wp:inline distT="0" distB="0" distL="0" distR="0" wp14:anchorId="01B40134" wp14:editId="012225B0">
                  <wp:extent cx="2057400" cy="818965"/>
                  <wp:effectExtent l="0" t="0" r="0" b="635"/>
                  <wp:docPr id="11" name="Picture 11"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robation Service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7400" cy="818965"/>
                          </a:xfrm>
                          <a:prstGeom prst="rect">
                            <a:avLst/>
                          </a:prstGeom>
                          <a:noFill/>
                          <a:ln>
                            <a:noFill/>
                          </a:ln>
                        </pic:spPr>
                      </pic:pic>
                    </a:graphicData>
                  </a:graphic>
                </wp:inline>
              </w:drawing>
            </w:r>
          </w:p>
        </w:tc>
        <w:tc>
          <w:tcPr>
            <w:tcW w:w="3360" w:type="dxa"/>
          </w:tcPr>
          <w:p w14:paraId="258767E4" w14:textId="77777777" w:rsidR="00FF53F6" w:rsidRDefault="00FF53F6" w:rsidP="00FF53F6">
            <w:pPr>
              <w:pStyle w:val="MAPPA-Bodytext"/>
              <w:spacing w:line="240" w:lineRule="atLeast"/>
              <w:jc w:val="center"/>
              <w:rPr>
                <w:b/>
                <w:bCs/>
                <w:color w:val="7030A0"/>
                <w:sz w:val="26"/>
                <w:szCs w:val="26"/>
              </w:rPr>
            </w:pPr>
          </w:p>
          <w:p w14:paraId="2924EB1E" w14:textId="52F17238" w:rsidR="00FF53F6" w:rsidRPr="00ED25C1" w:rsidRDefault="00FF53F6" w:rsidP="00FF53F6">
            <w:pPr>
              <w:pStyle w:val="MAPPA-Bodytext"/>
              <w:spacing w:line="240" w:lineRule="atLeast"/>
              <w:jc w:val="center"/>
              <w:rPr>
                <w:b/>
                <w:bCs/>
                <w:color w:val="7030A0"/>
                <w:sz w:val="26"/>
                <w:szCs w:val="26"/>
              </w:rPr>
            </w:pPr>
            <w:r w:rsidRPr="00ED25C1">
              <w:rPr>
                <w:noProof/>
                <w:color w:val="7030A0"/>
                <w:lang w:val="en-GB"/>
              </w:rPr>
              <w:drawing>
                <wp:inline distT="0" distB="0" distL="0" distR="0" wp14:anchorId="13B7BFB7" wp14:editId="0B427C24">
                  <wp:extent cx="1464945" cy="97155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 Pris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4945" cy="971550"/>
                          </a:xfrm>
                          <a:prstGeom prst="rect">
                            <a:avLst/>
                          </a:prstGeom>
                          <a:noFill/>
                        </pic:spPr>
                      </pic:pic>
                    </a:graphicData>
                  </a:graphic>
                </wp:inline>
              </w:drawing>
            </w:r>
          </w:p>
        </w:tc>
        <w:tc>
          <w:tcPr>
            <w:tcW w:w="3399" w:type="dxa"/>
          </w:tcPr>
          <w:p w14:paraId="7B9C4D05" w14:textId="77777777" w:rsidR="00FF53F6" w:rsidRDefault="00FF53F6" w:rsidP="00FF53F6">
            <w:pPr>
              <w:pStyle w:val="MAPPA-Bodytext"/>
              <w:spacing w:line="240" w:lineRule="atLeast"/>
              <w:jc w:val="center"/>
              <w:rPr>
                <w:b/>
                <w:bCs/>
                <w:color w:val="7030A0"/>
                <w:sz w:val="26"/>
                <w:szCs w:val="26"/>
              </w:rPr>
            </w:pPr>
          </w:p>
          <w:p w14:paraId="085CB1F9" w14:textId="14DA3FC8" w:rsidR="00833AD5" w:rsidRPr="00ED25C1" w:rsidRDefault="00FF53F6" w:rsidP="0071794D">
            <w:pPr>
              <w:pStyle w:val="MAPPA-Bodytext"/>
              <w:spacing w:line="240" w:lineRule="atLeast"/>
              <w:jc w:val="center"/>
              <w:rPr>
                <w:b/>
                <w:bCs/>
                <w:color w:val="7030A0"/>
                <w:sz w:val="26"/>
                <w:szCs w:val="26"/>
              </w:rPr>
            </w:pPr>
            <w:r w:rsidRPr="00ED25C1">
              <w:rPr>
                <w:b/>
                <w:bCs/>
                <w:noProof/>
                <w:color w:val="7030A0"/>
                <w:sz w:val="26"/>
                <w:szCs w:val="26"/>
              </w:rPr>
              <w:drawing>
                <wp:inline distT="0" distB="0" distL="0" distR="0" wp14:anchorId="51B293A9" wp14:editId="5301084C">
                  <wp:extent cx="733425" cy="1109345"/>
                  <wp:effectExtent l="0" t="0" r="9525" b="0"/>
                  <wp:docPr id="5" name="Picture 5" descr="Cleveland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leveland Police logo"/>
                          <pic:cNvPicPr/>
                        </pic:nvPicPr>
                        <pic:blipFill>
                          <a:blip r:embed="rId25"/>
                          <a:stretch>
                            <a:fillRect/>
                          </a:stretch>
                        </pic:blipFill>
                        <pic:spPr>
                          <a:xfrm>
                            <a:off x="0" y="0"/>
                            <a:ext cx="733425" cy="1109345"/>
                          </a:xfrm>
                          <a:prstGeom prst="rect">
                            <a:avLst/>
                          </a:prstGeom>
                        </pic:spPr>
                      </pic:pic>
                    </a:graphicData>
                  </a:graphic>
                </wp:inline>
              </w:drawing>
            </w:r>
          </w:p>
        </w:tc>
      </w:tr>
    </w:tbl>
    <w:p w14:paraId="2C7532F0" w14:textId="6B4B161C" w:rsidR="00DE3907" w:rsidRPr="00ED25C1" w:rsidRDefault="00DE3907" w:rsidP="00833AD5">
      <w:pPr>
        <w:pStyle w:val="MAPPA-Bodytext"/>
        <w:jc w:val="center"/>
        <w:rPr>
          <w:b/>
          <w:bCs/>
          <w:color w:val="7030A0"/>
          <w:sz w:val="26"/>
          <w:szCs w:val="26"/>
        </w:rPr>
      </w:pPr>
    </w:p>
    <w:bookmarkEnd w:id="0"/>
    <w:p w14:paraId="154AFD3B" w14:textId="261FC08E" w:rsidR="001F2AE1" w:rsidRPr="00ED25C1" w:rsidRDefault="001F2AE1">
      <w:pPr>
        <w:pStyle w:val="MAPPA-Bodytext"/>
        <w:jc w:val="center"/>
        <w:rPr>
          <w:b/>
          <w:bCs/>
          <w:color w:val="7030A0"/>
          <w:sz w:val="26"/>
          <w:szCs w:val="26"/>
        </w:rPr>
      </w:pPr>
    </w:p>
    <w:sectPr w:rsidR="001F2AE1" w:rsidRPr="00ED25C1" w:rsidSect="00EE56D3">
      <w:type w:val="continuous"/>
      <w:pgSz w:w="11905" w:h="16837" w:code="9"/>
      <w:pgMar w:top="720" w:right="720" w:bottom="720" w:left="720" w:header="720"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44692" w14:textId="77777777" w:rsidR="007314A5" w:rsidRDefault="007314A5" w:rsidP="001A5708">
      <w:pPr>
        <w:pStyle w:val="MAPPA-Bodytext"/>
      </w:pPr>
      <w:r>
        <w:separator/>
      </w:r>
    </w:p>
  </w:endnote>
  <w:endnote w:type="continuationSeparator" w:id="0">
    <w:p w14:paraId="5FC39A69" w14:textId="77777777" w:rsidR="007314A5" w:rsidRDefault="007314A5" w:rsidP="001A5708">
      <w:pPr>
        <w:pStyle w:val="MAPPA-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17116" w14:textId="77777777" w:rsidR="00332EE6" w:rsidRPr="00F42A1E" w:rsidRDefault="00332EE6" w:rsidP="00F42A1E">
    <w:pPr>
      <w:pStyle w:val="Foo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C5D88" w14:textId="77777777" w:rsidR="00ED25C1" w:rsidRPr="00F42A1E" w:rsidRDefault="00ED25C1" w:rsidP="00F42A1E">
    <w:pPr>
      <w:pStyle w:val="Foo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12BDC" w14:textId="62816662" w:rsidR="00332EE6" w:rsidRPr="00F42A1E" w:rsidRDefault="00332EE6" w:rsidP="00F42A1E">
    <w:pPr>
      <w:pStyle w:val="Footer"/>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3ED53" w14:textId="1941AE39" w:rsidR="00332EE6" w:rsidRPr="00F42A1E" w:rsidRDefault="00332EE6" w:rsidP="00F42A1E">
    <w:pPr>
      <w:pStyle w:val="Footer"/>
      <w:rPr>
        <w:rStyle w:val="PageNumbe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81BB3"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415C68" w14:textId="77777777" w:rsidR="007314A5" w:rsidRDefault="007314A5" w:rsidP="001A5708">
      <w:pPr>
        <w:pStyle w:val="MAPPA-Bodytext"/>
      </w:pPr>
      <w:r>
        <w:separator/>
      </w:r>
    </w:p>
  </w:footnote>
  <w:footnote w:type="continuationSeparator" w:id="0">
    <w:p w14:paraId="15056D65" w14:textId="77777777" w:rsidR="007314A5" w:rsidRDefault="007314A5" w:rsidP="001A5708">
      <w:pPr>
        <w:pStyle w:val="MAPPA-Body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274CA9"/>
    <w:multiLevelType w:val="hybridMultilevel"/>
    <w:tmpl w:val="7FEE3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A33425"/>
    <w:multiLevelType w:val="hybridMultilevel"/>
    <w:tmpl w:val="344CD5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8160376"/>
    <w:multiLevelType w:val="hybridMultilevel"/>
    <w:tmpl w:val="1F14AA0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4BD65AC"/>
    <w:multiLevelType w:val="hybridMultilevel"/>
    <w:tmpl w:val="91EEE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F556E0"/>
    <w:multiLevelType w:val="hybridMultilevel"/>
    <w:tmpl w:val="26BEB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149837">
    <w:abstractNumId w:val="5"/>
  </w:num>
  <w:num w:numId="2" w16cid:durableId="479928887">
    <w:abstractNumId w:val="6"/>
  </w:num>
  <w:num w:numId="3" w16cid:durableId="2147014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52604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6862340">
    <w:abstractNumId w:val="3"/>
  </w:num>
  <w:num w:numId="6" w16cid:durableId="1020934563">
    <w:abstractNumId w:val="1"/>
  </w:num>
  <w:num w:numId="7" w16cid:durableId="548808393">
    <w:abstractNumId w:val="2"/>
  </w:num>
  <w:num w:numId="8" w16cid:durableId="1307395152">
    <w:abstractNumId w:val="4"/>
  </w:num>
  <w:num w:numId="9" w16cid:durableId="1882791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mirrorMargins/>
  <w:bordersDoNotSurroundHeader/>
  <w:bordersDoNotSurroundFooter/>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0EAE"/>
    <w:rsid w:val="00012E4C"/>
    <w:rsid w:val="00036426"/>
    <w:rsid w:val="000536B2"/>
    <w:rsid w:val="00077637"/>
    <w:rsid w:val="0009323B"/>
    <w:rsid w:val="000A6775"/>
    <w:rsid w:val="00120884"/>
    <w:rsid w:val="001435D5"/>
    <w:rsid w:val="00154D3E"/>
    <w:rsid w:val="00185FB2"/>
    <w:rsid w:val="001A5708"/>
    <w:rsid w:val="001B0CC5"/>
    <w:rsid w:val="001E2BE8"/>
    <w:rsid w:val="001E4AC5"/>
    <w:rsid w:val="001E793A"/>
    <w:rsid w:val="001F0E43"/>
    <w:rsid w:val="001F2AE1"/>
    <w:rsid w:val="001F341F"/>
    <w:rsid w:val="001F3FB5"/>
    <w:rsid w:val="001F6696"/>
    <w:rsid w:val="0020607B"/>
    <w:rsid w:val="00213B33"/>
    <w:rsid w:val="00233AB5"/>
    <w:rsid w:val="002446A8"/>
    <w:rsid w:val="00256DAD"/>
    <w:rsid w:val="002621F5"/>
    <w:rsid w:val="002652AD"/>
    <w:rsid w:val="002811B0"/>
    <w:rsid w:val="00282372"/>
    <w:rsid w:val="00297F23"/>
    <w:rsid w:val="002A03F4"/>
    <w:rsid w:val="002A5E53"/>
    <w:rsid w:val="002C0567"/>
    <w:rsid w:val="002D56E1"/>
    <w:rsid w:val="002D5862"/>
    <w:rsid w:val="002F08DA"/>
    <w:rsid w:val="002F2197"/>
    <w:rsid w:val="00302FA6"/>
    <w:rsid w:val="00316394"/>
    <w:rsid w:val="00325143"/>
    <w:rsid w:val="00331827"/>
    <w:rsid w:val="00332EE6"/>
    <w:rsid w:val="00337928"/>
    <w:rsid w:val="00347A55"/>
    <w:rsid w:val="00397110"/>
    <w:rsid w:val="003A7E34"/>
    <w:rsid w:val="003B6695"/>
    <w:rsid w:val="003C0362"/>
    <w:rsid w:val="003C36DD"/>
    <w:rsid w:val="003E6AD5"/>
    <w:rsid w:val="0040003B"/>
    <w:rsid w:val="004219E0"/>
    <w:rsid w:val="00441138"/>
    <w:rsid w:val="0044659C"/>
    <w:rsid w:val="00447974"/>
    <w:rsid w:val="0045477C"/>
    <w:rsid w:val="00476A59"/>
    <w:rsid w:val="004C40BA"/>
    <w:rsid w:val="004C6460"/>
    <w:rsid w:val="004D1D77"/>
    <w:rsid w:val="004E4CDB"/>
    <w:rsid w:val="005541E4"/>
    <w:rsid w:val="00560418"/>
    <w:rsid w:val="00561E0B"/>
    <w:rsid w:val="00563E49"/>
    <w:rsid w:val="005773AC"/>
    <w:rsid w:val="005E0022"/>
    <w:rsid w:val="005E1880"/>
    <w:rsid w:val="005E20D8"/>
    <w:rsid w:val="005E2850"/>
    <w:rsid w:val="005F28B2"/>
    <w:rsid w:val="0062751A"/>
    <w:rsid w:val="00661EDF"/>
    <w:rsid w:val="00662BE5"/>
    <w:rsid w:val="006644CD"/>
    <w:rsid w:val="006645A8"/>
    <w:rsid w:val="00673321"/>
    <w:rsid w:val="00683239"/>
    <w:rsid w:val="00683555"/>
    <w:rsid w:val="00683618"/>
    <w:rsid w:val="0069414D"/>
    <w:rsid w:val="00695CEC"/>
    <w:rsid w:val="006A056D"/>
    <w:rsid w:val="006C58FB"/>
    <w:rsid w:val="006D6914"/>
    <w:rsid w:val="006F236C"/>
    <w:rsid w:val="007000D6"/>
    <w:rsid w:val="007059C7"/>
    <w:rsid w:val="0071794D"/>
    <w:rsid w:val="00717E7B"/>
    <w:rsid w:val="00722F6A"/>
    <w:rsid w:val="00730FAC"/>
    <w:rsid w:val="007314A5"/>
    <w:rsid w:val="00733747"/>
    <w:rsid w:val="00735E92"/>
    <w:rsid w:val="00744D61"/>
    <w:rsid w:val="007477FB"/>
    <w:rsid w:val="0075264A"/>
    <w:rsid w:val="00754EEF"/>
    <w:rsid w:val="00780F68"/>
    <w:rsid w:val="00786A3A"/>
    <w:rsid w:val="007A33F0"/>
    <w:rsid w:val="007A47E1"/>
    <w:rsid w:val="007B7706"/>
    <w:rsid w:val="007C0669"/>
    <w:rsid w:val="007C08AC"/>
    <w:rsid w:val="007C095C"/>
    <w:rsid w:val="007C6C9E"/>
    <w:rsid w:val="007C7106"/>
    <w:rsid w:val="007D1D47"/>
    <w:rsid w:val="007E2BA1"/>
    <w:rsid w:val="00815132"/>
    <w:rsid w:val="008218B2"/>
    <w:rsid w:val="00833AD5"/>
    <w:rsid w:val="00837BFD"/>
    <w:rsid w:val="008453C4"/>
    <w:rsid w:val="0084578C"/>
    <w:rsid w:val="00846E32"/>
    <w:rsid w:val="0084784F"/>
    <w:rsid w:val="00856D56"/>
    <w:rsid w:val="00867C9E"/>
    <w:rsid w:val="00880650"/>
    <w:rsid w:val="0089121C"/>
    <w:rsid w:val="008A4C5F"/>
    <w:rsid w:val="008B55DE"/>
    <w:rsid w:val="008C0C55"/>
    <w:rsid w:val="008C1531"/>
    <w:rsid w:val="008C3C42"/>
    <w:rsid w:val="008C6282"/>
    <w:rsid w:val="008D1D3C"/>
    <w:rsid w:val="008E15B2"/>
    <w:rsid w:val="008E2C4B"/>
    <w:rsid w:val="008F243E"/>
    <w:rsid w:val="008F69D6"/>
    <w:rsid w:val="0090299B"/>
    <w:rsid w:val="00904927"/>
    <w:rsid w:val="0091273E"/>
    <w:rsid w:val="00912A31"/>
    <w:rsid w:val="0092048C"/>
    <w:rsid w:val="00921580"/>
    <w:rsid w:val="009311B4"/>
    <w:rsid w:val="00940740"/>
    <w:rsid w:val="0095383C"/>
    <w:rsid w:val="00962504"/>
    <w:rsid w:val="0097502F"/>
    <w:rsid w:val="00976FA2"/>
    <w:rsid w:val="00987766"/>
    <w:rsid w:val="009B20E8"/>
    <w:rsid w:val="009C3B63"/>
    <w:rsid w:val="009F5E8E"/>
    <w:rsid w:val="00A05535"/>
    <w:rsid w:val="00A24965"/>
    <w:rsid w:val="00A35595"/>
    <w:rsid w:val="00A41D7B"/>
    <w:rsid w:val="00A44770"/>
    <w:rsid w:val="00A92CE4"/>
    <w:rsid w:val="00AC3FBF"/>
    <w:rsid w:val="00AC6E16"/>
    <w:rsid w:val="00AD0E4F"/>
    <w:rsid w:val="00AD38C4"/>
    <w:rsid w:val="00AD78C6"/>
    <w:rsid w:val="00AE2B9A"/>
    <w:rsid w:val="00AE4C19"/>
    <w:rsid w:val="00AF7C22"/>
    <w:rsid w:val="00B23C80"/>
    <w:rsid w:val="00B24A02"/>
    <w:rsid w:val="00B436F7"/>
    <w:rsid w:val="00B46863"/>
    <w:rsid w:val="00B50D53"/>
    <w:rsid w:val="00B54114"/>
    <w:rsid w:val="00B614A4"/>
    <w:rsid w:val="00B83B3A"/>
    <w:rsid w:val="00BA5ECB"/>
    <w:rsid w:val="00BB2E22"/>
    <w:rsid w:val="00BB6303"/>
    <w:rsid w:val="00BC0531"/>
    <w:rsid w:val="00BC169C"/>
    <w:rsid w:val="00BF736E"/>
    <w:rsid w:val="00C0210E"/>
    <w:rsid w:val="00C16E95"/>
    <w:rsid w:val="00C353CF"/>
    <w:rsid w:val="00C40C02"/>
    <w:rsid w:val="00C449EC"/>
    <w:rsid w:val="00C53C46"/>
    <w:rsid w:val="00C83D0E"/>
    <w:rsid w:val="00CA0563"/>
    <w:rsid w:val="00CB2C2F"/>
    <w:rsid w:val="00CB75D3"/>
    <w:rsid w:val="00CC713B"/>
    <w:rsid w:val="00CD04B6"/>
    <w:rsid w:val="00CF1FE2"/>
    <w:rsid w:val="00CF2EB1"/>
    <w:rsid w:val="00D16C41"/>
    <w:rsid w:val="00D33C90"/>
    <w:rsid w:val="00D57D76"/>
    <w:rsid w:val="00D66F32"/>
    <w:rsid w:val="00D71275"/>
    <w:rsid w:val="00D8081A"/>
    <w:rsid w:val="00D83865"/>
    <w:rsid w:val="00D9019D"/>
    <w:rsid w:val="00D929AA"/>
    <w:rsid w:val="00D95112"/>
    <w:rsid w:val="00D95BC1"/>
    <w:rsid w:val="00DA6F10"/>
    <w:rsid w:val="00DC02EE"/>
    <w:rsid w:val="00DC3228"/>
    <w:rsid w:val="00DC35A8"/>
    <w:rsid w:val="00DD433F"/>
    <w:rsid w:val="00DD60EC"/>
    <w:rsid w:val="00DE361C"/>
    <w:rsid w:val="00DE3907"/>
    <w:rsid w:val="00E16E1F"/>
    <w:rsid w:val="00E50500"/>
    <w:rsid w:val="00E53FDC"/>
    <w:rsid w:val="00E564BE"/>
    <w:rsid w:val="00E6461E"/>
    <w:rsid w:val="00E758B3"/>
    <w:rsid w:val="00E7753E"/>
    <w:rsid w:val="00EA28A2"/>
    <w:rsid w:val="00ED25C1"/>
    <w:rsid w:val="00ED543E"/>
    <w:rsid w:val="00EE119F"/>
    <w:rsid w:val="00EE56D3"/>
    <w:rsid w:val="00F0078E"/>
    <w:rsid w:val="00F04209"/>
    <w:rsid w:val="00F333E2"/>
    <w:rsid w:val="00F37895"/>
    <w:rsid w:val="00F42A1E"/>
    <w:rsid w:val="00F53385"/>
    <w:rsid w:val="00F536FE"/>
    <w:rsid w:val="00F53D72"/>
    <w:rsid w:val="00F7006F"/>
    <w:rsid w:val="00F73904"/>
    <w:rsid w:val="00F758AF"/>
    <w:rsid w:val="00F77BCE"/>
    <w:rsid w:val="00F77F11"/>
    <w:rsid w:val="00F83EB4"/>
    <w:rsid w:val="00FA4539"/>
    <w:rsid w:val="00FA7018"/>
    <w:rsid w:val="00FA794D"/>
    <w:rsid w:val="00FB1CF3"/>
    <w:rsid w:val="00FD5A6F"/>
    <w:rsid w:val="00FE0C63"/>
    <w:rsid w:val="00FE42DC"/>
    <w:rsid w:val="00FE7C43"/>
    <w:rsid w:val="00FF05DA"/>
    <w:rsid w:val="00FF53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2A8BF8"/>
  <w15:docId w15:val="{AC310C71-FF76-4A39-94AC-0BD952661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imes New Roman" w:hAnsi="Tahoma" w:cs="Tahoma"/>
        <w:color w:val="000000" w:themeColor="text1"/>
        <w:sz w:val="24"/>
        <w:szCs w:val="24"/>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style>
  <w:style w:type="paragraph" w:styleId="Heading2">
    <w:name w:val="heading 2"/>
    <w:basedOn w:val="Normal"/>
    <w:next w:val="Normal"/>
    <w:link w:val="Heading2Char"/>
    <w:semiHidden/>
    <w:unhideWhenUsed/>
    <w:qFormat/>
    <w:locked/>
    <w:rsid w:val="001F669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style>
  <w:style w:type="character" w:styleId="IntenseReference">
    <w:name w:val="Intense Reference"/>
    <w:basedOn w:val="DefaultParagraphFont"/>
    <w:uiPriority w:val="32"/>
    <w:qFormat/>
    <w:rsid w:val="009311B4"/>
    <w:rPr>
      <w:b/>
      <w:bCs/>
      <w:smallCaps/>
      <w:color w:val="4F81BD" w:themeColor="accent1"/>
      <w:spacing w:val="5"/>
    </w:rPr>
  </w:style>
  <w:style w:type="paragraph" w:styleId="ListParagraph">
    <w:name w:val="List Paragraph"/>
    <w:basedOn w:val="Normal"/>
    <w:uiPriority w:val="34"/>
    <w:qFormat/>
    <w:rsid w:val="00DD60EC"/>
    <w:pPr>
      <w:ind w:left="720"/>
    </w:pPr>
    <w:rPr>
      <w:rFonts w:ascii="Calibri" w:eastAsiaTheme="minorHAnsi" w:hAnsi="Calibri" w:cs="Calibri"/>
      <w:sz w:val="22"/>
      <w:szCs w:val="22"/>
      <w:lang w:eastAsia="en-US"/>
    </w:rPr>
  </w:style>
  <w:style w:type="character" w:styleId="UnresolvedMention">
    <w:name w:val="Unresolved Mention"/>
    <w:basedOn w:val="DefaultParagraphFont"/>
    <w:uiPriority w:val="99"/>
    <w:semiHidden/>
    <w:unhideWhenUsed/>
    <w:rsid w:val="001B0CC5"/>
    <w:rPr>
      <w:color w:val="605E5C"/>
      <w:shd w:val="clear" w:color="auto" w:fill="E1DFDD"/>
    </w:rPr>
  </w:style>
  <w:style w:type="paragraph" w:customStyle="1" w:styleId="Style1">
    <w:name w:val="Style1"/>
    <w:basedOn w:val="Heading2"/>
    <w:link w:val="Style1Char"/>
    <w:qFormat/>
    <w:rsid w:val="001F6696"/>
    <w:pPr>
      <w:spacing w:line="360" w:lineRule="auto"/>
    </w:pPr>
    <w:rPr>
      <w:rFonts w:ascii="Arial" w:hAnsi="Arial"/>
      <w:color w:val="7030A0"/>
      <w:sz w:val="38"/>
      <w:szCs w:val="38"/>
    </w:rPr>
  </w:style>
  <w:style w:type="character" w:customStyle="1" w:styleId="Style1Char">
    <w:name w:val="Style1 Char"/>
    <w:basedOn w:val="Heading2Char"/>
    <w:link w:val="Style1"/>
    <w:rsid w:val="001F6696"/>
    <w:rPr>
      <w:rFonts w:ascii="Arial" w:eastAsiaTheme="majorEastAsia" w:hAnsi="Arial" w:cstheme="majorBidi"/>
      <w:color w:val="7030A0"/>
      <w:sz w:val="38"/>
      <w:szCs w:val="38"/>
    </w:rPr>
  </w:style>
  <w:style w:type="character" w:customStyle="1" w:styleId="Heading2Char">
    <w:name w:val="Heading 2 Char"/>
    <w:basedOn w:val="DefaultParagraphFont"/>
    <w:link w:val="Heading2"/>
    <w:semiHidden/>
    <w:rsid w:val="001F6696"/>
    <w:rPr>
      <w:rFonts w:asciiTheme="majorHAnsi" w:eastAsiaTheme="majorEastAsia" w:hAnsiTheme="majorHAnsi" w:cstheme="majorBidi"/>
      <w:color w:val="365F91" w:themeColor="accent1" w:themeShade="BF"/>
      <w:sz w:val="26"/>
      <w:szCs w:val="26"/>
    </w:rPr>
  </w:style>
  <w:style w:type="table" w:customStyle="1" w:styleId="Style4">
    <w:name w:val="Style4"/>
    <w:basedOn w:val="TableGrid2"/>
    <w:uiPriority w:val="99"/>
    <w:rsid w:val="001F6696"/>
    <w:rPr>
      <w:rFonts w:ascii="Arial" w:hAnsi="Arial" w:cs="Times New Roman"/>
      <w:b/>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1F6696"/>
    <w:rPr>
      <w:rFonts w:ascii="Arial" w:hAnsi="Arial" w:cs="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1F6696"/>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921580"/>
    <w:pPr>
      <w:spacing w:before="100" w:beforeAutospacing="1" w:after="100" w:afterAutospacing="1"/>
    </w:pPr>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3948">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635064194">
      <w:bodyDiv w:val="1"/>
      <w:marLeft w:val="0"/>
      <w:marRight w:val="0"/>
      <w:marTop w:val="0"/>
      <w:marBottom w:val="0"/>
      <w:divBdr>
        <w:top w:val="none" w:sz="0" w:space="0" w:color="auto"/>
        <w:left w:val="none" w:sz="0" w:space="0" w:color="auto"/>
        <w:bottom w:val="none" w:sz="0" w:space="0" w:color="auto"/>
        <w:right w:val="none" w:sz="0" w:space="0" w:color="auto"/>
      </w:divBdr>
    </w:div>
    <w:div w:id="865681574">
      <w:bodyDiv w:val="1"/>
      <w:marLeft w:val="0"/>
      <w:marRight w:val="0"/>
      <w:marTop w:val="0"/>
      <w:marBottom w:val="0"/>
      <w:divBdr>
        <w:top w:val="none" w:sz="0" w:space="0" w:color="auto"/>
        <w:left w:val="none" w:sz="0" w:space="0" w:color="auto"/>
        <w:bottom w:val="none" w:sz="0" w:space="0" w:color="auto"/>
        <w:right w:val="none" w:sz="0" w:space="0" w:color="auto"/>
      </w:divBdr>
    </w:div>
    <w:div w:id="950475654">
      <w:bodyDiv w:val="1"/>
      <w:marLeft w:val="0"/>
      <w:marRight w:val="0"/>
      <w:marTop w:val="0"/>
      <w:marBottom w:val="0"/>
      <w:divBdr>
        <w:top w:val="none" w:sz="0" w:space="0" w:color="auto"/>
        <w:left w:val="none" w:sz="0" w:space="0" w:color="auto"/>
        <w:bottom w:val="none" w:sz="0" w:space="0" w:color="auto"/>
        <w:right w:val="none" w:sz="0" w:space="0" w:color="auto"/>
      </w:divBdr>
    </w:div>
    <w:div w:id="1224028526">
      <w:bodyDiv w:val="1"/>
      <w:marLeft w:val="0"/>
      <w:marRight w:val="0"/>
      <w:marTop w:val="0"/>
      <w:marBottom w:val="0"/>
      <w:divBdr>
        <w:top w:val="none" w:sz="0" w:space="0" w:color="auto"/>
        <w:left w:val="none" w:sz="0" w:space="0" w:color="auto"/>
        <w:bottom w:val="none" w:sz="0" w:space="0" w:color="auto"/>
        <w:right w:val="none" w:sz="0" w:space="0" w:color="auto"/>
      </w:divBdr>
    </w:div>
    <w:div w:id="1303000684">
      <w:bodyDiv w:val="1"/>
      <w:marLeft w:val="0"/>
      <w:marRight w:val="0"/>
      <w:marTop w:val="0"/>
      <w:marBottom w:val="0"/>
      <w:divBdr>
        <w:top w:val="none" w:sz="0" w:space="0" w:color="auto"/>
        <w:left w:val="none" w:sz="0" w:space="0" w:color="auto"/>
        <w:bottom w:val="none" w:sz="0" w:space="0" w:color="auto"/>
        <w:right w:val="none" w:sz="0" w:space="0" w:color="auto"/>
      </w:divBdr>
    </w:div>
    <w:div w:id="1436486306">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gov.uk" TargetMode="Externa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jpeg"/><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gov.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0EA075-0981-4F4B-964D-11682D98C0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429589-DB63-499D-B0B8-7EB94954A2D7}">
  <ds:schemaRefs>
    <ds:schemaRef ds:uri="http://schemas.openxmlformats.org/officeDocument/2006/bibliography"/>
  </ds:schemaRefs>
</ds:datastoreItem>
</file>

<file path=customXml/itemProps3.xml><?xml version="1.0" encoding="utf-8"?>
<ds:datastoreItem xmlns:ds="http://schemas.openxmlformats.org/officeDocument/2006/customXml" ds:itemID="{8715514D-FC56-4E5D-9548-BB0A45C58298}">
  <ds:schemaRefs>
    <ds:schemaRef ds:uri="http://schemas.microsoft.com/sharepoint/v3/contenttype/forms"/>
  </ds:schemaRefs>
</ds:datastoreItem>
</file>

<file path=customXml/itemProps4.xml><?xml version="1.0" encoding="utf-8"?>
<ds:datastoreItem xmlns:ds="http://schemas.openxmlformats.org/officeDocument/2006/customXml" ds:itemID="{CB0C2E00-2E15-4EB6-AF86-550D92262D93}"/>
</file>

<file path=docProps/app.xml><?xml version="1.0" encoding="utf-8"?>
<Properties xmlns="http://schemas.openxmlformats.org/officeDocument/2006/extended-properties" xmlns:vt="http://schemas.openxmlformats.org/officeDocument/2006/docPropsVTypes">
  <Template>Normal</Template>
  <TotalTime>0</TotalTime>
  <Pages>10</Pages>
  <Words>2896</Words>
  <Characters>15556</Characters>
  <Application>Microsoft Office Word</Application>
  <DocSecurity>4</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Richard</dc:creator>
  <cp:keywords/>
  <dc:description/>
  <cp:lastModifiedBy>Richardson, Richard</cp:lastModifiedBy>
  <cp:revision>2</cp:revision>
  <dcterms:created xsi:type="dcterms:W3CDTF">2024-10-17T15:17:00Z</dcterms:created>
  <dcterms:modified xsi:type="dcterms:W3CDTF">2024-10-17T15:17:00Z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ies>
</file>