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7CD80AA" w14:textId="02251DD3" w:rsidR="003C0362" w:rsidRPr="0069414D" w:rsidRDefault="008E2C4B" w:rsidP="003C0362">
      <w:pPr>
        <w:pStyle w:val="Default"/>
        <w:rPr>
          <w:rStyle w:val="IntenseReference"/>
          <w:rFonts w:ascii="Arial" w:hAnsi="Arial" w:cs="Arial"/>
          <w:b w:val="0"/>
          <w:color w:val="7030A0"/>
          <w:sz w:val="100"/>
          <w:szCs w:val="100"/>
        </w:rPr>
      </w:pPr>
      <w:bookmarkStart w:id="0" w:name="_Hlk21438050"/>
      <w:r w:rsidRPr="005526F6">
        <w:rPr>
          <w:noProof/>
        </w:rPr>
        <w:drawing>
          <wp:inline distT="0" distB="0" distL="0" distR="0" wp14:anchorId="272FEB4B" wp14:editId="169651E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p>
    <w:p w14:paraId="31CDDF49" w14:textId="5643A63D" w:rsidR="003C0362" w:rsidRPr="006645A8" w:rsidRDefault="003E6AD5" w:rsidP="00C53C46">
      <w:pPr>
        <w:pStyle w:val="Default"/>
        <w:rPr>
          <w:rStyle w:val="IntenseReference"/>
          <w:rFonts w:ascii="Arial" w:hAnsi="Arial" w:cs="Arial"/>
          <w:b w:val="0"/>
          <w:color w:val="7030A0"/>
          <w:sz w:val="100"/>
          <w:szCs w:val="100"/>
        </w:rPr>
      </w:pPr>
      <w:r>
        <w:rPr>
          <w:rStyle w:val="IntenseReference"/>
          <w:rFonts w:ascii="Arial" w:hAnsi="Arial" w:cs="Arial"/>
          <w:b w:val="0"/>
          <w:color w:val="7030A0"/>
          <w:sz w:val="100"/>
          <w:szCs w:val="100"/>
        </w:rPr>
        <w:t xml:space="preserve">      </w:t>
      </w:r>
      <w:r w:rsidR="00010EAE" w:rsidRPr="006645A8">
        <w:rPr>
          <w:rStyle w:val="IntenseReference"/>
          <w:rFonts w:ascii="Arial" w:hAnsi="Arial" w:cs="Arial"/>
          <w:b w:val="0"/>
          <w:color w:val="7030A0"/>
          <w:sz w:val="100"/>
          <w:szCs w:val="100"/>
        </w:rPr>
        <w:t>MAPPA Cleveland</w:t>
      </w:r>
    </w:p>
    <w:p w14:paraId="6A04797D" w14:textId="297FEC98" w:rsidR="002F08DA" w:rsidRDefault="002652AD" w:rsidP="003C0362">
      <w:pPr>
        <w:pStyle w:val="Default"/>
        <w:jc w:val="right"/>
        <w:rPr>
          <w:rStyle w:val="IntenseReference"/>
          <w:rFonts w:ascii="Arial" w:hAnsi="Arial" w:cs="Arial"/>
          <w:b w:val="0"/>
          <w:color w:val="7030A0"/>
          <w:sz w:val="100"/>
          <w:szCs w:val="100"/>
        </w:rPr>
      </w:pPr>
      <w:r>
        <w:rPr>
          <w:noProof/>
        </w:rPr>
        <w:drawing>
          <wp:inline distT="0" distB="0" distL="0" distR="0" wp14:anchorId="3EEB6FB7" wp14:editId="482FA8ED">
            <wp:extent cx="7556500" cy="5712242"/>
            <wp:effectExtent l="0" t="0" r="6350" b="3175"/>
            <wp:docPr id="10" name="Picture 10" descr="Middlesbrough Transporter Bridge over River T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iddlesbrough Transporter Bridge over River Te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18482" cy="5759096"/>
                    </a:xfrm>
                    <a:prstGeom prst="rect">
                      <a:avLst/>
                    </a:prstGeom>
                    <a:noFill/>
                    <a:ln>
                      <a:noFill/>
                    </a:ln>
                  </pic:spPr>
                </pic:pic>
              </a:graphicData>
            </a:graphic>
          </wp:inline>
        </w:drawing>
      </w:r>
    </w:p>
    <w:p w14:paraId="78A7DDDB" w14:textId="77962AA6" w:rsidR="002F08DA" w:rsidRDefault="002F08DA" w:rsidP="003C0362">
      <w:pPr>
        <w:pStyle w:val="Default"/>
        <w:jc w:val="right"/>
        <w:rPr>
          <w:rStyle w:val="IntenseReference"/>
          <w:rFonts w:ascii="Arial" w:hAnsi="Arial" w:cs="Arial"/>
          <w:b w:val="0"/>
          <w:color w:val="7030A0"/>
          <w:sz w:val="100"/>
          <w:szCs w:val="100"/>
        </w:rPr>
      </w:pPr>
    </w:p>
    <w:p w14:paraId="6A011BE1" w14:textId="6C3C9CCA" w:rsidR="00F7006F" w:rsidRDefault="00F53385" w:rsidP="00233AB5">
      <w:pPr>
        <w:pStyle w:val="Default"/>
        <w:rPr>
          <w:rFonts w:ascii="Arial" w:hAnsi="Arial" w:cs="Arial"/>
          <w:color w:val="7030A0"/>
          <w:sz w:val="96"/>
          <w:szCs w:val="96"/>
        </w:rPr>
      </w:pPr>
      <w:r>
        <w:rPr>
          <w:rFonts w:ascii="Arial" w:hAnsi="Arial" w:cs="Arial"/>
          <w:color w:val="7030A0"/>
          <w:sz w:val="96"/>
          <w:szCs w:val="96"/>
        </w:rPr>
        <w:t xml:space="preserve">   </w:t>
      </w:r>
      <w:r w:rsidR="003C0362" w:rsidRPr="00F7006F">
        <w:rPr>
          <w:rFonts w:ascii="Arial" w:hAnsi="Arial" w:cs="Arial"/>
          <w:color w:val="7030A0"/>
          <w:sz w:val="96"/>
          <w:szCs w:val="96"/>
        </w:rPr>
        <w:t>Annual Rep</w:t>
      </w:r>
      <w:r w:rsidR="002F08DA" w:rsidRPr="00F7006F">
        <w:rPr>
          <w:rFonts w:ascii="Arial" w:hAnsi="Arial" w:cs="Arial"/>
          <w:color w:val="7030A0"/>
          <w:sz w:val="96"/>
          <w:szCs w:val="96"/>
        </w:rPr>
        <w:t>o</w:t>
      </w:r>
      <w:r w:rsidR="003C0362" w:rsidRPr="00F7006F">
        <w:rPr>
          <w:rFonts w:ascii="Arial" w:hAnsi="Arial" w:cs="Arial"/>
          <w:color w:val="7030A0"/>
          <w:sz w:val="96"/>
          <w:szCs w:val="96"/>
        </w:rPr>
        <w:t>rt</w:t>
      </w:r>
      <w:r w:rsidR="00833AD5" w:rsidRPr="00F7006F">
        <w:rPr>
          <w:rFonts w:ascii="Arial" w:hAnsi="Arial" w:cs="Arial"/>
          <w:color w:val="7030A0"/>
          <w:sz w:val="96"/>
          <w:szCs w:val="96"/>
        </w:rPr>
        <w:t xml:space="preserve"> 20</w:t>
      </w:r>
      <w:r w:rsidR="006F236C">
        <w:rPr>
          <w:rFonts w:ascii="Arial" w:hAnsi="Arial" w:cs="Arial"/>
          <w:color w:val="7030A0"/>
          <w:sz w:val="96"/>
          <w:szCs w:val="96"/>
        </w:rPr>
        <w:t>2</w:t>
      </w:r>
      <w:r w:rsidR="001F6696">
        <w:rPr>
          <w:rFonts w:ascii="Arial" w:hAnsi="Arial" w:cs="Arial"/>
          <w:color w:val="7030A0"/>
          <w:sz w:val="96"/>
          <w:szCs w:val="96"/>
        </w:rPr>
        <w:t>2</w:t>
      </w:r>
      <w:r w:rsidR="006F236C">
        <w:rPr>
          <w:rFonts w:ascii="Arial" w:hAnsi="Arial" w:cs="Arial"/>
          <w:color w:val="7030A0"/>
          <w:sz w:val="96"/>
          <w:szCs w:val="96"/>
        </w:rPr>
        <w:t>-2</w:t>
      </w:r>
      <w:r w:rsidR="001F6696">
        <w:rPr>
          <w:rFonts w:ascii="Arial" w:hAnsi="Arial" w:cs="Arial"/>
          <w:color w:val="7030A0"/>
          <w:sz w:val="96"/>
          <w:szCs w:val="96"/>
        </w:rPr>
        <w:t>3</w:t>
      </w:r>
    </w:p>
    <w:p w14:paraId="591FC23B" w14:textId="77777777" w:rsidR="00C53C46" w:rsidRDefault="00C53C46" w:rsidP="00233AB5">
      <w:pPr>
        <w:pStyle w:val="Default"/>
        <w:rPr>
          <w:rFonts w:ascii="Arial" w:hAnsi="Arial" w:cs="Arial"/>
          <w:color w:val="7030A0"/>
          <w:sz w:val="100"/>
          <w:szCs w:val="100"/>
        </w:rPr>
      </w:pPr>
    </w:p>
    <w:p w14:paraId="4552E510" w14:textId="5DFE7C3D" w:rsidR="00332EE6" w:rsidRPr="002F08DA" w:rsidRDefault="00332EE6" w:rsidP="00332EE6">
      <w:pPr>
        <w:pStyle w:val="MAPPA-Heaingsection"/>
        <w:rPr>
          <w:color w:val="7030A0"/>
        </w:rPr>
      </w:pPr>
      <w:r w:rsidRPr="002F08DA">
        <w:rPr>
          <w:color w:val="7030A0"/>
        </w:rPr>
        <w:lastRenderedPageBreak/>
        <w:t>Intro</w:t>
      </w:r>
      <w:r w:rsidR="007D1D47" w:rsidRPr="002F08DA">
        <w:rPr>
          <w:color w:val="7030A0"/>
        </w:rPr>
        <w:t>duction</w:t>
      </w:r>
    </w:p>
    <w:p w14:paraId="182A7957" w14:textId="47862E40" w:rsidR="00332EE6" w:rsidRPr="002F08DA" w:rsidRDefault="00332EE6" w:rsidP="00332EE6">
      <w:pPr>
        <w:pStyle w:val="Default"/>
        <w:pBdr>
          <w:bottom w:val="single" w:sz="4" w:space="1" w:color="007BC3"/>
        </w:pBdr>
        <w:rPr>
          <w:rFonts w:ascii="Arial" w:hAnsi="Arial" w:cs="Arial"/>
          <w:color w:val="7030A0"/>
          <w:sz w:val="16"/>
          <w:szCs w:val="16"/>
        </w:rPr>
      </w:pPr>
    </w:p>
    <w:p w14:paraId="307DBFDF" w14:textId="5B94FAAF" w:rsidR="00332EE6" w:rsidRPr="002F08DA" w:rsidRDefault="00332EE6" w:rsidP="00332EE6">
      <w:pPr>
        <w:pStyle w:val="Default"/>
        <w:rPr>
          <w:rFonts w:ascii="Arial" w:hAnsi="Arial" w:cs="Arial"/>
          <w:color w:val="7030A0"/>
          <w:sz w:val="20"/>
          <w:szCs w:val="20"/>
        </w:rPr>
      </w:pPr>
    </w:p>
    <w:p w14:paraId="63368981" w14:textId="77777777" w:rsidR="00332EE6" w:rsidRPr="002F08DA" w:rsidRDefault="00332EE6" w:rsidP="00332EE6">
      <w:pPr>
        <w:pStyle w:val="Default"/>
        <w:rPr>
          <w:rFonts w:ascii="Arial" w:hAnsi="Arial" w:cs="Arial"/>
          <w:color w:val="7030A0"/>
          <w:sz w:val="20"/>
          <w:szCs w:val="20"/>
        </w:rPr>
        <w:sectPr w:rsidR="00332EE6" w:rsidRPr="002F08DA" w:rsidSect="00282372">
          <w:footerReference w:type="first" r:id="rId13"/>
          <w:pgSz w:w="11905" w:h="16837" w:code="9"/>
          <w:pgMar w:top="720" w:right="720" w:bottom="720" w:left="0" w:header="720" w:footer="567" w:gutter="0"/>
          <w:pgNumType w:start="1"/>
          <w:cols w:space="720"/>
          <w:noEndnote/>
          <w:titlePg/>
          <w:docGrid w:linePitch="326"/>
        </w:sectPr>
      </w:pPr>
    </w:p>
    <w:p w14:paraId="1DEAC352" w14:textId="0B3044C0" w:rsidR="00332EE6" w:rsidRPr="00733747" w:rsidRDefault="00733747" w:rsidP="00F42A1E">
      <w:pPr>
        <w:pStyle w:val="MAPPA-HeadingPara"/>
        <w:spacing w:after="0"/>
        <w:rPr>
          <w:rFonts w:cs="Arial"/>
          <w:color w:val="7030A0"/>
          <w:sz w:val="40"/>
          <w:szCs w:val="40"/>
        </w:rPr>
      </w:pPr>
      <w:r w:rsidRPr="00733747">
        <w:rPr>
          <w:rFonts w:cs="Arial"/>
          <w:color w:val="7030A0"/>
          <w:sz w:val="40"/>
          <w:szCs w:val="40"/>
        </w:rPr>
        <w:t xml:space="preserve">Detective Chief Superintendent </w:t>
      </w:r>
      <w:r w:rsidR="00CB75D3">
        <w:rPr>
          <w:rFonts w:cs="Arial"/>
          <w:color w:val="7030A0"/>
          <w:sz w:val="40"/>
          <w:szCs w:val="40"/>
        </w:rPr>
        <w:t>Lisa Theaker</w:t>
      </w:r>
    </w:p>
    <w:p w14:paraId="2A3ED344" w14:textId="465EEF03" w:rsidR="00733747" w:rsidRPr="00733747" w:rsidRDefault="00733747" w:rsidP="00F42A1E">
      <w:pPr>
        <w:pStyle w:val="MAPPA-HeadingPara"/>
        <w:spacing w:after="0"/>
        <w:rPr>
          <w:rFonts w:cs="Arial"/>
          <w:color w:val="7030A0"/>
          <w:sz w:val="40"/>
          <w:szCs w:val="40"/>
        </w:rPr>
      </w:pPr>
      <w:r w:rsidRPr="00733747">
        <w:rPr>
          <w:rFonts w:cs="Arial"/>
          <w:color w:val="7030A0"/>
          <w:sz w:val="40"/>
          <w:szCs w:val="40"/>
        </w:rPr>
        <w:t>Cleveland Police</w:t>
      </w:r>
    </w:p>
    <w:p w14:paraId="7947553A" w14:textId="03A65DA2" w:rsidR="007D1D47" w:rsidRDefault="007D1D47" w:rsidP="00F42A1E">
      <w:pPr>
        <w:pStyle w:val="MAPPA-HeadingPara"/>
        <w:spacing w:after="0"/>
        <w:rPr>
          <w:rFonts w:cs="Arial"/>
          <w:color w:val="7030A0"/>
          <w:sz w:val="40"/>
          <w:szCs w:val="40"/>
        </w:rPr>
      </w:pPr>
      <w:r w:rsidRPr="00733747">
        <w:rPr>
          <w:rFonts w:cs="Arial"/>
          <w:color w:val="7030A0"/>
          <w:sz w:val="40"/>
          <w:szCs w:val="40"/>
        </w:rPr>
        <w:t>Chair of Cleveland MAPPA</w:t>
      </w:r>
      <w:r w:rsidR="00733747" w:rsidRPr="00733747">
        <w:rPr>
          <w:rFonts w:cs="Arial"/>
          <w:color w:val="7030A0"/>
          <w:sz w:val="40"/>
          <w:szCs w:val="40"/>
        </w:rPr>
        <w:t xml:space="preserve"> </w:t>
      </w:r>
      <w:r w:rsidRPr="00733747">
        <w:rPr>
          <w:rFonts w:cs="Arial"/>
          <w:color w:val="7030A0"/>
          <w:sz w:val="40"/>
          <w:szCs w:val="40"/>
        </w:rPr>
        <w:t xml:space="preserve">Strategic Management </w:t>
      </w:r>
      <w:r w:rsidR="005773AC" w:rsidRPr="00733747">
        <w:rPr>
          <w:rFonts w:cs="Arial"/>
          <w:color w:val="7030A0"/>
          <w:sz w:val="40"/>
          <w:szCs w:val="40"/>
        </w:rPr>
        <w:t>B</w:t>
      </w:r>
      <w:r w:rsidRPr="00733747">
        <w:rPr>
          <w:rFonts w:cs="Arial"/>
          <w:color w:val="7030A0"/>
          <w:sz w:val="40"/>
          <w:szCs w:val="40"/>
        </w:rPr>
        <w:t>oard</w:t>
      </w:r>
    </w:p>
    <w:p w14:paraId="1210D7DA" w14:textId="1D1C6F36" w:rsidR="00837BFD" w:rsidRDefault="00837BFD" w:rsidP="00F42A1E">
      <w:pPr>
        <w:pStyle w:val="MAPPA-HeadingPara"/>
        <w:spacing w:after="0"/>
        <w:rPr>
          <w:rFonts w:cs="Arial"/>
          <w:color w:val="7030A0"/>
          <w:sz w:val="40"/>
          <w:szCs w:val="40"/>
        </w:rPr>
      </w:pPr>
    </w:p>
    <w:p w14:paraId="7BBC23A9" w14:textId="6765CC42" w:rsidR="00733747" w:rsidRDefault="00733747" w:rsidP="00332EE6">
      <w:pPr>
        <w:pStyle w:val="MAPPA-Bodytext"/>
        <w:sectPr w:rsidR="00733747" w:rsidSect="00CB75D3">
          <w:type w:val="continuous"/>
          <w:pgSz w:w="11905" w:h="16837" w:code="9"/>
          <w:pgMar w:top="720" w:right="720" w:bottom="720" w:left="720" w:header="720" w:footer="567" w:gutter="0"/>
          <w:cols w:space="721"/>
          <w:noEndnote/>
          <w:rtlGutter/>
        </w:sectPr>
      </w:pPr>
    </w:p>
    <w:p w14:paraId="6D0E463B" w14:textId="356078ED" w:rsidR="00CB75D3" w:rsidRDefault="00CB75D3" w:rsidP="00CB75D3">
      <w:pPr>
        <w:jc w:val="both"/>
        <w:rPr>
          <w:rFonts w:cstheme="minorHAnsi"/>
        </w:rPr>
      </w:pPr>
      <w:r>
        <w:rPr>
          <w:rFonts w:cstheme="minorHAnsi"/>
        </w:rPr>
        <w:t>Welcome to the 2022/23 Annual Report of the Cleveland Strategic Management Board (SMB) Multi Agency Public Protection Arrangements (MAPPA).</w:t>
      </w:r>
    </w:p>
    <w:p w14:paraId="510BFD21" w14:textId="77777777" w:rsidR="00CB75D3" w:rsidRDefault="00CB75D3" w:rsidP="00CB75D3">
      <w:pPr>
        <w:jc w:val="both"/>
        <w:rPr>
          <w:rFonts w:cstheme="minorHAnsi"/>
        </w:rPr>
      </w:pPr>
    </w:p>
    <w:p w14:paraId="57A92770" w14:textId="6B412D97" w:rsidR="00CB75D3" w:rsidRDefault="00CB75D3" w:rsidP="00CB75D3">
      <w:pPr>
        <w:jc w:val="both"/>
        <w:rPr>
          <w:rFonts w:cstheme="minorHAnsi"/>
        </w:rPr>
      </w:pPr>
      <w:r>
        <w:rPr>
          <w:rFonts w:cstheme="minorHAnsi"/>
        </w:rPr>
        <w:t xml:space="preserve">MAPPA is a partnership between agencies to manage the risk presented by violent and dangerous offenders. This report provides a unique opportunity for the wider public to gain a greater understanding and insight into the work undertaken by public sector and partner agencies working together, to keep our communities safe from those individuals assessed as presenting the highest risk of committing harmful offences. </w:t>
      </w:r>
    </w:p>
    <w:p w14:paraId="55428BD0" w14:textId="77777777" w:rsidR="00CB75D3" w:rsidRDefault="00CB75D3" w:rsidP="00CB75D3">
      <w:pPr>
        <w:jc w:val="both"/>
        <w:rPr>
          <w:rFonts w:cstheme="minorHAnsi"/>
        </w:rPr>
      </w:pPr>
    </w:p>
    <w:p w14:paraId="0F5AE402" w14:textId="74FA9CC0" w:rsidR="00CB75D3" w:rsidRDefault="00CB75D3" w:rsidP="00CB75D3">
      <w:pPr>
        <w:jc w:val="both"/>
        <w:rPr>
          <w:rFonts w:cstheme="minorHAnsi"/>
        </w:rPr>
      </w:pPr>
      <w:r>
        <w:rPr>
          <w:rFonts w:cstheme="minorHAnsi"/>
        </w:rPr>
        <w:t>The Police, Prison, and Probation Service work together to ensure that the risks posed by specified violent and sexual offenders are assessed and managed appropriately and are known collectively under the MAPPA as the Responsible Authority (RA). The RA cannot undertake this work in isolation and work alongside many other agencies who are integral to this work. All agencies are represented on the SMB, alongside all those working in MAPPA on a day-to-day basis, to protect the public in Cleveland.</w:t>
      </w:r>
    </w:p>
    <w:p w14:paraId="4D5C6B0F" w14:textId="77777777" w:rsidR="00CB75D3" w:rsidRDefault="00CB75D3" w:rsidP="00CB75D3">
      <w:pPr>
        <w:jc w:val="both"/>
        <w:rPr>
          <w:rFonts w:cstheme="minorHAnsi"/>
        </w:rPr>
      </w:pPr>
    </w:p>
    <w:p w14:paraId="2CE9DEEB" w14:textId="6D83FB48" w:rsidR="00CB75D3" w:rsidRDefault="00CB75D3" w:rsidP="00CB75D3">
      <w:pPr>
        <w:jc w:val="both"/>
        <w:rPr>
          <w:rFonts w:cstheme="minorHAnsi"/>
        </w:rPr>
      </w:pPr>
      <w:r>
        <w:rPr>
          <w:rFonts w:cstheme="minorHAnsi"/>
        </w:rPr>
        <w:t xml:space="preserve">The very foundation of MAPPA provides a strong framework for pro-active inter-agency sharing of information, intelligence, joint agency assessment, risk management planning, and effective and active case conferencing; all in which contributes to the efficient deployment of resources to reduce and prevent re-offending by violent and sexual offenders.  </w:t>
      </w:r>
    </w:p>
    <w:p w14:paraId="7B4BFB61" w14:textId="77777777" w:rsidR="00CB75D3" w:rsidRDefault="00CB75D3" w:rsidP="00CB75D3">
      <w:pPr>
        <w:jc w:val="both"/>
        <w:rPr>
          <w:rFonts w:cstheme="minorHAnsi"/>
        </w:rPr>
      </w:pPr>
    </w:p>
    <w:p w14:paraId="2319AE12" w14:textId="7ADE423E" w:rsidR="00CB75D3" w:rsidRDefault="00CB75D3" w:rsidP="00CB75D3">
      <w:pPr>
        <w:jc w:val="both"/>
        <w:rPr>
          <w:rFonts w:cstheme="minorBidi"/>
        </w:rPr>
      </w:pPr>
      <w:r>
        <w:t>I am delighted to now chair the SMB for Cleveland and look forward to continuing the work with all our partners to ensure our effectiveness in reducing further harm and safeguarding the public through MAPPA. We are all committed to protecting our communities and to make Cleveland a safer place.</w:t>
      </w:r>
    </w:p>
    <w:p w14:paraId="7B94F8DF" w14:textId="77777777" w:rsidR="00CB75D3" w:rsidRDefault="00CB75D3" w:rsidP="00733747">
      <w:pPr>
        <w:jc w:val="both"/>
      </w:pPr>
    </w:p>
    <w:p w14:paraId="1F428B9B" w14:textId="56F2801D" w:rsidR="00F53385" w:rsidRDefault="00F53385" w:rsidP="00733747">
      <w:pPr>
        <w:jc w:val="both"/>
      </w:pPr>
    </w:p>
    <w:p w14:paraId="3029CB54" w14:textId="4E6A137B" w:rsidR="00F53385" w:rsidRDefault="00F53385" w:rsidP="00733747">
      <w:pPr>
        <w:jc w:val="both"/>
      </w:pPr>
    </w:p>
    <w:p w14:paraId="567A37D7" w14:textId="29BD0AFF" w:rsidR="00F53385" w:rsidRDefault="00F53385" w:rsidP="00733747">
      <w:pPr>
        <w:jc w:val="both"/>
      </w:pPr>
    </w:p>
    <w:p w14:paraId="545BB4F3" w14:textId="5D399FB9" w:rsidR="00F53385" w:rsidRDefault="00F53385" w:rsidP="00733747">
      <w:pPr>
        <w:jc w:val="both"/>
      </w:pPr>
    </w:p>
    <w:p w14:paraId="06B1670F" w14:textId="5ECB5EAC" w:rsidR="00F53385" w:rsidRDefault="00F53385" w:rsidP="00733747">
      <w:pPr>
        <w:jc w:val="both"/>
      </w:pPr>
    </w:p>
    <w:p w14:paraId="3AFBDD7A" w14:textId="6B6C67DC" w:rsidR="00F53385" w:rsidRDefault="00F53385" w:rsidP="00733747">
      <w:pPr>
        <w:jc w:val="both"/>
      </w:pPr>
    </w:p>
    <w:p w14:paraId="38D95B42" w14:textId="058EC208" w:rsidR="00F53385" w:rsidRDefault="00F53385" w:rsidP="00733747">
      <w:pPr>
        <w:jc w:val="both"/>
      </w:pPr>
    </w:p>
    <w:p w14:paraId="50B65238" w14:textId="77777777" w:rsidR="00F53385" w:rsidRDefault="00F53385" w:rsidP="00733747">
      <w:pPr>
        <w:jc w:val="both"/>
      </w:pPr>
    </w:p>
    <w:p w14:paraId="18612D82" w14:textId="77777777" w:rsidR="0045477C" w:rsidRDefault="0045477C" w:rsidP="005773AC">
      <w:pPr>
        <w:tabs>
          <w:tab w:val="left" w:pos="3699"/>
        </w:tabs>
        <w:spacing w:after="240" w:line="240" w:lineRule="exact"/>
        <w:rPr>
          <w:rFonts w:ascii="Arial" w:hAnsi="Arial" w:cs="Arial"/>
          <w:color w:val="000000"/>
          <w:lang w:val="en-US"/>
        </w:rPr>
      </w:pPr>
    </w:p>
    <w:p w14:paraId="2093C709" w14:textId="2BD7FF12" w:rsidR="00ED25C1" w:rsidRPr="00ED25C1" w:rsidRDefault="00ED25C1" w:rsidP="005773AC">
      <w:pPr>
        <w:tabs>
          <w:tab w:val="left" w:pos="3699"/>
        </w:tabs>
        <w:spacing w:after="240" w:line="240" w:lineRule="exact"/>
        <w:rPr>
          <w:rFonts w:ascii="Arial" w:hAnsi="Arial" w:cs="Arial"/>
          <w:color w:val="000000"/>
          <w:lang w:val="en-US"/>
        </w:rPr>
      </w:pPr>
      <w:r w:rsidRPr="00ED25C1">
        <w:rPr>
          <w:rFonts w:ascii="Arial" w:hAnsi="Arial" w:cs="Arial"/>
          <w:noProof/>
          <w:color w:val="000000"/>
          <w:lang w:val="en-US"/>
        </w:rPr>
        <mc:AlternateContent>
          <mc:Choice Requires="wps">
            <w:drawing>
              <wp:anchor distT="0" distB="0" distL="114300" distR="114300" simplePos="0" relativeHeight="251674624" behindDoc="1" locked="0" layoutInCell="1" allowOverlap="1" wp14:anchorId="69ED805C" wp14:editId="0598FACF">
                <wp:simplePos x="0" y="0"/>
                <wp:positionH relativeFrom="column">
                  <wp:posOffset>1123950</wp:posOffset>
                </wp:positionH>
                <wp:positionV relativeFrom="paragraph">
                  <wp:posOffset>9525</wp:posOffset>
                </wp:positionV>
                <wp:extent cx="4514400" cy="1267200"/>
                <wp:effectExtent l="0" t="0" r="19685" b="28575"/>
                <wp:wrapNone/>
                <wp:docPr id="12" name="Rectangle: Rounded Corners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14400" cy="126720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716359" id="Rectangle: Rounded Corners 12" o:spid="_x0000_s1026" alt="&quot;&quot;" style="position:absolute;margin-left:88.5pt;margin-top:.75pt;width:355.45pt;height:99.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" fillcolor="#8064a2 [3207]" strokecolor="#3f3151 [1607]" strokeweight="2pt"/>
            </w:pict>
          </mc:Fallback>
        </mc:AlternateContent>
      </w:r>
    </w:p>
    <w:p w14:paraId="64DF3FD2" w14:textId="275B5BA8" w:rsidR="00ED25C1" w:rsidRPr="005773AC" w:rsidRDefault="00ED25C1" w:rsidP="00ED25C1">
      <w:pPr>
        <w:spacing w:line="240" w:lineRule="exact"/>
        <w:jc w:val="center"/>
        <w:rPr>
          <w:rFonts w:ascii="Arial" w:hAnsi="Arial" w:cs="Arial"/>
          <w:color w:val="000000"/>
          <w:lang w:val="en-US"/>
        </w:rPr>
      </w:pPr>
      <w:r w:rsidRPr="005773AC">
        <w:rPr>
          <w:rFonts w:ascii="Arial" w:hAnsi="Arial" w:cs="Arial"/>
          <w:color w:val="000000"/>
          <w:lang w:val="en-US"/>
        </w:rPr>
        <w:t>For more information about MAPPA in Cleveland</w:t>
      </w:r>
    </w:p>
    <w:p w14:paraId="2D3FFD93" w14:textId="6BCD64F3" w:rsidR="00ED25C1" w:rsidRPr="005773AC" w:rsidRDefault="00ED25C1" w:rsidP="00ED25C1">
      <w:pPr>
        <w:spacing w:line="240" w:lineRule="exact"/>
        <w:jc w:val="center"/>
        <w:rPr>
          <w:rFonts w:ascii="Arial" w:hAnsi="Arial" w:cs="Arial"/>
          <w:color w:val="000000"/>
          <w:lang w:val="en-US"/>
        </w:rPr>
      </w:pPr>
      <w:r w:rsidRPr="005773AC">
        <w:rPr>
          <w:rFonts w:ascii="Arial" w:hAnsi="Arial" w:cs="Arial"/>
          <w:color w:val="000000"/>
          <w:lang w:val="en-US"/>
        </w:rPr>
        <w:t>or for compliments, comments or complaints</w:t>
      </w:r>
    </w:p>
    <w:p w14:paraId="41A6B530" w14:textId="64B8BEB0" w:rsidR="00ED25C1" w:rsidRPr="005773AC" w:rsidRDefault="00ED25C1" w:rsidP="00ED25C1">
      <w:pPr>
        <w:spacing w:line="240" w:lineRule="exact"/>
        <w:jc w:val="center"/>
        <w:rPr>
          <w:rFonts w:ascii="Arial" w:hAnsi="Arial" w:cs="Arial"/>
          <w:color w:val="000000"/>
          <w:lang w:val="en-US"/>
        </w:rPr>
      </w:pPr>
      <w:r w:rsidRPr="005773AC">
        <w:rPr>
          <w:rFonts w:ascii="Arial" w:hAnsi="Arial" w:cs="Arial"/>
          <w:color w:val="000000"/>
          <w:lang w:val="en-US"/>
        </w:rPr>
        <w:t>please contact us at</w:t>
      </w:r>
    </w:p>
    <w:p w14:paraId="1E78494B" w14:textId="1CBA8DD1" w:rsidR="00ED25C1" w:rsidRPr="005773AC" w:rsidRDefault="00ED25C1" w:rsidP="00ED25C1">
      <w:pPr>
        <w:spacing w:line="240" w:lineRule="exact"/>
        <w:jc w:val="center"/>
        <w:rPr>
          <w:rFonts w:ascii="Arial" w:hAnsi="Arial" w:cs="Arial"/>
          <w:color w:val="7030A0"/>
        </w:rPr>
      </w:pPr>
      <w:r w:rsidRPr="005773AC">
        <w:rPr>
          <w:rFonts w:ascii="Arial" w:hAnsi="Arial" w:cs="Arial"/>
          <w:color w:val="000000"/>
          <w:lang w:val="en-US"/>
        </w:rPr>
        <w:t>NEPS.Teesvalley.MAPPA@Justice.gov.uk</w:t>
      </w:r>
    </w:p>
    <w:p w14:paraId="0FF626E8" w14:textId="77777777" w:rsidR="00B436F7" w:rsidRDefault="00B436F7" w:rsidP="005773AC">
      <w:pPr>
        <w:rPr>
          <w:rFonts w:cs="Arial"/>
          <w:color w:val="7030A0"/>
          <w:sz w:val="100"/>
          <w:szCs w:val="100"/>
        </w:rPr>
        <w:sectPr w:rsidR="00B436F7" w:rsidSect="00735E92">
          <w:footerReference w:type="default" r:id="rId14"/>
          <w:type w:val="continuous"/>
          <w:pgSz w:w="11905" w:h="16837" w:code="9"/>
          <w:pgMar w:top="720" w:right="720" w:bottom="720" w:left="720" w:header="720" w:footer="567" w:gutter="0"/>
          <w:cols w:space="720"/>
          <w:noEndnote/>
        </w:sectPr>
      </w:pPr>
    </w:p>
    <w:p w14:paraId="3D989333" w14:textId="0C4300EA" w:rsidR="00DE361C" w:rsidRPr="00780F68" w:rsidRDefault="00DE361C" w:rsidP="005773AC">
      <w:pPr>
        <w:rPr>
          <w:rFonts w:cs="Arial"/>
          <w:color w:val="7030A0"/>
          <w:sz w:val="100"/>
          <w:szCs w:val="100"/>
        </w:rPr>
      </w:pPr>
      <w:r w:rsidRPr="00780F68">
        <w:rPr>
          <w:rFonts w:cs="Arial"/>
          <w:color w:val="7030A0"/>
          <w:sz w:val="100"/>
          <w:szCs w:val="100"/>
        </w:rPr>
        <w:lastRenderedPageBreak/>
        <w:t>Andrew Bake</w:t>
      </w:r>
    </w:p>
    <w:p w14:paraId="2153EB5D" w14:textId="6E96ACFF" w:rsidR="00DE361C" w:rsidRPr="00780F68" w:rsidRDefault="00DE361C" w:rsidP="00DE361C">
      <w:pPr>
        <w:pStyle w:val="MAPPA-HeadingPara"/>
        <w:spacing w:after="0"/>
        <w:rPr>
          <w:rFonts w:cs="Arial"/>
          <w:color w:val="7030A0"/>
          <w:sz w:val="56"/>
          <w:szCs w:val="56"/>
        </w:rPr>
      </w:pPr>
      <w:r w:rsidRPr="00780F68">
        <w:rPr>
          <w:rFonts w:cs="Arial"/>
          <w:color w:val="7030A0"/>
          <w:sz w:val="56"/>
          <w:szCs w:val="56"/>
        </w:rPr>
        <w:t>Cleveland MAPPA Coordinator</w:t>
      </w:r>
    </w:p>
    <w:p w14:paraId="5D61F227" w14:textId="77777777" w:rsidR="00DE361C" w:rsidRPr="00DE361C" w:rsidRDefault="00DE361C" w:rsidP="00DE361C">
      <w:pPr>
        <w:pStyle w:val="MAPPA-HeadingPara"/>
        <w:spacing w:after="0"/>
        <w:rPr>
          <w:rFonts w:ascii="Tahoma" w:hAnsi="Tahoma" w:cs="Tahoma"/>
          <w:color w:val="7030A0"/>
          <w:sz w:val="24"/>
        </w:rPr>
      </w:pPr>
    </w:p>
    <w:p w14:paraId="641681E9" w14:textId="7755763D" w:rsidR="00D9019D" w:rsidRDefault="00FB1CF3" w:rsidP="00ED25C1">
      <w:pPr>
        <w:rPr>
          <w:rFonts w:ascii="Arial" w:hAnsi="Arial" w:cs="Arial"/>
        </w:rPr>
      </w:pPr>
      <w:r w:rsidRPr="00D95BC1">
        <w:rPr>
          <w:noProof/>
        </w:rPr>
        <w:drawing>
          <wp:inline distT="0" distB="0" distL="0" distR="0" wp14:anchorId="24A604F3" wp14:editId="25C9043D">
            <wp:extent cx="1326515" cy="980263"/>
            <wp:effectExtent l="0" t="0" r="6985" b="0"/>
            <wp:docPr id="2" name="Picture 2" descr="Picture of Andrew Bake, Cleveland MAPPA Co-ord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 of Andrew Bake, Cleveland MAPPA Co-ordinator"/>
                    <pic:cNvPicPr/>
                  </pic:nvPicPr>
                  <pic:blipFill>
                    <a:blip r:embed="rId15"/>
                    <a:stretch>
                      <a:fillRect/>
                    </a:stretch>
                  </pic:blipFill>
                  <pic:spPr>
                    <a:xfrm>
                      <a:off x="0" y="0"/>
                      <a:ext cx="1326515" cy="980263"/>
                    </a:xfrm>
                    <a:prstGeom prst="rect">
                      <a:avLst/>
                    </a:prstGeom>
                  </pic:spPr>
                </pic:pic>
              </a:graphicData>
            </a:graphic>
          </wp:inline>
        </w:drawing>
      </w:r>
    </w:p>
    <w:p w14:paraId="071D6555" w14:textId="55C95FA0" w:rsidR="006F236C" w:rsidRDefault="006F236C" w:rsidP="001B0CC5">
      <w:pPr>
        <w:jc w:val="both"/>
        <w:rPr>
          <w:rFonts w:ascii="Arial" w:hAnsi="Arial" w:cs="Arial"/>
        </w:rPr>
      </w:pPr>
    </w:p>
    <w:p w14:paraId="29664D9A" w14:textId="54BBC391" w:rsidR="002A03F4" w:rsidRDefault="002A03F4" w:rsidP="001B0CC5">
      <w:pPr>
        <w:jc w:val="both"/>
        <w:rPr>
          <w:rFonts w:ascii="Arial" w:hAnsi="Arial" w:cs="Arial"/>
        </w:rPr>
      </w:pPr>
    </w:p>
    <w:p w14:paraId="713F4D79" w14:textId="77777777" w:rsidR="00B436F7" w:rsidRDefault="00B436F7" w:rsidP="001B0CC5">
      <w:pPr>
        <w:jc w:val="both"/>
        <w:rPr>
          <w:rFonts w:ascii="Arial" w:hAnsi="Arial" w:cs="Arial"/>
        </w:rPr>
        <w:sectPr w:rsidR="00B436F7" w:rsidSect="00FB1CF3">
          <w:type w:val="continuous"/>
          <w:pgSz w:w="11905" w:h="16837" w:code="9"/>
          <w:pgMar w:top="720" w:right="720" w:bottom="720" w:left="720" w:header="720" w:footer="567" w:gutter="0"/>
          <w:cols w:num="2" w:space="721" w:equalWidth="0">
            <w:col w:w="7088" w:space="721"/>
            <w:col w:w="2656"/>
          </w:cols>
          <w:noEndnote/>
        </w:sectPr>
      </w:pPr>
    </w:p>
    <w:p w14:paraId="424A7B7A" w14:textId="77777777" w:rsidR="002A03F4" w:rsidRDefault="002A03F4" w:rsidP="001B0CC5">
      <w:pPr>
        <w:jc w:val="both"/>
        <w:rPr>
          <w:rFonts w:ascii="Arial" w:hAnsi="Arial" w:cs="Arial"/>
        </w:rPr>
      </w:pPr>
    </w:p>
    <w:p w14:paraId="7E3E1F15" w14:textId="6FC37AC6" w:rsidR="006F236C" w:rsidRDefault="006F236C" w:rsidP="00ED25C1"/>
    <w:p w14:paraId="72F6252D" w14:textId="63D96C87" w:rsidR="0075264A" w:rsidRDefault="0075264A" w:rsidP="0075264A">
      <w:pPr>
        <w:jc w:val="both"/>
      </w:pPr>
      <w:r>
        <w:t xml:space="preserve">Another solid year of MAPPA performance, we continue to assess and manage those identified as posing the highest risk to public safety, as we continue to ensure MAPPA procedures/policies and joint working are at the forefront of Criminal Justice. </w:t>
      </w:r>
    </w:p>
    <w:p w14:paraId="749DA26B" w14:textId="77777777" w:rsidR="0075264A" w:rsidRDefault="0075264A" w:rsidP="0075264A">
      <w:pPr>
        <w:jc w:val="both"/>
      </w:pPr>
    </w:p>
    <w:p w14:paraId="2562D694" w14:textId="77777777" w:rsidR="0075264A" w:rsidRDefault="0075264A" w:rsidP="0075264A">
      <w:pPr>
        <w:jc w:val="both"/>
      </w:pPr>
      <w:r>
        <w:t xml:space="preserve">We welcome a new SMB MAPPA chair Lisa Theaker, who I look forward to working with in Future. </w:t>
      </w:r>
    </w:p>
    <w:p w14:paraId="2399FE59" w14:textId="77777777" w:rsidR="0075264A" w:rsidRDefault="0075264A" w:rsidP="0075264A">
      <w:pPr>
        <w:jc w:val="both"/>
      </w:pPr>
    </w:p>
    <w:p w14:paraId="46327C67" w14:textId="77777777" w:rsidR="0075264A" w:rsidRDefault="0075264A" w:rsidP="0075264A">
      <w:pPr>
        <w:jc w:val="both"/>
      </w:pPr>
      <w:r>
        <w:t xml:space="preserve">Thinking of the future and maybe it is a symptom of 32 years’ service with the various iterations of the Probation Service, but I have recently been reflecting not only on my career but the changes from 1991 to 2023 and its impact on the way we (MAPPA agencies) work. </w:t>
      </w:r>
    </w:p>
    <w:p w14:paraId="0F5F8B45" w14:textId="77777777" w:rsidR="0075264A" w:rsidRDefault="0075264A" w:rsidP="0075264A">
      <w:pPr>
        <w:jc w:val="both"/>
      </w:pPr>
    </w:p>
    <w:p w14:paraId="31B307BC" w14:textId="77777777" w:rsidR="0075264A" w:rsidRDefault="0075264A" w:rsidP="0075264A">
      <w:pPr>
        <w:jc w:val="both"/>
      </w:pPr>
      <w:r>
        <w:t xml:space="preserve">As a newly qualified Probation Officer in 1991, MAPPA was not even a twinkle in someone’s eye. However, over the years, process and legislation evolved and changed culminating in the sweeping reforms of the Criminal Justice act 2003 when MAPPA was born. </w:t>
      </w:r>
    </w:p>
    <w:p w14:paraId="78095ADF" w14:textId="77777777" w:rsidR="0075264A" w:rsidRDefault="0075264A" w:rsidP="0075264A">
      <w:pPr>
        <w:jc w:val="both"/>
      </w:pPr>
    </w:p>
    <w:p w14:paraId="23186C6D" w14:textId="17D19CE5" w:rsidR="0075264A" w:rsidRDefault="0075264A" w:rsidP="0075264A">
      <w:pPr>
        <w:jc w:val="both"/>
      </w:pPr>
      <w:r>
        <w:t>When I look back and consider the way we worked in 1991 compared to today, a younger me would have been bewildered at the joint working and use of technology that supports and underpins our work. The flow of information between agencies now compared to the “confidential” way we worked in the early 199</w:t>
      </w:r>
      <w:r w:rsidR="009F5E8E">
        <w:t>0’s</w:t>
      </w:r>
      <w:r>
        <w:t xml:space="preserve"> is staggering.  </w:t>
      </w:r>
    </w:p>
    <w:p w14:paraId="6EB8119D" w14:textId="77777777" w:rsidR="0075264A" w:rsidRDefault="0075264A" w:rsidP="0075264A">
      <w:pPr>
        <w:jc w:val="both"/>
      </w:pPr>
    </w:p>
    <w:p w14:paraId="0DFFC0A9" w14:textId="1E753005" w:rsidR="0075264A" w:rsidRDefault="0075264A" w:rsidP="0075264A">
      <w:pPr>
        <w:jc w:val="both"/>
      </w:pPr>
      <w:r>
        <w:t>Intel/Info is now shared to keep the public safe, within clearly defined boundaries. If you had told me in 1991 that I would be chairing multi agency meetings via Microsoft Teams and have access to a range of electronic systems, I would have requested a drug test (which is ironic as we didn’t have them in 1991 either).</w:t>
      </w:r>
    </w:p>
    <w:p w14:paraId="251B00D3" w14:textId="77777777" w:rsidR="0075264A" w:rsidRDefault="0075264A" w:rsidP="0075264A">
      <w:pPr>
        <w:jc w:val="both"/>
      </w:pPr>
    </w:p>
    <w:p w14:paraId="0CA2938F" w14:textId="36A5D94B" w:rsidR="0075264A" w:rsidRDefault="0075264A" w:rsidP="0075264A">
      <w:pPr>
        <w:jc w:val="both"/>
      </w:pPr>
      <w:r>
        <w:t>It is said that war is the engine of change, however in my experience it has been constant development/learning from serious and not so serious incidents, developing IT, which COVID really did put a rocket under, and agencies committing to working towards keeping our public safe.</w:t>
      </w:r>
    </w:p>
    <w:p w14:paraId="27F71F5D" w14:textId="77777777" w:rsidR="0075264A" w:rsidRDefault="0075264A" w:rsidP="0075264A">
      <w:pPr>
        <w:jc w:val="both"/>
      </w:pPr>
    </w:p>
    <w:p w14:paraId="39E50C2D" w14:textId="2B43D85C" w:rsidR="0075264A" w:rsidRDefault="0075264A" w:rsidP="0075264A">
      <w:pPr>
        <w:jc w:val="both"/>
      </w:pPr>
      <w:r>
        <w:t xml:space="preserve">What will this look in another 32 years in 2055, who knows? But at the pace of change I have personally experienced, I suspect technology will have developed in such a way that those who work to keep the Public safe in 2055 will look back at 2023 and think “Is that really how we worked?”  </w:t>
      </w:r>
    </w:p>
    <w:p w14:paraId="5B4F744D" w14:textId="77777777" w:rsidR="0075264A" w:rsidRDefault="0075264A" w:rsidP="0075264A">
      <w:pPr>
        <w:jc w:val="both"/>
      </w:pPr>
    </w:p>
    <w:p w14:paraId="001A056B" w14:textId="1E149221" w:rsidR="00CB75D3" w:rsidRDefault="0075264A" w:rsidP="0075264A">
      <w:pPr>
        <w:jc w:val="both"/>
      </w:pPr>
      <w:r>
        <w:t>Food for thought?</w:t>
      </w:r>
    </w:p>
    <w:p w14:paraId="7BB2FB68" w14:textId="1C63C00A" w:rsidR="0075264A" w:rsidRDefault="0075264A" w:rsidP="0075264A">
      <w:pPr>
        <w:jc w:val="both"/>
      </w:pPr>
    </w:p>
    <w:p w14:paraId="3CFBE7BB" w14:textId="26F5C8D0" w:rsidR="00CB75D3" w:rsidRDefault="00CB75D3" w:rsidP="00C353CF">
      <w:pPr>
        <w:jc w:val="both"/>
      </w:pPr>
    </w:p>
    <w:p w14:paraId="3E25A47C" w14:textId="4524097B" w:rsidR="00CB75D3" w:rsidRDefault="00CB75D3" w:rsidP="00C353CF">
      <w:pPr>
        <w:jc w:val="both"/>
      </w:pPr>
    </w:p>
    <w:p w14:paraId="128C84C2" w14:textId="33CDCE7C" w:rsidR="00CB75D3" w:rsidRDefault="00CB75D3" w:rsidP="00C353CF">
      <w:pPr>
        <w:jc w:val="both"/>
      </w:pPr>
    </w:p>
    <w:p w14:paraId="7CA838D3" w14:textId="5C98F727" w:rsidR="004C6460" w:rsidRDefault="004C6460" w:rsidP="00C353CF">
      <w:pPr>
        <w:jc w:val="both"/>
      </w:pPr>
    </w:p>
    <w:p w14:paraId="734E80C9" w14:textId="25AF9542" w:rsidR="004C6460" w:rsidRDefault="004C6460" w:rsidP="00ED25C1"/>
    <w:p w14:paraId="5BFDD0BA" w14:textId="333D61E9" w:rsidR="004C6460" w:rsidRDefault="004C6460" w:rsidP="00ED25C1"/>
    <w:p w14:paraId="2F72BCE4" w14:textId="5FC536E4" w:rsidR="005F28B2" w:rsidRDefault="005F28B2" w:rsidP="00ED25C1">
      <w:pPr>
        <w:rPr>
          <w:rFonts w:ascii="Arial" w:hAnsi="Arial" w:cs="Arial"/>
        </w:rPr>
      </w:pPr>
    </w:p>
    <w:p w14:paraId="3EEBD11E" w14:textId="77C24B6E" w:rsidR="001F6696" w:rsidRPr="0069414D" w:rsidRDefault="006F236C" w:rsidP="006F236C">
      <w:pPr>
        <w:pStyle w:val="MAPPA-Heaingsection"/>
        <w:rPr>
          <w:color w:val="7030A0"/>
        </w:rPr>
      </w:pPr>
      <w:r w:rsidRPr="0069414D">
        <w:rPr>
          <w:color w:val="7030A0"/>
        </w:rPr>
        <w:lastRenderedPageBreak/>
        <w:t>What is MAPPA?</w:t>
      </w:r>
    </w:p>
    <w:p w14:paraId="55065672" w14:textId="77777777" w:rsidR="006F236C" w:rsidRPr="007C7106" w:rsidRDefault="006F236C" w:rsidP="006F236C">
      <w:pPr>
        <w:pStyle w:val="Default"/>
        <w:pBdr>
          <w:bottom w:val="single" w:sz="4" w:space="1" w:color="007BC3"/>
        </w:pBdr>
        <w:rPr>
          <w:rFonts w:ascii="Arial" w:hAnsi="Arial" w:cs="Arial"/>
          <w:color w:val="FFFFFF"/>
          <w:sz w:val="16"/>
          <w:szCs w:val="16"/>
        </w:rPr>
      </w:pPr>
    </w:p>
    <w:p w14:paraId="7400CE85" w14:textId="77777777" w:rsidR="001F6696" w:rsidRPr="008D1CDE" w:rsidRDefault="001F6696" w:rsidP="001F6696">
      <w:pPr>
        <w:pStyle w:val="Style1"/>
        <w:jc w:val="both"/>
      </w:pPr>
      <w:r w:rsidRPr="008D1CDE">
        <w:t>MAPPA background</w:t>
      </w:r>
    </w:p>
    <w:p w14:paraId="5DFFC81D"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38ACEDDB"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5D2DC4EC"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3FE86DD2"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52C9F432" w14:textId="77777777" w:rsidR="001F6696" w:rsidRPr="00206B09" w:rsidRDefault="001F6696" w:rsidP="001F6696">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8A9F303" w14:textId="77777777" w:rsidR="001F6696" w:rsidRPr="006A45B8" w:rsidRDefault="001F6696" w:rsidP="001F6696">
      <w:pPr>
        <w:pStyle w:val="Style1"/>
        <w:jc w:val="both"/>
      </w:pPr>
      <w:r w:rsidRPr="006A45B8">
        <w:t>How MAPPA works</w:t>
      </w:r>
    </w:p>
    <w:p w14:paraId="1ADC938F" w14:textId="77777777" w:rsidR="001F6696" w:rsidRPr="00206B09" w:rsidRDefault="001F6696" w:rsidP="001F6696">
      <w:pPr>
        <w:pStyle w:val="MAPPA-Bodytext"/>
        <w:jc w:val="both"/>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1B1583C8" w14:textId="77777777" w:rsidR="001F6696" w:rsidRPr="00206B09" w:rsidRDefault="001F6696" w:rsidP="001F6696">
      <w:pPr>
        <w:pStyle w:val="MAPPA-Bodytext"/>
        <w:jc w:val="both"/>
        <w:rPr>
          <w:sz w:val="24"/>
          <w:szCs w:val="24"/>
          <w:lang w:val="en-GB"/>
        </w:rPr>
      </w:pPr>
      <w:r w:rsidRPr="00206B09">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236D574A" w14:textId="77777777" w:rsidR="001F6696" w:rsidRPr="00206B09" w:rsidRDefault="001F6696" w:rsidP="001F6696">
      <w:pPr>
        <w:pStyle w:val="MAPPA-Bodytext"/>
        <w:jc w:val="both"/>
        <w:rPr>
          <w:sz w:val="24"/>
          <w:szCs w:val="24"/>
          <w:lang w:val="en-GB"/>
        </w:rPr>
      </w:pPr>
      <w:r w:rsidRPr="00206B09">
        <w:rPr>
          <w:sz w:val="24"/>
          <w:szCs w:val="24"/>
          <w:lang w:val="en-GB"/>
        </w:rPr>
        <w:t xml:space="preserve">There are </w:t>
      </w:r>
      <w:r>
        <w:rPr>
          <w:sz w:val="24"/>
          <w:szCs w:val="24"/>
          <w:lang w:val="en-GB"/>
        </w:rPr>
        <w:t>4</w:t>
      </w:r>
      <w:r w:rsidRPr="00206B09">
        <w:rPr>
          <w:sz w:val="24"/>
          <w:szCs w:val="24"/>
          <w:lang w:val="en-GB"/>
        </w:rPr>
        <w:t xml:space="preserve"> categories of MAPPA-eligible </w:t>
      </w:r>
      <w:r>
        <w:rPr>
          <w:sz w:val="24"/>
          <w:szCs w:val="24"/>
          <w:lang w:val="en-GB"/>
        </w:rPr>
        <w:t>individual</w:t>
      </w:r>
      <w:r w:rsidRPr="00206B09">
        <w:rPr>
          <w:sz w:val="24"/>
          <w:szCs w:val="24"/>
          <w:lang w:val="en-GB"/>
        </w:rPr>
        <w:t xml:space="preserve">: </w:t>
      </w:r>
    </w:p>
    <w:p w14:paraId="34BA7E3C" w14:textId="0763E025" w:rsidR="001F6696" w:rsidRPr="00206B09" w:rsidRDefault="001F6696" w:rsidP="001F6696">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–subject to sex offender notification requirements. </w:t>
      </w:r>
    </w:p>
    <w:p w14:paraId="7189A128" w14:textId="44BDA888" w:rsidR="001F6696" w:rsidRPr="00206B09" w:rsidRDefault="001F6696" w:rsidP="001F6696">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47F861CF" w14:textId="77777777" w:rsidR="001F6696" w:rsidRDefault="001F6696" w:rsidP="001F6696">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Pr>
          <w:sz w:val="24"/>
          <w:szCs w:val="24"/>
          <w:lang w:val="en-GB"/>
        </w:rPr>
        <w:t>individuals</w:t>
      </w:r>
      <w:r w:rsidRPr="00206B09">
        <w:rPr>
          <w:sz w:val="24"/>
          <w:szCs w:val="24"/>
          <w:lang w:val="en-GB"/>
        </w:rPr>
        <w:t xml:space="preserve"> who do not qualify under Categories 1</w:t>
      </w:r>
      <w:r>
        <w:rPr>
          <w:sz w:val="24"/>
          <w:szCs w:val="24"/>
          <w:lang w:val="en-GB"/>
        </w:rPr>
        <w:t>,</w:t>
      </w:r>
      <w:r w:rsidRPr="00206B09">
        <w:rPr>
          <w:sz w:val="24"/>
          <w:szCs w:val="24"/>
          <w:lang w:val="en-GB"/>
        </w:rPr>
        <w:t xml:space="preserve"> 2 </w:t>
      </w:r>
      <w:r>
        <w:rPr>
          <w:sz w:val="24"/>
          <w:szCs w:val="24"/>
          <w:lang w:val="en-GB"/>
        </w:rPr>
        <w:t xml:space="preserve">or 4 </w:t>
      </w:r>
      <w:r w:rsidRPr="00206B09">
        <w:rPr>
          <w:sz w:val="24"/>
          <w:szCs w:val="24"/>
          <w:lang w:val="en-GB"/>
        </w:rPr>
        <w:t>but who</w:t>
      </w:r>
      <w:r>
        <w:rPr>
          <w:sz w:val="24"/>
          <w:szCs w:val="24"/>
          <w:lang w:val="en-GB"/>
        </w:rPr>
        <w:t>se offences</w:t>
      </w:r>
      <w:r w:rsidRPr="00206B09">
        <w:rPr>
          <w:sz w:val="24"/>
          <w:szCs w:val="24"/>
          <w:lang w:val="en-GB"/>
        </w:rPr>
        <w:t xml:space="preserve"> pose a risk of serious harm. </w:t>
      </w:r>
    </w:p>
    <w:p w14:paraId="1ECD19CB" w14:textId="77777777" w:rsidR="001F6696" w:rsidRPr="00206B09" w:rsidRDefault="001F6696" w:rsidP="001F6696">
      <w:pPr>
        <w:pStyle w:val="MAPPA-Bodytext"/>
        <w:numPr>
          <w:ilvl w:val="0"/>
          <w:numId w:val="1"/>
        </w:numPr>
        <w:jc w:val="both"/>
        <w:rPr>
          <w:sz w:val="24"/>
          <w:szCs w:val="24"/>
          <w:lang w:val="en-GB"/>
        </w:rPr>
      </w:pPr>
      <w:r>
        <w:rPr>
          <w:b/>
          <w:sz w:val="24"/>
          <w:szCs w:val="24"/>
          <w:lang w:val="en-GB"/>
        </w:rPr>
        <w:t xml:space="preserve">Category 4 </w:t>
      </w:r>
      <w:r>
        <w:rPr>
          <w:bCs/>
          <w:sz w:val="24"/>
          <w:szCs w:val="24"/>
          <w:lang w:val="en-GB"/>
        </w:rPr>
        <w:t>– terrorism convicted and terrorism risk individuals</w:t>
      </w:r>
    </w:p>
    <w:p w14:paraId="3D63412F" w14:textId="505C48B5" w:rsidR="001F6696" w:rsidRPr="00206B09" w:rsidRDefault="001F6696" w:rsidP="001F6696">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presenting the higher risks of serious harm. </w:t>
      </w:r>
    </w:p>
    <w:p w14:paraId="23C88A02" w14:textId="57A64820" w:rsidR="001F6696" w:rsidRPr="00206B09" w:rsidRDefault="001F6696" w:rsidP="001F6696">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is where the </w:t>
      </w:r>
      <w:r>
        <w:rPr>
          <w:sz w:val="24"/>
          <w:szCs w:val="24"/>
          <w:lang w:val="en-GB"/>
        </w:rPr>
        <w:t>individual</w:t>
      </w:r>
      <w:r w:rsidRPr="00206B09">
        <w:rPr>
          <w:sz w:val="24"/>
          <w:szCs w:val="24"/>
          <w:lang w:val="en-GB"/>
        </w:rPr>
        <w:t xml:space="preserve"> is managed by the lead agency with information exchange and </w:t>
      </w:r>
      <w:r w:rsidRPr="00C53F03">
        <w:rPr>
          <w:b/>
          <w:bCs/>
          <w:sz w:val="24"/>
          <w:szCs w:val="24"/>
          <w:lang w:val="en-GB"/>
        </w:rPr>
        <w:t>multi-agency support</w:t>
      </w:r>
      <w:r w:rsidRPr="00206B09">
        <w:rPr>
          <w:sz w:val="24"/>
          <w:szCs w:val="24"/>
          <w:lang w:val="en-GB"/>
        </w:rPr>
        <w:t xml:space="preserve"> as required but without formal MAPPA meetings. </w:t>
      </w:r>
    </w:p>
    <w:p w14:paraId="5F6331B6" w14:textId="77777777" w:rsidR="001F6696" w:rsidRPr="00206B09" w:rsidRDefault="001F6696" w:rsidP="001F6696">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formal MAPPA meetings are required to manage the </w:t>
      </w:r>
      <w:r>
        <w:rPr>
          <w:sz w:val="24"/>
          <w:szCs w:val="24"/>
          <w:lang w:val="en-GB"/>
        </w:rPr>
        <w:t>individual</w:t>
      </w:r>
      <w:r w:rsidRPr="00206B09">
        <w:rPr>
          <w:sz w:val="24"/>
          <w:szCs w:val="24"/>
          <w:lang w:val="en-GB"/>
        </w:rPr>
        <w:t xml:space="preserve">. </w:t>
      </w:r>
    </w:p>
    <w:p w14:paraId="7B76FBCA" w14:textId="77777777" w:rsidR="001F6696" w:rsidRPr="00206B09" w:rsidRDefault="001F6696" w:rsidP="001F6696">
      <w:pPr>
        <w:pStyle w:val="MAPPA-Bodytext"/>
        <w:numPr>
          <w:ilvl w:val="0"/>
          <w:numId w:val="2"/>
        </w:numPr>
        <w:jc w:val="both"/>
        <w:rPr>
          <w:sz w:val="24"/>
          <w:szCs w:val="24"/>
          <w:lang w:val="en-GB"/>
        </w:rPr>
      </w:pPr>
      <w:r w:rsidRPr="00206B09">
        <w:rPr>
          <w:b/>
          <w:sz w:val="24"/>
          <w:szCs w:val="24"/>
          <w:lang w:val="en-GB"/>
        </w:rPr>
        <w:lastRenderedPageBreak/>
        <w:t xml:space="preserve">Level 3 </w:t>
      </w:r>
      <w:r w:rsidRPr="00206B09">
        <w:rPr>
          <w:sz w:val="24"/>
          <w:szCs w:val="24"/>
          <w:lang w:val="en-GB"/>
        </w:rPr>
        <w:t xml:space="preserve">is where risk management plans require the attendance and commitment of resources at a senior level at MAPPA meetings. </w:t>
      </w:r>
    </w:p>
    <w:p w14:paraId="1EA66B12" w14:textId="77777777" w:rsidR="001F6696" w:rsidRPr="00206B09" w:rsidRDefault="001F6696" w:rsidP="001F6696">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enables the safe transfer of key information when high risk </w:t>
      </w:r>
      <w:r>
        <w:rPr>
          <w:sz w:val="24"/>
          <w:szCs w:val="24"/>
          <w:lang w:val="en-GB"/>
        </w:rPr>
        <w:t>individuals</w:t>
      </w:r>
      <w:r w:rsidRPr="00206B09">
        <w:rPr>
          <w:sz w:val="24"/>
          <w:szCs w:val="24"/>
          <w:lang w:val="en-GB"/>
        </w:rPr>
        <w:t xml:space="preserve"> move</w:t>
      </w:r>
      <w:r>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71666096" w14:textId="77777777" w:rsidR="001F6696" w:rsidRPr="006A45B8" w:rsidRDefault="001F6696" w:rsidP="001F6696">
      <w:pPr>
        <w:pStyle w:val="Style1"/>
        <w:jc w:val="both"/>
      </w:pPr>
      <w:r w:rsidRPr="006A45B8">
        <w:t xml:space="preserve">MAPPA and Terrorism </w:t>
      </w:r>
    </w:p>
    <w:p w14:paraId="7F944C88" w14:textId="77777777" w:rsidR="001F6696" w:rsidRPr="00206B09" w:rsidRDefault="001F6696" w:rsidP="001F6696">
      <w:pPr>
        <w:pStyle w:val="MAPPA-Bodytext"/>
        <w:jc w:val="both"/>
        <w:rPr>
          <w:sz w:val="24"/>
          <w:szCs w:val="24"/>
          <w:lang w:val="en-GB"/>
        </w:rPr>
      </w:pPr>
      <w:r w:rsidRPr="00206B09">
        <w:rPr>
          <w:sz w:val="24"/>
          <w:szCs w:val="24"/>
          <w:lang w:val="en-GB"/>
        </w:rPr>
        <w:t>The government published an Independent Review of the MAPPA used to Supervise Terroris</w:t>
      </w:r>
      <w:r>
        <w:rPr>
          <w:sz w:val="24"/>
          <w:szCs w:val="24"/>
          <w:lang w:val="en-GB"/>
        </w:rPr>
        <w:t>m</w:t>
      </w:r>
      <w:r w:rsidRPr="00206B09">
        <w:rPr>
          <w:sz w:val="24"/>
          <w:szCs w:val="24"/>
          <w:lang w:val="en-GB"/>
        </w:rPr>
        <w:t xml:space="preserve"> and Terrorism-risk </w:t>
      </w:r>
      <w:r>
        <w:rPr>
          <w:sz w:val="24"/>
          <w:szCs w:val="24"/>
          <w:lang w:val="en-GB"/>
        </w:rPr>
        <w:t>individuals</w:t>
      </w:r>
      <w:r w:rsidRPr="00206B09">
        <w:rPr>
          <w:sz w:val="24"/>
          <w:szCs w:val="24"/>
          <w:lang w:val="en-GB"/>
        </w:rPr>
        <w:t xml:space="preserve"> on 2 September 2020 and published its response on 9 December. Both documents are available at </w:t>
      </w:r>
      <w:hyperlink r:id="rId16" w:history="1">
        <w:r w:rsidRPr="00206B09">
          <w:rPr>
            <w:rStyle w:val="Hyperlink"/>
            <w:rFonts w:cs="Arial"/>
            <w:sz w:val="24"/>
            <w:szCs w:val="24"/>
            <w:lang w:val="en-GB"/>
          </w:rPr>
          <w:t>https://www.gov.uk/government/publications/multi-agency-public-protection-arrangements-review</w:t>
        </w:r>
      </w:hyperlink>
      <w:r w:rsidRPr="00206B09">
        <w:rPr>
          <w:rStyle w:val="Hyperlink"/>
          <w:rFonts w:cs="Arial"/>
          <w:sz w:val="24"/>
          <w:szCs w:val="24"/>
          <w:lang w:val="en-GB"/>
        </w:rPr>
        <w:t xml:space="preserve">. </w:t>
      </w:r>
      <w:r w:rsidRPr="00206B09">
        <w:rPr>
          <w:sz w:val="24"/>
          <w:szCs w:val="24"/>
          <w:lang w:val="en-GB"/>
        </w:rPr>
        <w:t xml:space="preserve">The report made a number of recommendations, </w:t>
      </w:r>
      <w:r>
        <w:rPr>
          <w:sz w:val="24"/>
          <w:szCs w:val="24"/>
          <w:lang w:val="en-GB"/>
        </w:rPr>
        <w:t xml:space="preserve">the majority </w:t>
      </w:r>
      <w:r w:rsidRPr="00206B09">
        <w:rPr>
          <w:sz w:val="24"/>
          <w:szCs w:val="24"/>
          <w:lang w:val="en-GB"/>
        </w:rPr>
        <w:t>of which have been implemented</w:t>
      </w:r>
      <w:r>
        <w:rPr>
          <w:sz w:val="24"/>
          <w:szCs w:val="24"/>
          <w:lang w:val="en-GB"/>
        </w:rPr>
        <w:t>, including</w:t>
      </w:r>
      <w:r w:rsidRPr="00206B09">
        <w:rPr>
          <w:sz w:val="24"/>
          <w:szCs w:val="24"/>
          <w:lang w:val="en-GB"/>
        </w:rPr>
        <w:t xml:space="preserve"> via the Counter-Terrorism and Sentencing Act 2021 and the Police, Crime, Sentencing and Courts Act 2022. The Secretary of State has also revised the statutory MAPPA Guidance on terroris</w:t>
      </w:r>
      <w:r>
        <w:rPr>
          <w:sz w:val="24"/>
          <w:szCs w:val="24"/>
          <w:lang w:val="en-GB"/>
        </w:rPr>
        <w:t>m</w:t>
      </w:r>
      <w:r w:rsidRPr="00206B09">
        <w:rPr>
          <w:sz w:val="24"/>
          <w:szCs w:val="24"/>
          <w:lang w:val="en-GB"/>
        </w:rPr>
        <w:t xml:space="preserve"> offenders.</w:t>
      </w:r>
    </w:p>
    <w:p w14:paraId="7748E8ED" w14:textId="77777777" w:rsidR="001F6696" w:rsidRPr="00206B09" w:rsidRDefault="001F6696" w:rsidP="001F6696">
      <w:pPr>
        <w:pStyle w:val="MAPPA-Bodytext"/>
        <w:jc w:val="both"/>
        <w:rPr>
          <w:sz w:val="24"/>
          <w:szCs w:val="24"/>
          <w:lang w:val="en-GB"/>
        </w:rPr>
      </w:pPr>
      <w:r w:rsidRPr="00206B09">
        <w:rPr>
          <w:sz w:val="24"/>
          <w:szCs w:val="24"/>
          <w:lang w:val="en-GB"/>
        </w:rPr>
        <w:t xml:space="preserve">The Probation Service, via its National Security Division, has created a specialist dedicated and highly skilled workforce, which provides an enhanced level of management and intervention for the most high-risk, complex and high-profile </w:t>
      </w:r>
      <w:r>
        <w:rPr>
          <w:sz w:val="24"/>
          <w:szCs w:val="24"/>
          <w:lang w:val="en-GB"/>
        </w:rPr>
        <w:t>individuals</w:t>
      </w:r>
      <w:r w:rsidRPr="00206B09">
        <w:rPr>
          <w:sz w:val="24"/>
          <w:szCs w:val="24"/>
          <w:lang w:val="en-GB"/>
        </w:rPr>
        <w:t xml:space="preserve"> in the community. This includes the management of terrorist connected and terrorist risk offenders. The NSD and Counter-Terrorism Policing work closely with local SMBs to ensure the robust management of terrorism cases.</w:t>
      </w:r>
      <w:r>
        <w:rPr>
          <w:sz w:val="24"/>
          <w:szCs w:val="24"/>
          <w:lang w:val="en-GB"/>
        </w:rPr>
        <w:t xml:space="preserve"> Data on Category 4 individuals is not included in this report due to data protection issues related to low numbers. This data will be aggregated and published nationally.</w:t>
      </w:r>
    </w:p>
    <w:p w14:paraId="431CBF1D" w14:textId="77777777" w:rsidR="001F6696" w:rsidRPr="00206B09" w:rsidRDefault="001F6696" w:rsidP="001F6696">
      <w:pPr>
        <w:pStyle w:val="MAPPA-Bodytext"/>
        <w:jc w:val="both"/>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6F2F36EB" w14:textId="326DECB2" w:rsidR="001F6696" w:rsidRDefault="001F6696" w:rsidP="006F236C">
      <w:pPr>
        <w:pStyle w:val="MAPPA-Bodytext"/>
        <w:sectPr w:rsidR="001F6696" w:rsidSect="00735E92">
          <w:type w:val="continuous"/>
          <w:pgSz w:w="11905" w:h="16837" w:code="9"/>
          <w:pgMar w:top="720" w:right="720" w:bottom="720" w:left="720" w:header="720" w:footer="567" w:gutter="0"/>
          <w:cols w:space="720"/>
          <w:noEndnote/>
        </w:sectPr>
      </w:pPr>
    </w:p>
    <w:p w14:paraId="015AB79B" w14:textId="77777777" w:rsidR="006F236C" w:rsidRDefault="006F236C" w:rsidP="006F236C">
      <w:pPr>
        <w:pStyle w:val="MAPPA-Bodytext"/>
      </w:pPr>
    </w:p>
    <w:p w14:paraId="776ADBCF" w14:textId="77777777" w:rsidR="006F236C" w:rsidRDefault="006F236C" w:rsidP="006F236C">
      <w:pPr>
        <w:pStyle w:val="MAPPA-HeadingPara"/>
      </w:pPr>
    </w:p>
    <w:p w14:paraId="0A9BB124" w14:textId="77777777" w:rsidR="001F6696" w:rsidRDefault="001F6696" w:rsidP="006F236C">
      <w:pPr>
        <w:pStyle w:val="MAPPA-HeadingPara"/>
      </w:pPr>
    </w:p>
    <w:p w14:paraId="736C7E8F" w14:textId="77777777" w:rsidR="001F6696" w:rsidRDefault="001F6696" w:rsidP="006F236C">
      <w:pPr>
        <w:pStyle w:val="MAPPA-HeadingPara"/>
      </w:pPr>
    </w:p>
    <w:p w14:paraId="4D45F78A" w14:textId="77777777" w:rsidR="001F6696" w:rsidRDefault="001F6696" w:rsidP="006F236C">
      <w:pPr>
        <w:pStyle w:val="MAPPA-HeadingPara"/>
      </w:pPr>
    </w:p>
    <w:p w14:paraId="0CF63928" w14:textId="77777777" w:rsidR="001F6696" w:rsidRDefault="001F6696" w:rsidP="006F236C">
      <w:pPr>
        <w:pStyle w:val="MAPPA-HeadingPara"/>
      </w:pPr>
    </w:p>
    <w:p w14:paraId="36A54721" w14:textId="77777777" w:rsidR="001F6696" w:rsidRDefault="001F6696" w:rsidP="006F236C">
      <w:pPr>
        <w:pStyle w:val="MAPPA-HeadingPara"/>
      </w:pPr>
    </w:p>
    <w:p w14:paraId="7834D45F" w14:textId="77777777" w:rsidR="001F6696" w:rsidRDefault="001F6696" w:rsidP="006F236C">
      <w:pPr>
        <w:pStyle w:val="MAPPA-HeadingPara"/>
      </w:pPr>
    </w:p>
    <w:p w14:paraId="08F9EC03" w14:textId="77777777" w:rsidR="001F6696" w:rsidRDefault="001F6696" w:rsidP="006F236C">
      <w:pPr>
        <w:pStyle w:val="MAPPA-HeadingPara"/>
      </w:pPr>
    </w:p>
    <w:p w14:paraId="10426DE2" w14:textId="1DC42631" w:rsidR="001F6696" w:rsidRDefault="001F6696" w:rsidP="006F236C">
      <w:pPr>
        <w:pStyle w:val="MAPPA-HeadingPara"/>
        <w:sectPr w:rsidR="001F6696" w:rsidSect="00867C9E">
          <w:type w:val="continuous"/>
          <w:pgSz w:w="11905" w:h="16837" w:code="9"/>
          <w:pgMar w:top="720" w:right="720" w:bottom="720" w:left="720" w:header="720" w:footer="567" w:gutter="0"/>
          <w:cols w:space="720"/>
          <w:noEndnote/>
        </w:sectPr>
      </w:pPr>
    </w:p>
    <w:p w14:paraId="6B335901" w14:textId="77777777" w:rsidR="006F236C" w:rsidRPr="001F0E43" w:rsidRDefault="006F236C" w:rsidP="006F236C">
      <w:pPr>
        <w:pStyle w:val="MAPPA-HeadingPara"/>
        <w:rPr>
          <w:lang w:val="en-GB"/>
        </w:rPr>
        <w:sectPr w:rsidR="006F236C" w:rsidRPr="001F0E43" w:rsidSect="00867C9E">
          <w:type w:val="continuous"/>
          <w:pgSz w:w="11905" w:h="16837" w:code="9"/>
          <w:pgMar w:top="720" w:right="720" w:bottom="720" w:left="720" w:header="720" w:footer="567" w:gutter="0"/>
          <w:cols w:space="720"/>
          <w:noEndnote/>
        </w:sectPr>
      </w:pPr>
    </w:p>
    <w:p w14:paraId="63C95B76" w14:textId="5F7BDBC9" w:rsidR="00332EE6" w:rsidRPr="00ED25C1" w:rsidRDefault="00332EE6" w:rsidP="00332EE6">
      <w:pPr>
        <w:pStyle w:val="MAPPA-Heaingsection"/>
        <w:rPr>
          <w:color w:val="7030A0"/>
        </w:rPr>
      </w:pPr>
      <w:r w:rsidRPr="00ED25C1">
        <w:rPr>
          <w:color w:val="7030A0"/>
        </w:rPr>
        <w:lastRenderedPageBreak/>
        <w:t>MAPPA Statistics</w:t>
      </w:r>
    </w:p>
    <w:p w14:paraId="3EC6AC63" w14:textId="77777777" w:rsidR="00332EE6" w:rsidRPr="00ED25C1" w:rsidRDefault="00332EE6" w:rsidP="00332EE6">
      <w:pPr>
        <w:pStyle w:val="Default"/>
        <w:pBdr>
          <w:bottom w:val="single" w:sz="4" w:space="1" w:color="007BC3"/>
        </w:pBdr>
        <w:rPr>
          <w:rFonts w:ascii="Arial" w:hAnsi="Arial" w:cs="Arial"/>
          <w:color w:val="FFFFFF"/>
          <w:sz w:val="16"/>
          <w:szCs w:val="16"/>
        </w:rPr>
      </w:pPr>
    </w:p>
    <w:p w14:paraId="0857564A" w14:textId="77777777" w:rsidR="001F6696" w:rsidRDefault="001F6696" w:rsidP="001F6696">
      <w:pPr>
        <w:keepNext/>
        <w:keepLines/>
        <w:spacing w:before="40" w:line="360" w:lineRule="auto"/>
        <w:outlineLvl w:val="2"/>
        <w:rPr>
          <w:rFonts w:ascii="Arial" w:eastAsiaTheme="majorEastAsia" w:hAnsi="Arial" w:cstheme="majorBidi"/>
          <w:b/>
          <w:bCs/>
          <w:color w:val="243F60" w:themeColor="accent1" w:themeShade="7F"/>
        </w:rPr>
      </w:pPr>
    </w:p>
    <w:p w14:paraId="023438D2" w14:textId="0C2F297D"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t>MAPPA-eligible individuals on 31 March 2023</w:t>
      </w:r>
    </w:p>
    <w:tbl>
      <w:tblPr>
        <w:tblStyle w:val="Style4"/>
        <w:tblW w:w="10485" w:type="dxa"/>
        <w:tblLook w:val="04A0" w:firstRow="1" w:lastRow="0" w:firstColumn="1" w:lastColumn="0" w:noHBand="0" w:noVBand="1"/>
      </w:tblPr>
      <w:tblGrid>
        <w:gridCol w:w="1742"/>
        <w:gridCol w:w="2185"/>
        <w:gridCol w:w="2186"/>
        <w:gridCol w:w="2186"/>
        <w:gridCol w:w="2186"/>
      </w:tblGrid>
      <w:tr w:rsidR="001F6696" w:rsidRPr="001F6696" w14:paraId="722052B0" w14:textId="77777777" w:rsidTr="0057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287483D7"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p>
        </w:tc>
        <w:tc>
          <w:tcPr>
            <w:tcW w:w="2185" w:type="dxa"/>
          </w:tcPr>
          <w:p w14:paraId="18F2A7C0"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1:</w:t>
            </w:r>
            <w:r w:rsidRPr="001F6696">
              <w:rPr>
                <w:b w:val="0"/>
                <w:bCs w:val="0"/>
                <w:color w:val="000000" w:themeColor="text1"/>
              </w:rPr>
              <w:br/>
              <w:t>Subject to sex offender notification requirements</w:t>
            </w:r>
          </w:p>
        </w:tc>
        <w:tc>
          <w:tcPr>
            <w:tcW w:w="2186" w:type="dxa"/>
          </w:tcPr>
          <w:p w14:paraId="301A36A9"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2:</w:t>
            </w:r>
            <w:r w:rsidRPr="001F6696">
              <w:rPr>
                <w:b w:val="0"/>
                <w:bCs w:val="0"/>
                <w:color w:val="000000" w:themeColor="text1"/>
              </w:rPr>
              <w:br/>
              <w:t>Violent</w:t>
            </w:r>
            <w:r w:rsidRPr="001F6696">
              <w:rPr>
                <w:b w:val="0"/>
                <w:bCs w:val="0"/>
                <w:color w:val="000000" w:themeColor="text1"/>
              </w:rPr>
              <w:br/>
              <w:t>offenders</w:t>
            </w:r>
          </w:p>
        </w:tc>
        <w:tc>
          <w:tcPr>
            <w:tcW w:w="2186" w:type="dxa"/>
          </w:tcPr>
          <w:p w14:paraId="78AFB6ED"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3:</w:t>
            </w:r>
            <w:r w:rsidRPr="001F6696">
              <w:rPr>
                <w:b w:val="0"/>
                <w:bCs w:val="0"/>
                <w:color w:val="000000" w:themeColor="text1"/>
              </w:rPr>
              <w:br/>
              <w:t>Other dangerous</w:t>
            </w:r>
            <w:r w:rsidRPr="001F6696">
              <w:rPr>
                <w:b w:val="0"/>
                <w:bCs w:val="0"/>
                <w:color w:val="000000" w:themeColor="text1"/>
              </w:rPr>
              <w:br/>
              <w:t>offenders</w:t>
            </w:r>
          </w:p>
        </w:tc>
        <w:tc>
          <w:tcPr>
            <w:tcW w:w="2186" w:type="dxa"/>
          </w:tcPr>
          <w:p w14:paraId="08099185"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Total</w:t>
            </w:r>
          </w:p>
        </w:tc>
      </w:tr>
      <w:tr w:rsidR="001F6696" w:rsidRPr="001F6696" w14:paraId="2E7F147E"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D110CB1"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1</w:t>
            </w:r>
          </w:p>
        </w:tc>
        <w:tc>
          <w:tcPr>
            <w:tcW w:w="2185" w:type="dxa"/>
          </w:tcPr>
          <w:p w14:paraId="7220CBB9"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1115</w:t>
            </w:r>
          </w:p>
        </w:tc>
        <w:tc>
          <w:tcPr>
            <w:tcW w:w="2186" w:type="dxa"/>
          </w:tcPr>
          <w:p w14:paraId="6F3467D9"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331</w:t>
            </w:r>
          </w:p>
        </w:tc>
        <w:tc>
          <w:tcPr>
            <w:tcW w:w="2186" w:type="dxa"/>
          </w:tcPr>
          <w:p w14:paraId="4880E28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w:t>
            </w:r>
          </w:p>
        </w:tc>
        <w:tc>
          <w:tcPr>
            <w:tcW w:w="2186" w:type="dxa"/>
          </w:tcPr>
          <w:p w14:paraId="137FF24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1446</w:t>
            </w:r>
          </w:p>
        </w:tc>
      </w:tr>
      <w:tr w:rsidR="001F6696" w:rsidRPr="001F6696" w14:paraId="05886B67"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C41F92B"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2</w:t>
            </w:r>
          </w:p>
        </w:tc>
        <w:tc>
          <w:tcPr>
            <w:tcW w:w="2185" w:type="dxa"/>
          </w:tcPr>
          <w:p w14:paraId="6A00C6D4"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1</w:t>
            </w:r>
          </w:p>
        </w:tc>
        <w:tc>
          <w:tcPr>
            <w:tcW w:w="2186" w:type="dxa"/>
          </w:tcPr>
          <w:p w14:paraId="3AD8958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4</w:t>
            </w:r>
          </w:p>
        </w:tc>
        <w:tc>
          <w:tcPr>
            <w:tcW w:w="2186" w:type="dxa"/>
          </w:tcPr>
          <w:p w14:paraId="21EDF03B"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16</w:t>
            </w:r>
          </w:p>
        </w:tc>
        <w:tc>
          <w:tcPr>
            <w:tcW w:w="2186" w:type="dxa"/>
          </w:tcPr>
          <w:p w14:paraId="4025CF24"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21</w:t>
            </w:r>
          </w:p>
        </w:tc>
      </w:tr>
      <w:tr w:rsidR="001F6696" w:rsidRPr="001F6696" w14:paraId="31BECAC2"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D8D014B"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tcW w:w="2185" w:type="dxa"/>
          </w:tcPr>
          <w:p w14:paraId="057780E7"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0</w:t>
            </w:r>
          </w:p>
        </w:tc>
        <w:tc>
          <w:tcPr>
            <w:tcW w:w="2186" w:type="dxa"/>
          </w:tcPr>
          <w:p w14:paraId="5498CB8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0</w:t>
            </w:r>
          </w:p>
        </w:tc>
        <w:tc>
          <w:tcPr>
            <w:tcW w:w="2186" w:type="dxa"/>
          </w:tcPr>
          <w:p w14:paraId="04C5AB74"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0</w:t>
            </w:r>
          </w:p>
        </w:tc>
        <w:tc>
          <w:tcPr>
            <w:tcW w:w="2186" w:type="dxa"/>
          </w:tcPr>
          <w:p w14:paraId="2E4F42B4"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0</w:t>
            </w:r>
          </w:p>
        </w:tc>
      </w:tr>
      <w:tr w:rsidR="001F6696" w:rsidRPr="001F6696" w14:paraId="542F3DFC"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7F75465F"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tcW w:w="2185" w:type="dxa"/>
          </w:tcPr>
          <w:p w14:paraId="511998CE"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1116</w:t>
            </w:r>
          </w:p>
        </w:tc>
        <w:tc>
          <w:tcPr>
            <w:tcW w:w="2186" w:type="dxa"/>
          </w:tcPr>
          <w:p w14:paraId="5E07FF0F"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335</w:t>
            </w:r>
          </w:p>
        </w:tc>
        <w:tc>
          <w:tcPr>
            <w:tcW w:w="2186" w:type="dxa"/>
          </w:tcPr>
          <w:p w14:paraId="73D0D5B0"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16</w:t>
            </w:r>
          </w:p>
        </w:tc>
        <w:tc>
          <w:tcPr>
            <w:tcW w:w="2186" w:type="dxa"/>
          </w:tcPr>
          <w:p w14:paraId="2DA2A8B7"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color w:val="000000" w:themeColor="text1"/>
              </w:rPr>
              <w:t>1467</w:t>
            </w:r>
          </w:p>
        </w:tc>
      </w:tr>
    </w:tbl>
    <w:p w14:paraId="3369CDA8"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sz w:val="20"/>
          <w:szCs w:val="28"/>
        </w:rPr>
      </w:pPr>
    </w:p>
    <w:p w14:paraId="7D036917" w14:textId="77777777"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1F6696" w:rsidRPr="001F6696" w14:paraId="408B14AD" w14:textId="77777777" w:rsidTr="0057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6E38701"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p>
        </w:tc>
        <w:tc>
          <w:tcPr>
            <w:tcW w:w="2185" w:type="dxa"/>
          </w:tcPr>
          <w:p w14:paraId="61BED75A"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1:</w:t>
            </w:r>
            <w:r w:rsidRPr="001F6696">
              <w:rPr>
                <w:b w:val="0"/>
                <w:bCs w:val="0"/>
                <w:color w:val="000000" w:themeColor="text1"/>
              </w:rPr>
              <w:br/>
              <w:t>Subject to sex offender notification requirements</w:t>
            </w:r>
          </w:p>
        </w:tc>
        <w:tc>
          <w:tcPr>
            <w:tcW w:w="2186" w:type="dxa"/>
          </w:tcPr>
          <w:p w14:paraId="7158750E"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2:</w:t>
            </w:r>
            <w:r w:rsidRPr="001F6696">
              <w:rPr>
                <w:b w:val="0"/>
                <w:bCs w:val="0"/>
                <w:color w:val="000000" w:themeColor="text1"/>
              </w:rPr>
              <w:br/>
              <w:t>Violent</w:t>
            </w:r>
            <w:r w:rsidRPr="001F6696">
              <w:rPr>
                <w:b w:val="0"/>
                <w:bCs w:val="0"/>
                <w:color w:val="000000" w:themeColor="text1"/>
              </w:rPr>
              <w:br/>
              <w:t>offenders</w:t>
            </w:r>
          </w:p>
        </w:tc>
        <w:tc>
          <w:tcPr>
            <w:tcW w:w="2186" w:type="dxa"/>
          </w:tcPr>
          <w:p w14:paraId="698F805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3:</w:t>
            </w:r>
            <w:r w:rsidRPr="001F6696">
              <w:rPr>
                <w:b w:val="0"/>
                <w:bCs w:val="0"/>
                <w:color w:val="000000" w:themeColor="text1"/>
              </w:rPr>
              <w:br/>
              <w:t>Other dangerous</w:t>
            </w:r>
            <w:r w:rsidRPr="001F6696">
              <w:rPr>
                <w:b w:val="0"/>
                <w:bCs w:val="0"/>
                <w:color w:val="000000" w:themeColor="text1"/>
              </w:rPr>
              <w:br/>
              <w:t>offenders</w:t>
            </w:r>
          </w:p>
        </w:tc>
        <w:tc>
          <w:tcPr>
            <w:tcW w:w="2186" w:type="dxa"/>
          </w:tcPr>
          <w:p w14:paraId="413C4760"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Total</w:t>
            </w:r>
          </w:p>
        </w:tc>
      </w:tr>
      <w:tr w:rsidR="001F6696" w:rsidRPr="001F6696" w14:paraId="7636CC22"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32A512C8"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2</w:t>
            </w:r>
          </w:p>
        </w:tc>
        <w:tc>
          <w:tcPr>
            <w:tcW w:w="2185" w:type="dxa"/>
          </w:tcPr>
          <w:p w14:paraId="01CE45A5"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6</w:t>
            </w:r>
          </w:p>
        </w:tc>
        <w:tc>
          <w:tcPr>
            <w:tcW w:w="2186" w:type="dxa"/>
          </w:tcPr>
          <w:p w14:paraId="61528D40"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9</w:t>
            </w:r>
          </w:p>
        </w:tc>
        <w:tc>
          <w:tcPr>
            <w:tcW w:w="2186" w:type="dxa"/>
          </w:tcPr>
          <w:p w14:paraId="3701C6F1"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35</w:t>
            </w:r>
          </w:p>
        </w:tc>
        <w:tc>
          <w:tcPr>
            <w:tcW w:w="2186" w:type="dxa"/>
          </w:tcPr>
          <w:p w14:paraId="5A39CB3D"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50</w:t>
            </w:r>
          </w:p>
        </w:tc>
      </w:tr>
      <w:tr w:rsidR="001F6696" w:rsidRPr="001F6696" w14:paraId="001B1C73"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2F42208D"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tcW w:w="2185" w:type="dxa"/>
          </w:tcPr>
          <w:p w14:paraId="16E77FCA"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0</w:t>
            </w:r>
          </w:p>
        </w:tc>
        <w:tc>
          <w:tcPr>
            <w:tcW w:w="2186" w:type="dxa"/>
          </w:tcPr>
          <w:p w14:paraId="4A1E358F"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0</w:t>
            </w:r>
          </w:p>
        </w:tc>
        <w:tc>
          <w:tcPr>
            <w:tcW w:w="2186" w:type="dxa"/>
          </w:tcPr>
          <w:p w14:paraId="03F98C3D"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1</w:t>
            </w:r>
          </w:p>
        </w:tc>
        <w:tc>
          <w:tcPr>
            <w:tcW w:w="2186" w:type="dxa"/>
          </w:tcPr>
          <w:p w14:paraId="1785B91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1</w:t>
            </w:r>
          </w:p>
        </w:tc>
      </w:tr>
      <w:tr w:rsidR="001F6696" w:rsidRPr="001F6696" w14:paraId="578BAD3E"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2B1F20E0"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tcW w:w="2185" w:type="dxa"/>
          </w:tcPr>
          <w:p w14:paraId="643CF496"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6</w:t>
            </w:r>
          </w:p>
        </w:tc>
        <w:tc>
          <w:tcPr>
            <w:tcW w:w="2186" w:type="dxa"/>
          </w:tcPr>
          <w:p w14:paraId="11800419"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9</w:t>
            </w:r>
          </w:p>
        </w:tc>
        <w:tc>
          <w:tcPr>
            <w:tcW w:w="2186" w:type="dxa"/>
          </w:tcPr>
          <w:p w14:paraId="7729F23E"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36</w:t>
            </w:r>
          </w:p>
        </w:tc>
        <w:tc>
          <w:tcPr>
            <w:tcW w:w="2186" w:type="dxa"/>
          </w:tcPr>
          <w:p w14:paraId="1F3F3973"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fldChar w:fldCharType="begin"/>
            </w:r>
            <w:r w:rsidRPr="001F6696">
              <w:rPr>
                <w:b w:val="0"/>
                <w:color w:val="000000" w:themeColor="text1"/>
              </w:rPr>
              <w:instrText xml:space="preserve"> =Sum(ABOVE) </w:instrText>
            </w:r>
            <w:r w:rsidRPr="001F6696">
              <w:fldChar w:fldCharType="separate"/>
            </w:r>
            <w:r w:rsidRPr="001F6696">
              <w:rPr>
                <w:b w:val="0"/>
                <w:noProof/>
                <w:color w:val="000000" w:themeColor="text1"/>
              </w:rPr>
              <w:t>51</w:t>
            </w:r>
            <w:r w:rsidRPr="001F6696">
              <w:fldChar w:fldCharType="end"/>
            </w:r>
          </w:p>
        </w:tc>
      </w:tr>
    </w:tbl>
    <w:p w14:paraId="248213C5"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rPr>
      </w:pPr>
    </w:p>
    <w:tbl>
      <w:tblPr>
        <w:tblStyle w:val="Style5"/>
        <w:tblW w:w="0" w:type="auto"/>
        <w:tblLook w:val="01E0" w:firstRow="1" w:lastRow="1" w:firstColumn="1" w:lastColumn="1" w:noHBand="0" w:noVBand="0"/>
      </w:tblPr>
      <w:tblGrid>
        <w:gridCol w:w="8366"/>
        <w:gridCol w:w="2089"/>
      </w:tblGrid>
      <w:tr w:rsidR="001F6696" w:rsidRPr="001F6696" w14:paraId="2470830C" w14:textId="77777777" w:rsidTr="00570366">
        <w:tc>
          <w:tcPr>
            <w:cnfStyle w:val="001000000000" w:firstRow="0" w:lastRow="0" w:firstColumn="1" w:lastColumn="0" w:oddVBand="0" w:evenVBand="0" w:oddHBand="0" w:evenHBand="0" w:firstRowFirstColumn="0" w:firstRowLastColumn="0" w:lastRowFirstColumn="0" w:lastRowLastColumn="0"/>
            <w:tcW w:w="8466" w:type="dxa"/>
          </w:tcPr>
          <w:p w14:paraId="2D3D23CA" w14:textId="77777777" w:rsidR="001F6696" w:rsidRPr="001F6696" w:rsidRDefault="001F6696" w:rsidP="001F6696">
            <w:pPr>
              <w:keepNext/>
              <w:keepLines/>
              <w:spacing w:before="40"/>
              <w:outlineLvl w:val="2"/>
              <w:rPr>
                <w:rFonts w:eastAsiaTheme="majorEastAsia" w:cstheme="majorBidi"/>
                <w:color w:val="000000" w:themeColor="text1"/>
              </w:rPr>
            </w:pPr>
            <w:r w:rsidRPr="001F6696">
              <w:rPr>
                <w:rFonts w:eastAsiaTheme="majorEastAsia" w:cstheme="majorBidi"/>
                <w:color w:val="000000" w:themeColor="text1"/>
              </w:rPr>
              <w:t>Category 1 cautioned or convicted for breach of notification requirements</w:t>
            </w:r>
          </w:p>
        </w:tc>
        <w:tc>
          <w:tcPr>
            <w:tcW w:w="2113" w:type="dxa"/>
          </w:tcPr>
          <w:p w14:paraId="1D92D134"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F6696">
              <w:rPr>
                <w:color w:val="000000" w:themeColor="text1"/>
              </w:rPr>
              <w:t>4</w:t>
            </w:r>
            <w:r w:rsidRPr="001F6696">
              <w:rPr>
                <w:color w:val="000000" w:themeColor="text1"/>
                <w:lang w:val="en-US"/>
              </w:rPr>
              <w:t>9</w:t>
            </w:r>
          </w:p>
        </w:tc>
      </w:tr>
    </w:tbl>
    <w:p w14:paraId="0B601DF5"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rPr>
      </w:pPr>
    </w:p>
    <w:tbl>
      <w:tblPr>
        <w:tblStyle w:val="Style5"/>
        <w:tblW w:w="0" w:type="auto"/>
        <w:tblLook w:val="01E0" w:firstRow="1" w:lastRow="1" w:firstColumn="1" w:lastColumn="1" w:noHBand="0" w:noVBand="0"/>
      </w:tblPr>
      <w:tblGrid>
        <w:gridCol w:w="8367"/>
        <w:gridCol w:w="2088"/>
      </w:tblGrid>
      <w:tr w:rsidR="001F6696" w:rsidRPr="001F6696" w14:paraId="3498A10B" w14:textId="77777777" w:rsidTr="00570366">
        <w:tc>
          <w:tcPr>
            <w:cnfStyle w:val="001000000000" w:firstRow="0" w:lastRow="0" w:firstColumn="1" w:lastColumn="0" w:oddVBand="0" w:evenVBand="0" w:oddHBand="0" w:evenHBand="0" w:firstRowFirstColumn="0" w:firstRowLastColumn="0" w:lastRowFirstColumn="0" w:lastRowLastColumn="0"/>
            <w:tcW w:w="8466" w:type="dxa"/>
          </w:tcPr>
          <w:p w14:paraId="0169F522" w14:textId="77777777" w:rsidR="001F6696" w:rsidRPr="001F6696" w:rsidRDefault="001F6696" w:rsidP="001F6696">
            <w:pPr>
              <w:keepNext/>
              <w:keepLines/>
              <w:spacing w:before="40"/>
              <w:outlineLvl w:val="2"/>
              <w:rPr>
                <w:rFonts w:eastAsiaTheme="majorEastAsia" w:cstheme="majorBidi"/>
                <w:color w:val="000000" w:themeColor="text1"/>
              </w:rPr>
            </w:pPr>
            <w:r w:rsidRPr="001F6696">
              <w:rPr>
                <w:rFonts w:eastAsiaTheme="majorEastAsia" w:cstheme="majorBidi"/>
                <w:color w:val="000000" w:themeColor="text1"/>
              </w:rPr>
              <w:t xml:space="preserve">Category 1 who have had their life time notification revoked on application </w:t>
            </w:r>
          </w:p>
        </w:tc>
        <w:tc>
          <w:tcPr>
            <w:tcW w:w="2113" w:type="dxa"/>
          </w:tcPr>
          <w:p w14:paraId="58EDC482"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F6696">
              <w:rPr>
                <w:color w:val="000000" w:themeColor="text1"/>
              </w:rPr>
              <w:t>2</w:t>
            </w:r>
          </w:p>
        </w:tc>
      </w:tr>
    </w:tbl>
    <w:p w14:paraId="5E6704ED"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sz w:val="20"/>
          <w:szCs w:val="28"/>
        </w:rPr>
      </w:pPr>
    </w:p>
    <w:p w14:paraId="3134E173" w14:textId="77777777"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t>Restrictive orders for Category 1 offenders</w:t>
      </w:r>
    </w:p>
    <w:tbl>
      <w:tblPr>
        <w:tblStyle w:val="Style5"/>
        <w:tblW w:w="0" w:type="auto"/>
        <w:tblLook w:val="04A0" w:firstRow="1" w:lastRow="0" w:firstColumn="1" w:lastColumn="0" w:noHBand="0" w:noVBand="1"/>
      </w:tblPr>
      <w:tblGrid>
        <w:gridCol w:w="8359"/>
        <w:gridCol w:w="2096"/>
      </w:tblGrid>
      <w:tr w:rsidR="001F6696" w:rsidRPr="001F6696" w14:paraId="03BDAF44"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54B9BB17" w14:textId="77777777" w:rsidR="001F6696" w:rsidRPr="001F6696" w:rsidRDefault="001F6696" w:rsidP="001F6696">
            <w:pPr>
              <w:suppressAutoHyphens/>
              <w:autoSpaceDE w:val="0"/>
              <w:autoSpaceDN w:val="0"/>
              <w:adjustRightInd w:val="0"/>
              <w:spacing w:before="30" w:after="30" w:line="260" w:lineRule="exact"/>
              <w:textAlignment w:val="center"/>
              <w:rPr>
                <w:color w:val="000000" w:themeColor="text1"/>
              </w:rPr>
            </w:pPr>
            <w:r w:rsidRPr="001F6696">
              <w:rPr>
                <w:color w:val="000000" w:themeColor="text1"/>
              </w:rPr>
              <w:t>Sexual Harm Prevention Order (SHPO)</w:t>
            </w:r>
          </w:p>
        </w:tc>
        <w:tc>
          <w:tcPr>
            <w:tcW w:w="2096" w:type="dxa"/>
          </w:tcPr>
          <w:p w14:paraId="744B31AD"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F6696">
              <w:rPr>
                <w:color w:val="000000" w:themeColor="text1"/>
                <w:lang w:val="en-US"/>
              </w:rPr>
              <w:t>82</w:t>
            </w:r>
          </w:p>
        </w:tc>
      </w:tr>
      <w:tr w:rsidR="001F6696" w:rsidRPr="001F6696" w14:paraId="2A4C528C"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1EF96918" w14:textId="77777777" w:rsidR="001F6696" w:rsidRPr="001F6696" w:rsidRDefault="001F6696" w:rsidP="001F6696">
            <w:pPr>
              <w:suppressAutoHyphens/>
              <w:autoSpaceDE w:val="0"/>
              <w:autoSpaceDN w:val="0"/>
              <w:adjustRightInd w:val="0"/>
              <w:spacing w:before="30" w:after="30" w:line="260" w:lineRule="exact"/>
              <w:textAlignment w:val="center"/>
              <w:rPr>
                <w:color w:val="000000" w:themeColor="text1"/>
              </w:rPr>
            </w:pPr>
            <w:r w:rsidRPr="001F6696">
              <w:rPr>
                <w:color w:val="000000" w:themeColor="text1"/>
              </w:rPr>
              <w:t>SHPO with foreign travel restriction</w:t>
            </w:r>
          </w:p>
        </w:tc>
        <w:tc>
          <w:tcPr>
            <w:tcW w:w="2096" w:type="dxa"/>
          </w:tcPr>
          <w:p w14:paraId="614189B2"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F6696">
              <w:rPr>
                <w:color w:val="000000" w:themeColor="text1"/>
                <w:lang w:val="en-US"/>
              </w:rPr>
              <w:t>0</w:t>
            </w:r>
          </w:p>
        </w:tc>
      </w:tr>
      <w:tr w:rsidR="001F6696" w:rsidRPr="001F6696" w14:paraId="41FFF02E"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4D079961" w14:textId="77777777" w:rsidR="001F6696" w:rsidRPr="001F6696" w:rsidRDefault="001F6696" w:rsidP="001F6696">
            <w:pPr>
              <w:suppressAutoHyphens/>
              <w:autoSpaceDE w:val="0"/>
              <w:autoSpaceDN w:val="0"/>
              <w:adjustRightInd w:val="0"/>
              <w:spacing w:before="30" w:after="30" w:line="260" w:lineRule="exact"/>
              <w:textAlignment w:val="center"/>
              <w:rPr>
                <w:color w:val="000000" w:themeColor="text1"/>
              </w:rPr>
            </w:pPr>
            <w:r w:rsidRPr="001F6696">
              <w:rPr>
                <w:color w:val="000000" w:themeColor="text1"/>
              </w:rPr>
              <w:t>Notification Order</w:t>
            </w:r>
          </w:p>
        </w:tc>
        <w:tc>
          <w:tcPr>
            <w:tcW w:w="2096" w:type="dxa"/>
          </w:tcPr>
          <w:p w14:paraId="3793F3E2"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F6696">
              <w:rPr>
                <w:color w:val="000000" w:themeColor="text1"/>
                <w:lang w:val="en-US"/>
              </w:rPr>
              <w:t>3</w:t>
            </w:r>
          </w:p>
        </w:tc>
      </w:tr>
    </w:tbl>
    <w:p w14:paraId="12ADEEB4"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rPr>
      </w:pPr>
    </w:p>
    <w:tbl>
      <w:tblPr>
        <w:tblStyle w:val="Style5"/>
        <w:tblW w:w="0" w:type="auto"/>
        <w:tblLook w:val="01E0" w:firstRow="1" w:lastRow="1" w:firstColumn="1" w:lastColumn="1" w:noHBand="0" w:noVBand="0"/>
      </w:tblPr>
      <w:tblGrid>
        <w:gridCol w:w="8367"/>
        <w:gridCol w:w="2088"/>
      </w:tblGrid>
      <w:tr w:rsidR="001F6696" w:rsidRPr="001F6696" w14:paraId="56C0ACC2" w14:textId="77777777" w:rsidTr="001F6696">
        <w:tc>
          <w:tcPr>
            <w:cnfStyle w:val="001000000000" w:firstRow="0" w:lastRow="0" w:firstColumn="1" w:lastColumn="0" w:oddVBand="0" w:evenVBand="0" w:oddHBand="0" w:evenHBand="0" w:firstRowFirstColumn="0" w:firstRowLastColumn="0" w:lastRowFirstColumn="0" w:lastRowLastColumn="0"/>
            <w:tcW w:w="8466" w:type="dxa"/>
          </w:tcPr>
          <w:p w14:paraId="35AB28A3" w14:textId="77777777" w:rsidR="001F6696" w:rsidRPr="001F6696" w:rsidRDefault="001F6696" w:rsidP="001F6696">
            <w:pPr>
              <w:keepNext/>
              <w:keepLines/>
              <w:outlineLvl w:val="2"/>
              <w:rPr>
                <w:rFonts w:eastAsiaTheme="majorEastAsia" w:cstheme="majorBidi"/>
                <w:color w:val="000000" w:themeColor="text1"/>
              </w:rPr>
            </w:pPr>
            <w:r w:rsidRPr="001F6696">
              <w:rPr>
                <w:rFonts w:eastAsiaTheme="majorEastAsia" w:cstheme="majorBidi"/>
                <w:color w:val="000000" w:themeColor="text1"/>
              </w:rPr>
              <w:t xml:space="preserve">Number of individuals who became subject to sex offender notification requirements following a breach(es) of a Sexual Risk Order (SRO) </w:t>
            </w:r>
          </w:p>
        </w:tc>
        <w:tc>
          <w:tcPr>
            <w:tcW w:w="2113" w:type="dxa"/>
          </w:tcPr>
          <w:p w14:paraId="0242C65E"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F6696">
              <w:rPr>
                <w:color w:val="000000" w:themeColor="text1"/>
              </w:rPr>
              <w:t>0</w:t>
            </w:r>
          </w:p>
        </w:tc>
      </w:tr>
    </w:tbl>
    <w:p w14:paraId="38B0798D" w14:textId="2E4FCA7C" w:rsidR="001F6696" w:rsidRDefault="001F6696" w:rsidP="001F6696">
      <w:pPr>
        <w:rPr>
          <w:rFonts w:ascii="Times New Roman" w:hAnsi="Times New Roman" w:cs="Times New Roman"/>
        </w:rPr>
      </w:pPr>
    </w:p>
    <w:p w14:paraId="4617B6F6" w14:textId="16D2D2E3" w:rsidR="001F6696" w:rsidRDefault="001F6696" w:rsidP="001F6696">
      <w:pPr>
        <w:rPr>
          <w:rFonts w:ascii="Times New Roman" w:hAnsi="Times New Roman" w:cs="Times New Roman"/>
        </w:rPr>
      </w:pPr>
    </w:p>
    <w:p w14:paraId="30F107F0" w14:textId="29CA41E1" w:rsidR="001F6696" w:rsidRDefault="001F6696" w:rsidP="001F6696">
      <w:pPr>
        <w:rPr>
          <w:rFonts w:ascii="Times New Roman" w:hAnsi="Times New Roman" w:cs="Times New Roman"/>
        </w:rPr>
      </w:pPr>
    </w:p>
    <w:p w14:paraId="4F4E1759" w14:textId="01E29D88" w:rsidR="001F6696" w:rsidRDefault="001F6696" w:rsidP="001F6696">
      <w:pPr>
        <w:rPr>
          <w:rFonts w:ascii="Times New Roman" w:hAnsi="Times New Roman" w:cs="Times New Roman"/>
        </w:rPr>
      </w:pPr>
    </w:p>
    <w:p w14:paraId="6DC228F8" w14:textId="77777777" w:rsidR="001F6696" w:rsidRPr="001F6696" w:rsidRDefault="001F6696" w:rsidP="001F6696">
      <w:pPr>
        <w:rPr>
          <w:rFonts w:ascii="Times New Roman" w:hAnsi="Times New Roman" w:cs="Times New Roman"/>
        </w:rPr>
      </w:pPr>
    </w:p>
    <w:p w14:paraId="6533F65B" w14:textId="77777777" w:rsidR="001F6696" w:rsidRPr="001F6696" w:rsidRDefault="001F6696" w:rsidP="001F6696">
      <w:pPr>
        <w:keepNext/>
        <w:keepLines/>
        <w:spacing w:before="40" w:line="360" w:lineRule="auto"/>
        <w:outlineLvl w:val="2"/>
        <w:rPr>
          <w:rFonts w:ascii="Arial" w:eastAsiaTheme="majorEastAsia" w:hAnsi="Arial" w:cstheme="majorBidi"/>
          <w:b/>
          <w:bCs/>
          <w:szCs w:val="28"/>
        </w:rPr>
      </w:pPr>
      <w:r w:rsidRPr="001F6696">
        <w:rPr>
          <w:rFonts w:ascii="Arial" w:eastAsiaTheme="majorEastAsia" w:hAnsi="Arial" w:cstheme="majorBidi"/>
          <w:b/>
          <w:bCs/>
        </w:rPr>
        <w:t>Level 2 and 3 individuals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1F6696" w:rsidRPr="001F6696" w14:paraId="1C1186C9" w14:textId="77777777" w:rsidTr="0057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57EDCA0"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Returned to custody for breach of licence</w:t>
            </w:r>
          </w:p>
        </w:tc>
        <w:tc>
          <w:tcPr>
            <w:tcW w:w="2185" w:type="dxa"/>
          </w:tcPr>
          <w:p w14:paraId="3EE29841"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1:</w:t>
            </w:r>
            <w:r w:rsidRPr="001F6696">
              <w:rPr>
                <w:b w:val="0"/>
                <w:bCs w:val="0"/>
                <w:color w:val="000000" w:themeColor="text1"/>
              </w:rPr>
              <w:br/>
              <w:t>Subject to notification requirements</w:t>
            </w:r>
          </w:p>
        </w:tc>
        <w:tc>
          <w:tcPr>
            <w:tcW w:w="2186" w:type="dxa"/>
          </w:tcPr>
          <w:p w14:paraId="15F7BCF3"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2:</w:t>
            </w:r>
            <w:r w:rsidRPr="001F6696">
              <w:rPr>
                <w:b w:val="0"/>
                <w:bCs w:val="0"/>
                <w:color w:val="000000" w:themeColor="text1"/>
              </w:rPr>
              <w:br/>
              <w:t>Violent</w:t>
            </w:r>
            <w:r w:rsidRPr="001F6696">
              <w:rPr>
                <w:b w:val="0"/>
                <w:bCs w:val="0"/>
                <w:color w:val="000000" w:themeColor="text1"/>
              </w:rPr>
              <w:br/>
              <w:t>offenders</w:t>
            </w:r>
          </w:p>
        </w:tc>
        <w:tc>
          <w:tcPr>
            <w:tcW w:w="2186" w:type="dxa"/>
          </w:tcPr>
          <w:p w14:paraId="5C1866C1"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F6696">
              <w:rPr>
                <w:b w:val="0"/>
                <w:bCs w:val="0"/>
                <w:color w:val="000000" w:themeColor="text1"/>
              </w:rPr>
              <w:t>Category 3:</w:t>
            </w:r>
            <w:r w:rsidRPr="001F6696">
              <w:rPr>
                <w:b w:val="0"/>
                <w:bCs w:val="0"/>
                <w:color w:val="000000" w:themeColor="text1"/>
              </w:rPr>
              <w:br/>
              <w:t>Other dangerous</w:t>
            </w:r>
            <w:r w:rsidRPr="001F6696">
              <w:rPr>
                <w:b w:val="0"/>
                <w:bCs w:val="0"/>
                <w:color w:val="000000" w:themeColor="text1"/>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2F2AE7F6"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color w:val="000000" w:themeColor="text1"/>
              </w:rPr>
              <w:t>Total</w:t>
            </w:r>
          </w:p>
        </w:tc>
      </w:tr>
      <w:tr w:rsidR="001F6696" w:rsidRPr="001F6696" w14:paraId="473536E4"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676C8C42"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lastRenderedPageBreak/>
              <w:t>Level 2</w:t>
            </w:r>
          </w:p>
        </w:tc>
        <w:tc>
          <w:tcPr>
            <w:tcW w:w="2185" w:type="dxa"/>
          </w:tcPr>
          <w:p w14:paraId="4A4DA581"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7</w:t>
            </w:r>
          </w:p>
        </w:tc>
        <w:tc>
          <w:tcPr>
            <w:tcW w:w="2186" w:type="dxa"/>
          </w:tcPr>
          <w:p w14:paraId="1FD3246D"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7</w:t>
            </w:r>
          </w:p>
        </w:tc>
        <w:tc>
          <w:tcPr>
            <w:tcW w:w="2186" w:type="dxa"/>
          </w:tcPr>
          <w:p w14:paraId="022925EB"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13</w:t>
            </w:r>
          </w:p>
        </w:tc>
        <w:tc>
          <w:tcPr>
            <w:cnfStyle w:val="000100000000" w:firstRow="0" w:lastRow="0" w:firstColumn="0" w:lastColumn="1" w:oddVBand="0" w:evenVBand="0" w:oddHBand="0" w:evenHBand="0" w:firstRowFirstColumn="0" w:firstRowLastColumn="0" w:lastRowFirstColumn="0" w:lastRowLastColumn="0"/>
            <w:tcW w:w="2186" w:type="dxa"/>
          </w:tcPr>
          <w:p w14:paraId="7FA0644F"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noProof/>
                <w:color w:val="000000" w:themeColor="text1"/>
              </w:rPr>
              <w:t>27</w:t>
            </w:r>
          </w:p>
        </w:tc>
      </w:tr>
      <w:tr w:rsidR="001F6696" w:rsidRPr="001F6696" w14:paraId="5EC3A7AF" w14:textId="77777777" w:rsidTr="00570366">
        <w:tc>
          <w:tcPr>
            <w:cnfStyle w:val="001000000000" w:firstRow="0" w:lastRow="0" w:firstColumn="1" w:lastColumn="0" w:oddVBand="0" w:evenVBand="0" w:oddHBand="0" w:evenHBand="0" w:firstRowFirstColumn="0" w:firstRowLastColumn="0" w:lastRowFirstColumn="0" w:lastRowLastColumn="0"/>
            <w:tcW w:w="1742" w:type="dxa"/>
          </w:tcPr>
          <w:p w14:paraId="5F87B3E6"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tcW w:w="2185" w:type="dxa"/>
          </w:tcPr>
          <w:p w14:paraId="740D6E0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0</w:t>
            </w:r>
          </w:p>
        </w:tc>
        <w:tc>
          <w:tcPr>
            <w:tcW w:w="2186" w:type="dxa"/>
          </w:tcPr>
          <w:p w14:paraId="4243A6FD"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0</w:t>
            </w:r>
          </w:p>
        </w:tc>
        <w:tc>
          <w:tcPr>
            <w:tcW w:w="2186" w:type="dxa"/>
          </w:tcPr>
          <w:p w14:paraId="386A0FA7"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b w:val="0"/>
                <w:color w:val="000000" w:themeColor="text1"/>
              </w:rPr>
            </w:pPr>
            <w:r w:rsidRPr="001F6696">
              <w:rPr>
                <w:b w:val="0"/>
                <w:noProof/>
                <w:color w:val="000000" w:themeColor="text1"/>
              </w:rPr>
              <w:t>0</w:t>
            </w:r>
          </w:p>
        </w:tc>
        <w:tc>
          <w:tcPr>
            <w:cnfStyle w:val="000100000000" w:firstRow="0" w:lastRow="0" w:firstColumn="0" w:lastColumn="1" w:oddVBand="0" w:evenVBand="0" w:oddHBand="0" w:evenHBand="0" w:firstRowFirstColumn="0" w:firstRowLastColumn="0" w:lastRowFirstColumn="0" w:lastRowLastColumn="0"/>
            <w:tcW w:w="2186" w:type="dxa"/>
          </w:tcPr>
          <w:p w14:paraId="57E7480B"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noProof/>
                <w:color w:val="000000" w:themeColor="text1"/>
              </w:rPr>
              <w:t>0</w:t>
            </w:r>
          </w:p>
        </w:tc>
      </w:tr>
      <w:tr w:rsidR="001F6696" w:rsidRPr="001F6696" w14:paraId="2950CBD6" w14:textId="77777777" w:rsidTr="0057036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304CEAD"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tcW w:w="2185" w:type="dxa"/>
          </w:tcPr>
          <w:p w14:paraId="3A797E1E"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10000000000" w:firstRow="0" w:lastRow="1" w:firstColumn="0" w:lastColumn="0" w:oddVBand="0" w:evenVBand="0" w:oddHBand="0" w:evenHBand="0" w:firstRowFirstColumn="0" w:firstRowLastColumn="0" w:lastRowFirstColumn="0" w:lastRowLastColumn="0"/>
              <w:rPr>
                <w:b w:val="0"/>
                <w:bCs w:val="0"/>
                <w:color w:val="000000" w:themeColor="text1"/>
              </w:rPr>
            </w:pPr>
            <w:r w:rsidRPr="001F6696">
              <w:fldChar w:fldCharType="begin"/>
            </w:r>
            <w:r w:rsidRPr="001F6696">
              <w:rPr>
                <w:b w:val="0"/>
                <w:bCs w:val="0"/>
                <w:color w:val="000000" w:themeColor="text1"/>
              </w:rPr>
              <w:instrText xml:space="preserve"> =SUM(ABOVE) </w:instrText>
            </w:r>
            <w:r w:rsidRPr="001F6696">
              <w:fldChar w:fldCharType="separate"/>
            </w:r>
            <w:r w:rsidRPr="001F6696">
              <w:rPr>
                <w:b w:val="0"/>
                <w:bCs w:val="0"/>
                <w:noProof/>
                <w:color w:val="000000" w:themeColor="text1"/>
              </w:rPr>
              <w:t>7</w:t>
            </w:r>
            <w:r w:rsidRPr="001F6696">
              <w:fldChar w:fldCharType="end"/>
            </w:r>
          </w:p>
        </w:tc>
        <w:tc>
          <w:tcPr>
            <w:tcW w:w="2186" w:type="dxa"/>
          </w:tcPr>
          <w:p w14:paraId="61E8125F"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10000000000" w:firstRow="0" w:lastRow="1" w:firstColumn="0" w:lastColumn="0" w:oddVBand="0" w:evenVBand="0" w:oddHBand="0" w:evenHBand="0" w:firstRowFirstColumn="0" w:firstRowLastColumn="0" w:lastRowFirstColumn="0" w:lastRowLastColumn="0"/>
              <w:rPr>
                <w:b w:val="0"/>
                <w:bCs w:val="0"/>
                <w:color w:val="000000" w:themeColor="text1"/>
              </w:rPr>
            </w:pPr>
            <w:r w:rsidRPr="001F6696">
              <w:fldChar w:fldCharType="begin"/>
            </w:r>
            <w:r w:rsidRPr="001F6696">
              <w:rPr>
                <w:b w:val="0"/>
                <w:bCs w:val="0"/>
                <w:color w:val="000000" w:themeColor="text1"/>
              </w:rPr>
              <w:instrText xml:space="preserve"> =SUM(ABOVE) </w:instrText>
            </w:r>
            <w:r w:rsidRPr="001F6696">
              <w:fldChar w:fldCharType="separate"/>
            </w:r>
            <w:r w:rsidRPr="001F6696">
              <w:rPr>
                <w:b w:val="0"/>
                <w:bCs w:val="0"/>
                <w:noProof/>
                <w:color w:val="000000" w:themeColor="text1"/>
              </w:rPr>
              <w:t>7</w:t>
            </w:r>
            <w:r w:rsidRPr="001F6696">
              <w:fldChar w:fldCharType="end"/>
            </w:r>
          </w:p>
        </w:tc>
        <w:tc>
          <w:tcPr>
            <w:tcW w:w="2186" w:type="dxa"/>
          </w:tcPr>
          <w:p w14:paraId="1F15BFAC"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10000000000" w:firstRow="0" w:lastRow="1" w:firstColumn="0" w:lastColumn="0" w:oddVBand="0" w:evenVBand="0" w:oddHBand="0" w:evenHBand="0" w:firstRowFirstColumn="0" w:firstRowLastColumn="0" w:lastRowFirstColumn="0" w:lastRowLastColumn="0"/>
              <w:rPr>
                <w:b w:val="0"/>
                <w:bCs w:val="0"/>
                <w:color w:val="000000" w:themeColor="text1"/>
              </w:rPr>
            </w:pPr>
            <w:r w:rsidRPr="001F6696">
              <w:fldChar w:fldCharType="begin"/>
            </w:r>
            <w:r w:rsidRPr="001F6696">
              <w:rPr>
                <w:b w:val="0"/>
                <w:bCs w:val="0"/>
                <w:color w:val="000000" w:themeColor="text1"/>
              </w:rPr>
              <w:instrText xml:space="preserve"> =SUM(ABOVE) </w:instrText>
            </w:r>
            <w:r w:rsidRPr="001F6696">
              <w:fldChar w:fldCharType="separate"/>
            </w:r>
            <w:r w:rsidRPr="001F6696">
              <w:rPr>
                <w:b w:val="0"/>
                <w:bCs w:val="0"/>
                <w:noProof/>
                <w:color w:val="000000" w:themeColor="text1"/>
              </w:rPr>
              <w:t>13</w:t>
            </w:r>
            <w:r w:rsidRPr="001F6696">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2066F850"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noProof/>
                <w:color w:val="000000" w:themeColor="text1"/>
              </w:rPr>
              <w:t>27</w:t>
            </w:r>
          </w:p>
        </w:tc>
      </w:tr>
    </w:tbl>
    <w:p w14:paraId="1BA8A21E" w14:textId="77777777" w:rsidR="001F6696" w:rsidRPr="001F6696" w:rsidRDefault="001F6696" w:rsidP="001F6696">
      <w:pPr>
        <w:rPr>
          <w:rFonts w:ascii="Times New Roman" w:hAnsi="Times New Roman" w:cs="Times New Roman"/>
        </w:rPr>
      </w:pPr>
    </w:p>
    <w:tbl>
      <w:tblPr>
        <w:tblStyle w:val="Style4"/>
        <w:tblW w:w="10485" w:type="dxa"/>
        <w:tblLook w:val="01E0" w:firstRow="1" w:lastRow="1" w:firstColumn="1" w:lastColumn="1" w:noHBand="0" w:noVBand="0"/>
      </w:tblPr>
      <w:tblGrid>
        <w:gridCol w:w="8359"/>
        <w:gridCol w:w="2126"/>
      </w:tblGrid>
      <w:tr w:rsidR="001F6696" w:rsidRPr="001F6696" w14:paraId="45DC9199" w14:textId="77777777" w:rsidTr="0057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F60166A"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1448BF38"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p>
        </w:tc>
      </w:tr>
      <w:tr w:rsidR="001F6696" w:rsidRPr="001F6696" w14:paraId="7124EF57"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39CA74A6"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26E9C485"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color w:val="000000" w:themeColor="text1"/>
              </w:rPr>
              <w:t>1</w:t>
            </w:r>
          </w:p>
        </w:tc>
      </w:tr>
      <w:tr w:rsidR="001F6696" w:rsidRPr="001F6696" w14:paraId="71E6B594" w14:textId="77777777" w:rsidTr="00570366">
        <w:tc>
          <w:tcPr>
            <w:cnfStyle w:val="001000000000" w:firstRow="0" w:lastRow="0" w:firstColumn="1" w:lastColumn="0" w:oddVBand="0" w:evenVBand="0" w:oddHBand="0" w:evenHBand="0" w:firstRowFirstColumn="0" w:firstRowLastColumn="0" w:lastRowFirstColumn="0" w:lastRowLastColumn="0"/>
            <w:tcW w:w="8359" w:type="dxa"/>
          </w:tcPr>
          <w:p w14:paraId="30FED252"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3AD7550D"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color w:val="000000" w:themeColor="text1"/>
              </w:rPr>
              <w:t>0</w:t>
            </w:r>
          </w:p>
        </w:tc>
      </w:tr>
      <w:tr w:rsidR="001F6696" w:rsidRPr="001F6696" w14:paraId="75DF84FA" w14:textId="77777777" w:rsidTr="0057036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3AD0D126" w14:textId="77777777" w:rsidR="001F6696" w:rsidRPr="001F6696" w:rsidRDefault="001F6696" w:rsidP="001F6696">
            <w:pPr>
              <w:suppressAutoHyphens/>
              <w:autoSpaceDE w:val="0"/>
              <w:autoSpaceDN w:val="0"/>
              <w:adjustRightInd w:val="0"/>
              <w:spacing w:before="30" w:after="30" w:line="260" w:lineRule="exact"/>
              <w:textAlignment w:val="center"/>
              <w:rPr>
                <w:b w:val="0"/>
                <w:bCs w:val="0"/>
                <w:color w:val="000000" w:themeColor="text1"/>
              </w:rPr>
            </w:pPr>
            <w:r w:rsidRPr="001F6696">
              <w:rPr>
                <w:b w:val="0"/>
                <w:bCs w:val="0"/>
                <w:color w:val="000000" w:themeColor="text1"/>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7F4654F" w14:textId="77777777" w:rsidR="001F6696" w:rsidRPr="001F6696" w:rsidRDefault="001F6696" w:rsidP="001F6696">
            <w:pPr>
              <w:suppressAutoHyphens/>
              <w:autoSpaceDE w:val="0"/>
              <w:autoSpaceDN w:val="0"/>
              <w:adjustRightInd w:val="0"/>
              <w:spacing w:before="30" w:after="30" w:line="260" w:lineRule="exact"/>
              <w:jc w:val="right"/>
              <w:textAlignment w:val="center"/>
              <w:rPr>
                <w:b w:val="0"/>
                <w:bCs w:val="0"/>
                <w:color w:val="000000" w:themeColor="text1"/>
              </w:rPr>
            </w:pPr>
            <w:r w:rsidRPr="001F6696">
              <w:rPr>
                <w:b w:val="0"/>
                <w:bCs w:val="0"/>
                <w:color w:val="000000" w:themeColor="text1"/>
              </w:rPr>
              <w:t>1</w:t>
            </w:r>
          </w:p>
        </w:tc>
      </w:tr>
    </w:tbl>
    <w:p w14:paraId="1AFD5FA3" w14:textId="77777777" w:rsidR="001F6696" w:rsidRPr="001F6696" w:rsidRDefault="001F6696" w:rsidP="001F6696">
      <w:pPr>
        <w:suppressAutoHyphens/>
        <w:autoSpaceDE w:val="0"/>
        <w:autoSpaceDN w:val="0"/>
        <w:adjustRightInd w:val="0"/>
        <w:spacing w:after="240" w:line="260" w:lineRule="exact"/>
        <w:textAlignment w:val="center"/>
        <w:rPr>
          <w:rFonts w:ascii="Arial" w:hAnsi="Arial" w:cs="Arial"/>
          <w:sz w:val="20"/>
          <w:szCs w:val="28"/>
        </w:rPr>
      </w:pPr>
    </w:p>
    <w:tbl>
      <w:tblPr>
        <w:tblStyle w:val="Style5"/>
        <w:tblW w:w="0" w:type="auto"/>
        <w:tblLook w:val="01E0" w:firstRow="1" w:lastRow="1" w:firstColumn="1" w:lastColumn="1" w:noHBand="0" w:noVBand="0"/>
      </w:tblPr>
      <w:tblGrid>
        <w:gridCol w:w="8364"/>
        <w:gridCol w:w="2091"/>
      </w:tblGrid>
      <w:tr w:rsidR="001F6696" w:rsidRPr="001F6696" w14:paraId="4FA5CDC9" w14:textId="77777777" w:rsidTr="00570366">
        <w:tc>
          <w:tcPr>
            <w:cnfStyle w:val="001000000000" w:firstRow="0" w:lastRow="0" w:firstColumn="1" w:lastColumn="0" w:oddVBand="0" w:evenVBand="0" w:oddHBand="0" w:evenHBand="0" w:firstRowFirstColumn="0" w:firstRowLastColumn="0" w:lastRowFirstColumn="0" w:lastRowLastColumn="0"/>
            <w:tcW w:w="8466" w:type="dxa"/>
          </w:tcPr>
          <w:p w14:paraId="054AAA97" w14:textId="77777777" w:rsidR="001F6696" w:rsidRPr="001F6696" w:rsidRDefault="001F6696" w:rsidP="001F6696">
            <w:pPr>
              <w:keepNext/>
              <w:keepLines/>
              <w:spacing w:before="40"/>
              <w:outlineLvl w:val="2"/>
              <w:rPr>
                <w:rFonts w:eastAsiaTheme="majorEastAsia" w:cstheme="majorBidi"/>
                <w:color w:val="000000" w:themeColor="text1"/>
              </w:rPr>
            </w:pPr>
            <w:r w:rsidRPr="001F6696">
              <w:rPr>
                <w:rFonts w:eastAsiaTheme="majorEastAsia" w:cstheme="majorBidi"/>
                <w:color w:val="000000" w:themeColor="text1"/>
              </w:rPr>
              <w:t>Total number of individuals subject to sex offender notification requirements per 100,000 population</w:t>
            </w:r>
          </w:p>
        </w:tc>
        <w:tc>
          <w:tcPr>
            <w:tcW w:w="2113" w:type="dxa"/>
          </w:tcPr>
          <w:p w14:paraId="1C7F0314" w14:textId="77777777" w:rsidR="001F6696" w:rsidRPr="001F6696" w:rsidRDefault="001F6696" w:rsidP="001F6696">
            <w:pPr>
              <w:suppressAutoHyphens/>
              <w:autoSpaceDE w:val="0"/>
              <w:autoSpaceDN w:val="0"/>
              <w:adjustRightInd w:val="0"/>
              <w:spacing w:before="30" w:after="30" w:line="260" w:lineRule="exact"/>
              <w:jc w:val="right"/>
              <w:textAlignment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F6696">
              <w:rPr>
                <w:color w:val="000000" w:themeColor="text1"/>
              </w:rPr>
              <w:t>222</w:t>
            </w:r>
          </w:p>
        </w:tc>
      </w:tr>
    </w:tbl>
    <w:p w14:paraId="26D488B7" w14:textId="77777777" w:rsidR="001F6696" w:rsidRPr="001F6696" w:rsidRDefault="001F6696" w:rsidP="001F6696">
      <w:pPr>
        <w:rPr>
          <w:rFonts w:ascii="Arial" w:hAnsi="Arial" w:cs="Arial"/>
          <w:sz w:val="20"/>
          <w:szCs w:val="20"/>
        </w:rPr>
      </w:pPr>
    </w:p>
    <w:p w14:paraId="428D8F26" w14:textId="70E61377" w:rsidR="001F6696" w:rsidRPr="001F6696" w:rsidRDefault="001F6696" w:rsidP="001F6696">
      <w:pPr>
        <w:rPr>
          <w:rFonts w:ascii="Arial" w:hAnsi="Arial" w:cs="Arial"/>
          <w:sz w:val="20"/>
          <w:szCs w:val="20"/>
        </w:rPr>
      </w:pPr>
      <w:r w:rsidRPr="001F6696">
        <w:rPr>
          <w:rFonts w:ascii="Arial" w:hAnsi="Arial" w:cs="Arial"/>
          <w:sz w:val="20"/>
          <w:szCs w:val="20"/>
        </w:rPr>
        <w:t>This figure has been calculated using the mid-2021 estimated resident population, published by the Office for National Statistics (ONS) on 21 December 202</w:t>
      </w:r>
      <w:r w:rsidR="005A195D">
        <w:rPr>
          <w:rFonts w:ascii="Arial" w:hAnsi="Arial" w:cs="Arial"/>
          <w:sz w:val="20"/>
          <w:szCs w:val="20"/>
        </w:rPr>
        <w:t>2</w:t>
      </w:r>
      <w:r w:rsidRPr="001F6696">
        <w:rPr>
          <w:rFonts w:ascii="Arial" w:hAnsi="Arial" w:cs="Arial"/>
          <w:sz w:val="20"/>
          <w:szCs w:val="20"/>
        </w:rPr>
        <w:t xml:space="preserve">, excluding those aged less than ten years of age. </w:t>
      </w:r>
    </w:p>
    <w:p w14:paraId="4BB98743" w14:textId="77777777" w:rsidR="001F6696" w:rsidRPr="001F6696" w:rsidRDefault="001F6696" w:rsidP="001F6696">
      <w:pPr>
        <w:rPr>
          <w:rFonts w:ascii="Arial" w:hAnsi="Arial" w:cs="Arial"/>
          <w:sz w:val="20"/>
          <w:szCs w:val="20"/>
        </w:rPr>
      </w:pPr>
    </w:p>
    <w:p w14:paraId="2786E2BE" w14:textId="77777777" w:rsidR="001F6696" w:rsidRPr="001F6696" w:rsidRDefault="001F6696" w:rsidP="001F6696">
      <w:pPr>
        <w:rPr>
          <w:rFonts w:ascii="Arial" w:hAnsi="Arial" w:cs="Arial"/>
          <w:sz w:val="20"/>
          <w:szCs w:val="20"/>
        </w:rPr>
        <w:sectPr w:rsidR="001F6696" w:rsidRPr="001F6696" w:rsidSect="001F6696">
          <w:type w:val="continuous"/>
          <w:pgSz w:w="11905" w:h="16837" w:code="9"/>
          <w:pgMar w:top="720" w:right="720" w:bottom="720" w:left="720" w:header="720" w:footer="567" w:gutter="0"/>
          <w:cols w:space="720"/>
          <w:noEndnote/>
        </w:sectPr>
      </w:pPr>
      <w:r w:rsidRPr="001F6696">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6E9DF408" w14:textId="571C1A18" w:rsidR="00332EE6" w:rsidRPr="001F6696" w:rsidRDefault="00332EE6" w:rsidP="00332EE6">
      <w:pPr>
        <w:pStyle w:val="MAPPA-Bodytext"/>
        <w:spacing w:line="280" w:lineRule="exact"/>
        <w:sectPr w:rsidR="00332EE6" w:rsidRPr="001F6696" w:rsidSect="00867C9E">
          <w:footerReference w:type="default" r:id="rId18"/>
          <w:type w:val="continuous"/>
          <w:pgSz w:w="11905" w:h="16837" w:code="9"/>
          <w:pgMar w:top="720" w:right="720" w:bottom="720" w:left="720" w:header="720" w:footer="567" w:gutter="0"/>
          <w:cols w:space="720"/>
          <w:noEndnote/>
        </w:sectPr>
      </w:pPr>
    </w:p>
    <w:p w14:paraId="3CA7D2FD" w14:textId="7C8D5CAB" w:rsidR="00332EE6" w:rsidRPr="00ED25C1" w:rsidRDefault="00332EE6" w:rsidP="00332EE6">
      <w:pPr>
        <w:pStyle w:val="MAPPA-Heaingsection"/>
        <w:rPr>
          <w:color w:val="7030A0"/>
        </w:rPr>
      </w:pPr>
      <w:r w:rsidRPr="00ED25C1">
        <w:rPr>
          <w:color w:val="7030A0"/>
        </w:rPr>
        <w:lastRenderedPageBreak/>
        <w:t>Explanation commentary on statistical tables</w:t>
      </w:r>
    </w:p>
    <w:p w14:paraId="0D5605F6" w14:textId="77777777" w:rsidR="00332EE6" w:rsidRPr="00ED25C1" w:rsidRDefault="00332EE6" w:rsidP="00332EE6">
      <w:pPr>
        <w:pStyle w:val="Default"/>
        <w:pBdr>
          <w:bottom w:val="single" w:sz="4" w:space="1" w:color="007BC3"/>
        </w:pBdr>
        <w:rPr>
          <w:rFonts w:ascii="Arial" w:hAnsi="Arial" w:cs="Arial"/>
          <w:color w:val="FFFFFF"/>
          <w:sz w:val="16"/>
          <w:szCs w:val="16"/>
        </w:rPr>
      </w:pPr>
    </w:p>
    <w:p w14:paraId="382F5DDF" w14:textId="77777777" w:rsidR="00332EE6" w:rsidRPr="00ED25C1" w:rsidRDefault="00332EE6" w:rsidP="00332EE6">
      <w:pPr>
        <w:pStyle w:val="MAPPA-Bodytext"/>
        <w:sectPr w:rsidR="00332EE6" w:rsidRPr="00ED25C1" w:rsidSect="00867C9E">
          <w:footerReference w:type="default" r:id="rId19"/>
          <w:pgSz w:w="11905" w:h="16837" w:code="9"/>
          <w:pgMar w:top="720" w:right="720" w:bottom="720" w:left="720" w:header="720" w:footer="567" w:gutter="0"/>
          <w:cols w:space="720"/>
          <w:noEndnote/>
        </w:sectPr>
      </w:pPr>
    </w:p>
    <w:p w14:paraId="0C311400" w14:textId="77777777" w:rsidR="00332EE6" w:rsidRPr="00ED25C1" w:rsidRDefault="00332EE6" w:rsidP="00332EE6">
      <w:pPr>
        <w:pStyle w:val="MAPPA-Bodytext"/>
      </w:pPr>
    </w:p>
    <w:p w14:paraId="51D8EB43" w14:textId="77777777" w:rsidR="00332EE6" w:rsidRPr="00ED25C1" w:rsidRDefault="00332EE6" w:rsidP="00332EE6">
      <w:pPr>
        <w:pStyle w:val="MAPPA-HeadingPara"/>
        <w:rPr>
          <w:rFonts w:cs="Arial"/>
        </w:rPr>
        <w:sectPr w:rsidR="00332EE6" w:rsidRPr="00ED25C1" w:rsidSect="00867C9E">
          <w:type w:val="continuous"/>
          <w:pgSz w:w="11905" w:h="16837" w:code="9"/>
          <w:pgMar w:top="720" w:right="720" w:bottom="720" w:left="720" w:header="720" w:footer="567" w:gutter="0"/>
          <w:cols w:space="720"/>
          <w:noEndnote/>
        </w:sectPr>
      </w:pPr>
    </w:p>
    <w:p w14:paraId="1D9FE3D3" w14:textId="77777777" w:rsidR="001F6696" w:rsidRPr="001F6696" w:rsidRDefault="001F6696" w:rsidP="001F6696">
      <w:pPr>
        <w:keepNext/>
        <w:keepLines/>
        <w:spacing w:before="40" w:line="360" w:lineRule="auto"/>
        <w:jc w:val="both"/>
        <w:outlineLvl w:val="1"/>
        <w:rPr>
          <w:rFonts w:ascii="Arial" w:eastAsiaTheme="majorEastAsia" w:hAnsi="Arial" w:cstheme="majorBidi"/>
          <w:color w:val="7030A0"/>
          <w:sz w:val="38"/>
          <w:szCs w:val="38"/>
        </w:rPr>
      </w:pPr>
      <w:r w:rsidRPr="001F6696">
        <w:rPr>
          <w:rFonts w:ascii="Arial" w:eastAsiaTheme="majorEastAsia" w:hAnsi="Arial" w:cstheme="majorBidi"/>
          <w:color w:val="7030A0"/>
          <w:sz w:val="38"/>
          <w:szCs w:val="38"/>
        </w:rPr>
        <w:t>MAPPA background</w:t>
      </w:r>
    </w:p>
    <w:p w14:paraId="19F3D1D3"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hAnsi="Arial" w:cs="Arial"/>
          <w:color w:val="000000"/>
        </w:rPr>
        <w:t>The totals of MAPPA-eligible individuals, broken down by category, reflect the picture on 31 March 2023 (i.e. they are a snapshot). The rest of the data covers the period 1 April 2022 to 31 March 2023.</w:t>
      </w:r>
    </w:p>
    <w:p w14:paraId="39C539A9"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(a) MAPPA-eligible individuals</w:t>
      </w:r>
      <w:r w:rsidRPr="001F6696">
        <w:rPr>
          <w:rFonts w:ascii="Arial" w:hAnsi="Arial" w:cs="Arial"/>
          <w:color w:val="7030A0"/>
        </w:rPr>
        <w:t xml:space="preserve"> </w:t>
      </w:r>
      <w:r w:rsidRPr="001F6696">
        <w:rPr>
          <w:rFonts w:ascii="Arial" w:hAnsi="Arial" w:cs="Arial"/>
          <w:color w:val="000000"/>
        </w:rPr>
        <w:t>– there are individuals defined in law as eligible for MAPPA management because they have committed specified sexual, violent or terrorist offences or they currently pose a risk of serious harm. The majority are managed at Level 1 without formal MAPPA meetings. These figures only include those MAPPA eligible individuals living in the community. They do not include those in prison or detained under the Mental Health Act.</w:t>
      </w:r>
    </w:p>
    <w:p w14:paraId="5E41D019"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(b) Subject to Sex Offender Notification Requirements</w:t>
      </w:r>
      <w:r w:rsidRPr="001F6696">
        <w:rPr>
          <w:rFonts w:ascii="Arial" w:hAnsi="Arial" w:cs="Arial"/>
          <w:color w:val="7030A0"/>
        </w:rPr>
        <w:t xml:space="preserve"> </w:t>
      </w:r>
      <w:r w:rsidRPr="001F6696">
        <w:rPr>
          <w:rFonts w:ascii="Arial" w:hAnsi="Arial" w:cs="Arial"/>
          <w:color w:val="000000"/>
        </w:rPr>
        <w:t>– those who are required to notify the police of their name, address and other personal details and to notify of any subsequent changes (this is known as the “notification requirement.”) These individuals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1DD948C5"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(c) Violent Offenders</w:t>
      </w:r>
      <w:r w:rsidRPr="001F6696">
        <w:rPr>
          <w:rFonts w:ascii="Arial" w:hAnsi="Arial" w:cs="Arial"/>
          <w:color w:val="7030A0"/>
        </w:rPr>
        <w:t xml:space="preserve"> </w:t>
      </w:r>
      <w:r w:rsidRPr="001F6696">
        <w:rPr>
          <w:rFonts w:ascii="Arial" w:hAnsi="Arial" w:cs="Arial"/>
          <w:color w:val="000000"/>
        </w:rPr>
        <w:t xml:space="preserve">– individuals convicted of violent offences who were sentenced to imprisonment or detention for 12 months or more, or detained under a hospital order and a small number of individuals convicted of sexual offences who are not subject to notification requirements. These individuals are assessed and managed by the Probation </w:t>
      </w:r>
      <w:r w:rsidRPr="001F6696">
        <w:rPr>
          <w:rFonts w:ascii="Arial" w:hAnsi="Arial" w:cs="Arial"/>
          <w:color w:val="000000"/>
        </w:rPr>
        <w:t xml:space="preserve">Service, Youth Offending Team or Mental Health Services. </w:t>
      </w:r>
    </w:p>
    <w:p w14:paraId="33C96072" w14:textId="065C7EF9"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(d) Other Dangerous Offenders</w:t>
      </w:r>
      <w:r w:rsidRPr="001F6696">
        <w:rPr>
          <w:rFonts w:ascii="Arial" w:hAnsi="Arial" w:cs="Arial"/>
          <w:color w:val="7030A0"/>
        </w:rPr>
        <w:t xml:space="preserve"> </w:t>
      </w:r>
      <w:r w:rsidRPr="001F6696">
        <w:rPr>
          <w:rFonts w:ascii="Arial" w:hAnsi="Arial" w:cs="Arial"/>
          <w:color w:val="000000"/>
        </w:rPr>
        <w:t>– individuals who do not qualify under the other MAPPA-eligible categories but have committed an offence that indicates that they pose a risk of serious harm which requires management via MAPPA meetings. These individuals are assessed and managed by whichever agency has the primary responsibility for them.</w:t>
      </w:r>
    </w:p>
    <w:p w14:paraId="4F85B5B4"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(e) Terrorism and Terrorism Risk Offenders</w:t>
      </w:r>
      <w:r w:rsidRPr="001F6696">
        <w:rPr>
          <w:rFonts w:ascii="Arial" w:hAnsi="Arial" w:cs="Arial"/>
          <w:color w:val="7030A0"/>
        </w:rPr>
        <w:t xml:space="preserve"> </w:t>
      </w:r>
      <w:r w:rsidRPr="001F6696">
        <w:rPr>
          <w:rFonts w:ascii="Arial" w:hAnsi="Arial" w:cs="Arial"/>
          <w:color w:val="000000"/>
        </w:rPr>
        <w:t xml:space="preserve">– individuals subject to terrorism offender notification requirements; individuals convicted of terrorism or terrorism related offences who were sentenced to imprisonment or detention for 12 months or more, or detained under a hospital order; and those who have committed an offence and may be at risk of involvement in terrorism-related activity. These individuals are assessed and managed by Counter-Terrorism Police and the National Security Division of the Probation Service. </w:t>
      </w:r>
    </w:p>
    <w:p w14:paraId="57988E62"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(f) Breach of Licence</w:t>
      </w:r>
      <w:r w:rsidRPr="001F6696">
        <w:rPr>
          <w:rFonts w:ascii="Arial" w:hAnsi="Arial" w:cs="Arial"/>
          <w:color w:val="7030A0"/>
        </w:rPr>
        <w:t xml:space="preserve"> </w:t>
      </w:r>
      <w:r w:rsidRPr="001F6696">
        <w:rPr>
          <w:rFonts w:ascii="Arial" w:hAnsi="Arial" w:cs="Arial"/>
          <w:color w:val="000000"/>
        </w:rPr>
        <w:t>– individuals released into the community following a period of imprisonment will be subject to a licence with conditions (under probation supervision). If the individual does not comply with these conditions, the Probation Service will take breach action and the individual may be recalled to prison.</w:t>
      </w:r>
    </w:p>
    <w:p w14:paraId="129B3732"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(g) Sexual Harm Prevention Order (SHPO) (including any additional foreign travel restriction).</w:t>
      </w:r>
      <w:r w:rsidRPr="001F6696">
        <w:rPr>
          <w:rFonts w:ascii="Arial" w:hAnsi="Arial" w:cs="Arial"/>
          <w:b/>
          <w:color w:val="7030A0"/>
        </w:rPr>
        <w:t xml:space="preserve"> </w:t>
      </w:r>
      <w:r w:rsidRPr="001F6696">
        <w:rPr>
          <w:rFonts w:ascii="Arial" w:hAnsi="Arial" w:cs="Arial"/>
          <w:color w:val="000000"/>
        </w:rPr>
        <w:t xml:space="preserve">Sexual Harm Prevention Orders (SHPOs) and interim SHPOs replaced Sexual Offence Prevention Orders are intended to protect the public from individuals convicted of a sexual or violent offence who pose a risk of </w:t>
      </w:r>
      <w:r w:rsidRPr="001F6696">
        <w:rPr>
          <w:rFonts w:ascii="Arial" w:hAnsi="Arial" w:cs="Arial"/>
          <w:color w:val="000000"/>
        </w:rPr>
        <w:lastRenderedPageBreak/>
        <w:t>sexual harm to the public by placing restrictions and/or positive obligations on their behaviour. They require the individual to notify their details to the police (as set out in Part 2 of the 2003 Act) for the duration of the order.</w:t>
      </w:r>
    </w:p>
    <w:p w14:paraId="67A13AB9" w14:textId="3383BB36"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hAnsi="Arial" w:cs="Arial"/>
          <w:color w:val="000000"/>
        </w:rPr>
        <w:t>The court must be satisfied on the balance of probability that an order is necessary to protect the public (or any particular members of the public) in the UK, or children or vulnerable adults (or any particular children or vulnerable adults) abroad, from sexual harm from the individual. In the case of an order made on a free-standing application by a Chief Officer,</w:t>
      </w:r>
      <w:r w:rsidRPr="001F6696" w:rsidDel="00332EE6">
        <w:rPr>
          <w:rFonts w:ascii="Arial" w:hAnsi="Arial" w:cs="Arial"/>
          <w:color w:val="000000"/>
        </w:rPr>
        <w:t xml:space="preserve"> </w:t>
      </w:r>
      <w:r w:rsidRPr="001F6696">
        <w:rPr>
          <w:rFonts w:ascii="Arial" w:hAnsi="Arial" w:cs="Arial"/>
          <w:color w:val="000000"/>
        </w:rPr>
        <w:t>the National Crime Agency (NCA), British Transport Police (BTP) or the Ministry of Defence Police (MODP), the chief officer/NCA/BTP/MODP must be able to show that the individual has acted in a way since their conviction that makes the order necessary.</w:t>
      </w:r>
    </w:p>
    <w:p w14:paraId="2F56C8F0"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hAnsi="Arial" w:cs="Arial"/>
          <w:color w:val="000000"/>
        </w:rPr>
        <w:t>The minimum duration for a full order is five years. The lower age limit is 10, which is the age of criminal responsibility, but where the defendant is under the age of 18 an application for an order should only be considered exceptionally.</w:t>
      </w:r>
    </w:p>
    <w:p w14:paraId="2F677116" w14:textId="77777777" w:rsidR="001F6696" w:rsidRPr="001F6696" w:rsidRDefault="001F6696" w:rsidP="001F6696">
      <w:pPr>
        <w:suppressAutoHyphens/>
        <w:autoSpaceDE w:val="0"/>
        <w:autoSpaceDN w:val="0"/>
        <w:adjustRightInd w:val="0"/>
        <w:spacing w:after="240" w:line="260" w:lineRule="exact"/>
        <w:jc w:val="both"/>
        <w:textAlignment w:val="center"/>
        <w:rPr>
          <w:rFonts w:ascii="Arial" w:hAnsi="Arial" w:cs="Arial"/>
          <w:color w:val="000000"/>
        </w:rPr>
      </w:pPr>
      <w:r w:rsidRPr="001F6696">
        <w:rPr>
          <w:rFonts w:ascii="Arial" w:eastAsiaTheme="majorEastAsia" w:hAnsi="Arial" w:cs="Arial"/>
          <w:b/>
          <w:iCs/>
          <w:color w:val="7030A0"/>
          <w:lang w:val="en-US"/>
        </w:rPr>
        <w:t>(h) Notification Order</w:t>
      </w:r>
      <w:r w:rsidRPr="001F6696">
        <w:rPr>
          <w:rFonts w:ascii="Arial" w:hAnsi="Arial" w:cs="Arial"/>
          <w:color w:val="7030A0"/>
        </w:rPr>
        <w:t xml:space="preserve"> </w:t>
      </w:r>
      <w:r w:rsidRPr="001F6696">
        <w:rPr>
          <w:rFonts w:ascii="Arial" w:hAnsi="Arial" w:cs="Arial"/>
          <w:color w:val="000000"/>
        </w:rPr>
        <w:t>–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Individuals have a right of appeal against notification.</w:t>
      </w:r>
    </w:p>
    <w:p w14:paraId="2E6A20ED" w14:textId="77777777" w:rsidR="001F6696" w:rsidRPr="001F6696" w:rsidRDefault="001F6696" w:rsidP="001F6696">
      <w:pPr>
        <w:keepNext/>
        <w:keepLines/>
        <w:spacing w:after="240" w:line="260" w:lineRule="exact"/>
        <w:jc w:val="both"/>
        <w:outlineLvl w:val="3"/>
        <w:rPr>
          <w:rFonts w:ascii="Arial" w:eastAsiaTheme="majorEastAsia" w:hAnsi="Arial" w:cs="Arial"/>
          <w:bCs/>
          <w:iCs/>
          <w:color w:val="auto"/>
        </w:rPr>
      </w:pPr>
      <w:r w:rsidRPr="001F6696">
        <w:rPr>
          <w:rFonts w:ascii="Arial" w:eastAsiaTheme="majorEastAsia" w:hAnsi="Arial" w:cs="Arial"/>
          <w:b/>
          <w:iCs/>
          <w:color w:val="7030A0"/>
        </w:rPr>
        <w:t xml:space="preserve">(i) Sexual Risk Order (including any additional foreign travel restriction) </w:t>
      </w:r>
      <w:r w:rsidRPr="001F6696">
        <w:rPr>
          <w:rFonts w:ascii="Arial" w:eastAsiaTheme="majorEastAsia" w:hAnsi="Arial" w:cs="Arial"/>
          <w:bCs/>
          <w:iCs/>
          <w:color w:val="auto"/>
        </w:rPr>
        <w:t xml:space="preserve">–The Sexual Risk Order (SRO) replaced the Risk of Sexual Harm Order (RoSHO) and may be made in relation to a person without a conviction for a sexual or violent offence (or any other offence), but who poses a risk of sexual harm. </w:t>
      </w:r>
    </w:p>
    <w:p w14:paraId="387DE5F6"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The SRO may be made at the magistrates’ court on application by the police,</w:t>
      </w:r>
      <w:r w:rsidRPr="001F6696" w:rsidDel="00332EE6">
        <w:rPr>
          <w:rFonts w:ascii="Arial" w:hAnsi="Arial" w:cs="Arial"/>
          <w:color w:val="000000"/>
        </w:rPr>
        <w:t xml:space="preserve"> </w:t>
      </w:r>
      <w:r w:rsidRPr="001F6696">
        <w:rPr>
          <w:rFonts w:ascii="Arial" w:hAnsi="Arial" w:cs="Arial"/>
          <w:color w:val="000000"/>
        </w:rPr>
        <w:t>NCA, BTP or MODP where an individual has committed an act of a sexual nature and the court is satisfied that the person poses a risk of harm to the public in the UK or children or vulnerable adults overseas.</w:t>
      </w:r>
    </w:p>
    <w:p w14:paraId="50EBDB3E"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An SRO may prohibit the person from doing anything described in it, including travel </w:t>
      </w:r>
      <w:r w:rsidRPr="001F6696">
        <w:rPr>
          <w:rFonts w:ascii="Arial" w:hAnsi="Arial" w:cs="Arial"/>
          <w:color w:val="000000"/>
        </w:rPr>
        <w:t xml:space="preserve">overseas, or place positive obligations upon them. Any prohibition and/or obligation must be necessary to protect the public in the UK from sexual harm or, in relation to foreign travel, protecting children or vulnerable adults from sexual harm. </w:t>
      </w:r>
    </w:p>
    <w:p w14:paraId="0346C14E"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An individual subject to an SRO is required to notify the police of their name and home address within three days of the order being made and also to notify any changes to this information within three days.</w:t>
      </w:r>
    </w:p>
    <w:p w14:paraId="4C727067"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An SRO can last for a minimum of two years and has no maximum duration, with the exception of any foreign travel restrictions which, if applicable, last for a maximum of five years (but may be renewed). </w:t>
      </w:r>
    </w:p>
    <w:p w14:paraId="5D4EF98F"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The criminal standard of proof continues to apply. The person concerned is able to appeal against the making of the order and the police or the person concerned are able to apply for the order to be varied, renewed or discharged.</w:t>
      </w:r>
    </w:p>
    <w:p w14:paraId="39C8C123" w14:textId="77777777" w:rsidR="001F6696" w:rsidRPr="001F6696" w:rsidRDefault="001F6696" w:rsidP="001F6696">
      <w:pPr>
        <w:widowControl w:val="0"/>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A breach of an SRO is a criminal offence punishable by a maximum of five years’ imprisonment. Where an individual breaches their SRO, they will become subject to full notification requirements.  </w:t>
      </w:r>
    </w:p>
    <w:p w14:paraId="65A61B8D" w14:textId="77777777" w:rsidR="001F6696" w:rsidRPr="001F6696" w:rsidRDefault="001F6696" w:rsidP="001F6696">
      <w:pPr>
        <w:spacing w:after="240" w:line="260" w:lineRule="exact"/>
        <w:jc w:val="both"/>
        <w:rPr>
          <w:rFonts w:ascii="Arial" w:hAnsi="Arial" w:cs="Arial"/>
          <w:color w:val="auto"/>
        </w:rPr>
      </w:pPr>
      <w:r w:rsidRPr="001F6696">
        <w:rPr>
          <w:rFonts w:ascii="Arial" w:hAnsi="Arial" w:cs="Arial"/>
          <w:color w:val="auto"/>
        </w:rPr>
        <w:t>Individuals made subject of an SRO are recorded on VISOR as a Potentially Dangerous Person (PDP).</w:t>
      </w:r>
    </w:p>
    <w:p w14:paraId="307BE723" w14:textId="77777777" w:rsidR="001F6696" w:rsidRPr="001F6696" w:rsidRDefault="001F6696" w:rsidP="001F6696">
      <w:pPr>
        <w:keepNext/>
        <w:keepLines/>
        <w:spacing w:after="240" w:line="260" w:lineRule="exact"/>
        <w:jc w:val="both"/>
        <w:outlineLvl w:val="3"/>
        <w:rPr>
          <w:rFonts w:ascii="Arial" w:eastAsiaTheme="majorEastAsia" w:hAnsi="Arial" w:cs="Arial"/>
          <w:bCs/>
          <w:iCs/>
          <w:color w:val="auto"/>
        </w:rPr>
      </w:pPr>
      <w:r w:rsidRPr="001F6696">
        <w:rPr>
          <w:rFonts w:ascii="Arial" w:eastAsiaTheme="majorEastAsia" w:hAnsi="Arial" w:cs="Arial"/>
          <w:b/>
          <w:iCs/>
          <w:color w:val="7030A0"/>
        </w:rPr>
        <w:t xml:space="preserve">(j) Lifetime notification requirements revoked on application </w:t>
      </w:r>
      <w:r w:rsidRPr="001F6696">
        <w:rPr>
          <w:rFonts w:ascii="Arial" w:eastAsiaTheme="majorEastAsia" w:hAnsi="Arial" w:cs="Arial"/>
          <w:bCs/>
          <w:iCs/>
          <w:color w:val="auto"/>
        </w:rPr>
        <w:t>– A legal challenge in 2010 and a corresponding legislative response means there is a mechanism in place that allows qualifying individuals to apply for a review of their notification requirements.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1C5EE74F" w14:textId="77777777" w:rsidR="001F6696" w:rsidRPr="001F6696" w:rsidRDefault="001F6696" w:rsidP="001F6696">
      <w:pPr>
        <w:autoSpaceDE w:val="0"/>
        <w:autoSpaceDN w:val="0"/>
        <w:adjustRightInd w:val="0"/>
        <w:spacing w:after="240" w:line="260" w:lineRule="exact"/>
        <w:jc w:val="both"/>
        <w:rPr>
          <w:rFonts w:ascii="Arial" w:hAnsi="Arial" w:cs="Arial"/>
          <w:color w:val="000000"/>
        </w:rPr>
      </w:pPr>
      <w:r w:rsidRPr="001F6696">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4087E6" w14:textId="22712F30" w:rsidR="001F6696" w:rsidRPr="00ED25C1" w:rsidRDefault="001F6696" w:rsidP="00332EE6">
      <w:pPr>
        <w:pStyle w:val="MAPPA-Bodytext"/>
        <w:rPr>
          <w:szCs w:val="28"/>
        </w:rPr>
        <w:sectPr w:rsidR="001F6696" w:rsidRPr="00ED25C1" w:rsidSect="00867C9E">
          <w:type w:val="continuous"/>
          <w:pgSz w:w="11905" w:h="16837" w:code="9"/>
          <w:pgMar w:top="720" w:right="720" w:bottom="720" w:left="720" w:header="720" w:footer="567" w:gutter="0"/>
          <w:cols w:num="2" w:space="720"/>
          <w:noEndnote/>
        </w:sectPr>
      </w:pPr>
    </w:p>
    <w:p w14:paraId="3FE725F6" w14:textId="11977F0A" w:rsidR="00987766" w:rsidRDefault="00987766" w:rsidP="008C0C55">
      <w:pPr>
        <w:pStyle w:val="MAPPA-Bodytext"/>
        <w:spacing w:before="240" w:line="240" w:lineRule="atLeast"/>
        <w:jc w:val="center"/>
        <w:rPr>
          <w:b/>
          <w:bCs/>
          <w:color w:val="7030A0"/>
          <w:sz w:val="26"/>
          <w:szCs w:val="26"/>
        </w:rPr>
      </w:pPr>
      <w:r>
        <w:rPr>
          <w:noProof/>
        </w:rPr>
        <w:lastRenderedPageBreak/>
        <w:drawing>
          <wp:inline distT="0" distB="0" distL="0" distR="0" wp14:anchorId="08E1D91D" wp14:editId="63CBD711">
            <wp:extent cx="7527290" cy="4614866"/>
            <wp:effectExtent l="0" t="0" r="0" b="0"/>
            <wp:docPr id="8" name="Picture 8" descr="Picture of Saltburn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icture of Saltburn beach"/>
                    <pic:cNvPicPr>
                      <a:picLocks noChangeAspect="1" noChangeArrowheads="1"/>
                    </pic:cNvPicPr>
                  </pic:nvPicPr>
                  <pic:blipFill>
                    <a:blip r:embed="rId20">
                      <a:alphaModFix amt="58000"/>
                      <a:extLst>
                        <a:ext uri="{28A0092B-C50C-407E-A947-70E740481C1C}">
                          <a14:useLocalDpi xmlns:a14="http://schemas.microsoft.com/office/drawing/2010/main" val="0"/>
                        </a:ext>
                      </a:extLst>
                    </a:blip>
                    <a:srcRect/>
                    <a:stretch>
                      <a:fillRect/>
                    </a:stretch>
                  </pic:blipFill>
                  <pic:spPr bwMode="auto">
                    <a:xfrm>
                      <a:off x="0" y="0"/>
                      <a:ext cx="7546708" cy="4626771"/>
                    </a:xfrm>
                    <a:prstGeom prst="rect">
                      <a:avLst/>
                    </a:prstGeom>
                    <a:noFill/>
                    <a:ln>
                      <a:noFill/>
                    </a:ln>
                  </pic:spPr>
                </pic:pic>
              </a:graphicData>
            </a:graphic>
          </wp:inline>
        </w:drawing>
      </w:r>
    </w:p>
    <w:p w14:paraId="26BF042F" w14:textId="77777777" w:rsidR="00EE56D3" w:rsidRDefault="00EE56D3" w:rsidP="008A4C5F">
      <w:pPr>
        <w:pStyle w:val="MAPPA-Bodytext"/>
        <w:jc w:val="center"/>
        <w:rPr>
          <w:b/>
          <w:bCs/>
          <w:color w:val="7030A0"/>
          <w:sz w:val="26"/>
          <w:szCs w:val="26"/>
        </w:rPr>
        <w:sectPr w:rsidR="00EE56D3" w:rsidSect="00EE56D3">
          <w:footerReference w:type="default" r:id="rId21"/>
          <w:pgSz w:w="11905" w:h="16837" w:code="9"/>
          <w:pgMar w:top="720" w:right="0" w:bottom="720" w:left="0" w:header="720" w:footer="567" w:gutter="0"/>
          <w:cols w:space="720"/>
          <w:noEndnote/>
          <w:docGrid w:linePitch="360"/>
        </w:sectPr>
      </w:pPr>
    </w:p>
    <w:p w14:paraId="7E38617F" w14:textId="1B2B228F" w:rsidR="008A4C5F" w:rsidRDefault="008A4C5F" w:rsidP="008A4C5F">
      <w:pPr>
        <w:pStyle w:val="MAPPA-Bodytext"/>
        <w:jc w:val="center"/>
        <w:rPr>
          <w:b/>
          <w:bCs/>
          <w:color w:val="7030A0"/>
          <w:sz w:val="26"/>
          <w:szCs w:val="26"/>
        </w:rPr>
      </w:pPr>
    </w:p>
    <w:p w14:paraId="60D992A7" w14:textId="77777777" w:rsidR="00880650" w:rsidRDefault="00880650" w:rsidP="008A4C5F">
      <w:pPr>
        <w:pStyle w:val="MAPPA-Bodytext"/>
        <w:jc w:val="center"/>
        <w:rPr>
          <w:b/>
          <w:bCs/>
          <w:color w:val="7030A0"/>
          <w:sz w:val="26"/>
          <w:szCs w:val="26"/>
        </w:rPr>
      </w:pPr>
    </w:p>
    <w:p w14:paraId="0B00A588" w14:textId="61CB36BD" w:rsidR="00833AD5" w:rsidRPr="00ED25C1" w:rsidRDefault="00833AD5" w:rsidP="008A4C5F">
      <w:pPr>
        <w:pStyle w:val="MAPPA-Bodytext"/>
        <w:jc w:val="center"/>
        <w:rPr>
          <w:b/>
          <w:bCs/>
          <w:color w:val="7030A0"/>
          <w:sz w:val="26"/>
          <w:szCs w:val="26"/>
        </w:rPr>
      </w:pPr>
      <w:r w:rsidRPr="00ED25C1">
        <w:rPr>
          <w:b/>
          <w:bCs/>
          <w:color w:val="7030A0"/>
          <w:sz w:val="26"/>
          <w:szCs w:val="26"/>
        </w:rPr>
        <w:t xml:space="preserve">All </w:t>
      </w:r>
      <w:r w:rsidR="00A41D7B">
        <w:rPr>
          <w:b/>
          <w:bCs/>
          <w:color w:val="7030A0"/>
          <w:sz w:val="26"/>
          <w:szCs w:val="26"/>
        </w:rPr>
        <w:t>M</w:t>
      </w:r>
      <w:r w:rsidRPr="00ED25C1">
        <w:rPr>
          <w:b/>
          <w:bCs/>
          <w:color w:val="7030A0"/>
          <w:sz w:val="26"/>
          <w:szCs w:val="26"/>
        </w:rPr>
        <w:t>APPA reports from England and Wales are published online at:</w:t>
      </w:r>
    </w:p>
    <w:p w14:paraId="3BD99B9F" w14:textId="72A2C41F" w:rsidR="00833AD5" w:rsidRPr="00987766" w:rsidRDefault="005A195D" w:rsidP="00987766">
      <w:pPr>
        <w:pStyle w:val="MAPPA-Bodytext"/>
        <w:jc w:val="center"/>
        <w:rPr>
          <w:b/>
          <w:bCs/>
          <w:color w:val="007DC3"/>
          <w:sz w:val="26"/>
          <w:szCs w:val="26"/>
        </w:rPr>
      </w:pPr>
      <w:hyperlink r:id="rId22" w:history="1">
        <w:r w:rsidR="00833AD5" w:rsidRPr="00ED25C1">
          <w:rPr>
            <w:rStyle w:val="Hyperlink"/>
            <w:rFonts w:cs="Arial"/>
            <w:b/>
            <w:bCs/>
            <w:sz w:val="26"/>
            <w:szCs w:val="26"/>
          </w:rPr>
          <w:t>www.gov.uk</w:t>
        </w:r>
      </w:hyperlink>
    </w:p>
    <w:tbl>
      <w:tblPr>
        <w:tblStyle w:val="TableGrid"/>
        <w:tblpPr w:leftFromText="180" w:rightFromText="180" w:vertAnchor="text" w:horzAnchor="margin" w:tblpY="25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360"/>
        <w:gridCol w:w="3399"/>
      </w:tblGrid>
      <w:tr w:rsidR="00833AD5" w:rsidRPr="00ED25C1" w14:paraId="6724494A" w14:textId="77777777" w:rsidTr="00833AD5">
        <w:tc>
          <w:tcPr>
            <w:tcW w:w="3696" w:type="dxa"/>
          </w:tcPr>
          <w:p w14:paraId="10A0110A" w14:textId="2CE3A6CD" w:rsidR="00FF53F6" w:rsidRDefault="00FF53F6" w:rsidP="00FF53F6">
            <w:pPr>
              <w:pStyle w:val="MAPPA-Bodytext"/>
              <w:spacing w:line="240" w:lineRule="atLeast"/>
              <w:jc w:val="center"/>
              <w:rPr>
                <w:b/>
                <w:bCs/>
                <w:color w:val="7030A0"/>
                <w:sz w:val="26"/>
                <w:szCs w:val="26"/>
              </w:rPr>
            </w:pPr>
          </w:p>
          <w:p w14:paraId="5D97F1D2" w14:textId="3482BF6B" w:rsidR="00833AD5" w:rsidRPr="00ED25C1" w:rsidRDefault="00FF53F6" w:rsidP="00FF53F6">
            <w:pPr>
              <w:pStyle w:val="MAPPA-Bodytext"/>
              <w:spacing w:line="240" w:lineRule="atLeast"/>
              <w:jc w:val="center"/>
              <w:rPr>
                <w:b/>
                <w:bCs/>
                <w:color w:val="7030A0"/>
                <w:sz w:val="26"/>
                <w:szCs w:val="26"/>
              </w:rPr>
            </w:pPr>
            <w:r>
              <w:rPr>
                <w:noProof/>
              </w:rPr>
              <w:drawing>
                <wp:inline distT="0" distB="0" distL="0" distR="0" wp14:anchorId="01B40134" wp14:editId="012225B0">
                  <wp:extent cx="2057400" cy="818965"/>
                  <wp:effectExtent l="0" t="0" r="0" b="635"/>
                  <wp:docPr id="11" name="Picture 11"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818965"/>
                          </a:xfrm>
                          <a:prstGeom prst="rect">
                            <a:avLst/>
                          </a:prstGeom>
                          <a:noFill/>
                          <a:ln>
                            <a:noFill/>
                          </a:ln>
                        </pic:spPr>
                      </pic:pic>
                    </a:graphicData>
                  </a:graphic>
                </wp:inline>
              </w:drawing>
            </w:r>
          </w:p>
        </w:tc>
        <w:tc>
          <w:tcPr>
            <w:tcW w:w="3360" w:type="dxa"/>
          </w:tcPr>
          <w:p w14:paraId="258767E4" w14:textId="77777777" w:rsidR="00FF53F6" w:rsidRDefault="00FF53F6" w:rsidP="00FF53F6">
            <w:pPr>
              <w:pStyle w:val="MAPPA-Bodytext"/>
              <w:spacing w:line="240" w:lineRule="atLeast"/>
              <w:jc w:val="center"/>
              <w:rPr>
                <w:b/>
                <w:bCs/>
                <w:color w:val="7030A0"/>
                <w:sz w:val="26"/>
                <w:szCs w:val="26"/>
              </w:rPr>
            </w:pPr>
          </w:p>
          <w:p w14:paraId="2924EB1E" w14:textId="52F17238" w:rsidR="00FF53F6" w:rsidRPr="00ED25C1" w:rsidRDefault="00FF53F6" w:rsidP="00FF53F6">
            <w:pPr>
              <w:pStyle w:val="MAPPA-Bodytext"/>
              <w:spacing w:line="240" w:lineRule="atLeast"/>
              <w:jc w:val="center"/>
              <w:rPr>
                <w:b/>
                <w:bCs/>
                <w:color w:val="7030A0"/>
                <w:sz w:val="26"/>
                <w:szCs w:val="26"/>
              </w:rPr>
            </w:pPr>
            <w:r w:rsidRPr="00ED25C1">
              <w:rPr>
                <w:noProof/>
                <w:color w:val="7030A0"/>
                <w:lang w:val="en-GB"/>
              </w:rPr>
              <w:drawing>
                <wp:inline distT="0" distB="0" distL="0" distR="0" wp14:anchorId="13B7BFB7" wp14:editId="0B427C24">
                  <wp:extent cx="1464945" cy="97155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4945" cy="971550"/>
                          </a:xfrm>
                          <a:prstGeom prst="rect">
                            <a:avLst/>
                          </a:prstGeom>
                          <a:noFill/>
                        </pic:spPr>
                      </pic:pic>
                    </a:graphicData>
                  </a:graphic>
                </wp:inline>
              </w:drawing>
            </w:r>
          </w:p>
        </w:tc>
        <w:tc>
          <w:tcPr>
            <w:tcW w:w="3399" w:type="dxa"/>
          </w:tcPr>
          <w:p w14:paraId="7B9C4D05" w14:textId="77777777" w:rsidR="00FF53F6" w:rsidRDefault="00FF53F6" w:rsidP="00FF53F6">
            <w:pPr>
              <w:pStyle w:val="MAPPA-Bodytext"/>
              <w:spacing w:line="240" w:lineRule="atLeast"/>
              <w:jc w:val="center"/>
              <w:rPr>
                <w:b/>
                <w:bCs/>
                <w:color w:val="7030A0"/>
                <w:sz w:val="26"/>
                <w:szCs w:val="26"/>
              </w:rPr>
            </w:pPr>
          </w:p>
          <w:p w14:paraId="085CB1F9" w14:textId="14DA3FC8" w:rsidR="00833AD5" w:rsidRPr="00ED25C1" w:rsidRDefault="00FF53F6" w:rsidP="0071794D">
            <w:pPr>
              <w:pStyle w:val="MAPPA-Bodytext"/>
              <w:spacing w:line="240" w:lineRule="atLeast"/>
              <w:jc w:val="center"/>
              <w:rPr>
                <w:b/>
                <w:bCs/>
                <w:color w:val="7030A0"/>
                <w:sz w:val="26"/>
                <w:szCs w:val="26"/>
              </w:rPr>
            </w:pPr>
            <w:r w:rsidRPr="00ED25C1">
              <w:rPr>
                <w:b/>
                <w:bCs/>
                <w:noProof/>
                <w:color w:val="7030A0"/>
                <w:sz w:val="26"/>
                <w:szCs w:val="26"/>
              </w:rPr>
              <w:drawing>
                <wp:inline distT="0" distB="0" distL="0" distR="0" wp14:anchorId="51B293A9" wp14:editId="5301084C">
                  <wp:extent cx="733425" cy="1109345"/>
                  <wp:effectExtent l="0" t="0" r="9525" b="0"/>
                  <wp:docPr id="5" name="Picture 5" descr="Cleveland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leveland Police logo"/>
                          <pic:cNvPicPr/>
                        </pic:nvPicPr>
                        <pic:blipFill>
                          <a:blip r:embed="rId25"/>
                          <a:stretch>
                            <a:fillRect/>
                          </a:stretch>
                        </pic:blipFill>
                        <pic:spPr>
                          <a:xfrm>
                            <a:off x="0" y="0"/>
                            <a:ext cx="733425" cy="1109345"/>
                          </a:xfrm>
                          <a:prstGeom prst="rect">
                            <a:avLst/>
                          </a:prstGeom>
                        </pic:spPr>
                      </pic:pic>
                    </a:graphicData>
                  </a:graphic>
                </wp:inline>
              </w:drawing>
            </w:r>
          </w:p>
        </w:tc>
      </w:tr>
    </w:tbl>
    <w:p w14:paraId="2C7532F0" w14:textId="6B4B161C" w:rsidR="00DE3907" w:rsidRPr="00ED25C1" w:rsidRDefault="00DE3907" w:rsidP="00833AD5">
      <w:pPr>
        <w:pStyle w:val="MAPPA-Bodytext"/>
        <w:jc w:val="center"/>
        <w:rPr>
          <w:b/>
          <w:bCs/>
          <w:color w:val="7030A0"/>
          <w:sz w:val="26"/>
          <w:szCs w:val="26"/>
        </w:rPr>
      </w:pPr>
    </w:p>
    <w:bookmarkEnd w:id="0"/>
    <w:p w14:paraId="154AFD3B" w14:textId="261FC08E" w:rsidR="001F2AE1" w:rsidRPr="00ED25C1" w:rsidRDefault="001F2AE1">
      <w:pPr>
        <w:pStyle w:val="MAPPA-Bodytext"/>
        <w:jc w:val="center"/>
        <w:rPr>
          <w:b/>
          <w:bCs/>
          <w:color w:val="7030A0"/>
          <w:sz w:val="26"/>
          <w:szCs w:val="26"/>
        </w:rPr>
      </w:pPr>
    </w:p>
    <w:sectPr w:rsidR="001F2AE1" w:rsidRPr="00ED25C1" w:rsidSect="00EE56D3">
      <w:type w:val="continuous"/>
      <w:pgSz w:w="11905" w:h="16837" w:code="9"/>
      <w:pgMar w:top="720" w:right="720" w:bottom="720" w:left="720" w:header="720"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4692" w14:textId="77777777" w:rsidR="007314A5" w:rsidRDefault="007314A5" w:rsidP="001A5708">
      <w:pPr>
        <w:pStyle w:val="MAPPA-Bodytext"/>
      </w:pPr>
      <w:r>
        <w:separator/>
      </w:r>
    </w:p>
  </w:endnote>
  <w:endnote w:type="continuationSeparator" w:id="0">
    <w:p w14:paraId="5FC39A69" w14:textId="77777777" w:rsidR="007314A5" w:rsidRDefault="007314A5" w:rsidP="001A5708">
      <w:pPr>
        <w:pStyle w:val="MAPPA-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7116" w14:textId="77777777" w:rsidR="00332EE6" w:rsidRPr="00F42A1E" w:rsidRDefault="00332EE6" w:rsidP="00F42A1E">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5D88" w14:textId="77777777" w:rsidR="00ED25C1" w:rsidRPr="00F42A1E" w:rsidRDefault="00ED25C1" w:rsidP="00F42A1E">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2BDC" w14:textId="62816662" w:rsidR="00332EE6" w:rsidRPr="00F42A1E" w:rsidRDefault="00332EE6" w:rsidP="00F42A1E">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ED53" w14:textId="1941AE39" w:rsidR="00332EE6" w:rsidRPr="00F42A1E" w:rsidRDefault="00332EE6" w:rsidP="00F42A1E">
    <w:pPr>
      <w:pStyle w:val="Foo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1BB3"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15C68" w14:textId="77777777" w:rsidR="007314A5" w:rsidRDefault="007314A5" w:rsidP="001A5708">
      <w:pPr>
        <w:pStyle w:val="MAPPA-Bodytext"/>
      </w:pPr>
      <w:r>
        <w:separator/>
      </w:r>
    </w:p>
  </w:footnote>
  <w:footnote w:type="continuationSeparator" w:id="0">
    <w:p w14:paraId="15056D65" w14:textId="77777777" w:rsidR="007314A5" w:rsidRDefault="007314A5" w:rsidP="001A5708">
      <w:pPr>
        <w:pStyle w:val="MAPPA-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74CA9"/>
    <w:multiLevelType w:val="hybridMultilevel"/>
    <w:tmpl w:val="7FEE3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33425"/>
    <w:multiLevelType w:val="hybridMultilevel"/>
    <w:tmpl w:val="344CD5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8160376"/>
    <w:multiLevelType w:val="hybridMultilevel"/>
    <w:tmpl w:val="1F14AA0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4BD65AC"/>
    <w:multiLevelType w:val="hybridMultilevel"/>
    <w:tmpl w:val="91EE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556E0"/>
    <w:multiLevelType w:val="hybridMultilevel"/>
    <w:tmpl w:val="26BE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49837">
    <w:abstractNumId w:val="5"/>
  </w:num>
  <w:num w:numId="2" w16cid:durableId="479928887">
    <w:abstractNumId w:val="6"/>
  </w:num>
  <w:num w:numId="3" w16cid:durableId="214701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5260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6862340">
    <w:abstractNumId w:val="3"/>
  </w:num>
  <w:num w:numId="6" w16cid:durableId="1020934563">
    <w:abstractNumId w:val="1"/>
  </w:num>
  <w:num w:numId="7" w16cid:durableId="548808393">
    <w:abstractNumId w:val="2"/>
  </w:num>
  <w:num w:numId="8" w16cid:durableId="1307395152">
    <w:abstractNumId w:val="4"/>
  </w:num>
  <w:num w:numId="9" w16cid:durableId="1882791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0EAE"/>
    <w:rsid w:val="00012E4C"/>
    <w:rsid w:val="00036426"/>
    <w:rsid w:val="000536B2"/>
    <w:rsid w:val="0009323B"/>
    <w:rsid w:val="000A6775"/>
    <w:rsid w:val="00120884"/>
    <w:rsid w:val="001435D5"/>
    <w:rsid w:val="00154D3E"/>
    <w:rsid w:val="00185FB2"/>
    <w:rsid w:val="001A5708"/>
    <w:rsid w:val="001B0CC5"/>
    <w:rsid w:val="001E2BE8"/>
    <w:rsid w:val="001E4AC5"/>
    <w:rsid w:val="001E793A"/>
    <w:rsid w:val="001F0E43"/>
    <w:rsid w:val="001F2AE1"/>
    <w:rsid w:val="001F341F"/>
    <w:rsid w:val="001F3FB5"/>
    <w:rsid w:val="001F6696"/>
    <w:rsid w:val="0020607B"/>
    <w:rsid w:val="00233AB5"/>
    <w:rsid w:val="002446A8"/>
    <w:rsid w:val="00256DAD"/>
    <w:rsid w:val="002621F5"/>
    <w:rsid w:val="002652AD"/>
    <w:rsid w:val="002811B0"/>
    <w:rsid w:val="00282372"/>
    <w:rsid w:val="002A03F4"/>
    <w:rsid w:val="002A5E53"/>
    <w:rsid w:val="002C0567"/>
    <w:rsid w:val="002D56E1"/>
    <w:rsid w:val="002D5862"/>
    <w:rsid w:val="002F08DA"/>
    <w:rsid w:val="00302FA6"/>
    <w:rsid w:val="00316394"/>
    <w:rsid w:val="00325143"/>
    <w:rsid w:val="00331827"/>
    <w:rsid w:val="00332EE6"/>
    <w:rsid w:val="00337928"/>
    <w:rsid w:val="00347A55"/>
    <w:rsid w:val="00397110"/>
    <w:rsid w:val="003B6695"/>
    <w:rsid w:val="003C0362"/>
    <w:rsid w:val="003C36DD"/>
    <w:rsid w:val="003E6AD5"/>
    <w:rsid w:val="0040003B"/>
    <w:rsid w:val="004219E0"/>
    <w:rsid w:val="00441138"/>
    <w:rsid w:val="0044659C"/>
    <w:rsid w:val="00447974"/>
    <w:rsid w:val="0045477C"/>
    <w:rsid w:val="00476A59"/>
    <w:rsid w:val="004C40BA"/>
    <w:rsid w:val="004C6460"/>
    <w:rsid w:val="004D1D77"/>
    <w:rsid w:val="004E4CDB"/>
    <w:rsid w:val="005541E4"/>
    <w:rsid w:val="00560418"/>
    <w:rsid w:val="00561E0B"/>
    <w:rsid w:val="00563E49"/>
    <w:rsid w:val="005773AC"/>
    <w:rsid w:val="005A195D"/>
    <w:rsid w:val="005E0022"/>
    <w:rsid w:val="005E1880"/>
    <w:rsid w:val="005E20D8"/>
    <w:rsid w:val="005E2850"/>
    <w:rsid w:val="005F28B2"/>
    <w:rsid w:val="0062751A"/>
    <w:rsid w:val="00661EDF"/>
    <w:rsid w:val="00662BE5"/>
    <w:rsid w:val="006644CD"/>
    <w:rsid w:val="006645A8"/>
    <w:rsid w:val="00673321"/>
    <w:rsid w:val="00683239"/>
    <w:rsid w:val="00683555"/>
    <w:rsid w:val="00683618"/>
    <w:rsid w:val="0069414D"/>
    <w:rsid w:val="00695CEC"/>
    <w:rsid w:val="006A056D"/>
    <w:rsid w:val="006C58FB"/>
    <w:rsid w:val="006D6914"/>
    <w:rsid w:val="006F236C"/>
    <w:rsid w:val="007000D6"/>
    <w:rsid w:val="007059C7"/>
    <w:rsid w:val="0071794D"/>
    <w:rsid w:val="00717E7B"/>
    <w:rsid w:val="00722F6A"/>
    <w:rsid w:val="00730FAC"/>
    <w:rsid w:val="007314A5"/>
    <w:rsid w:val="00733747"/>
    <w:rsid w:val="00735E92"/>
    <w:rsid w:val="00744D61"/>
    <w:rsid w:val="007477FB"/>
    <w:rsid w:val="0075264A"/>
    <w:rsid w:val="00754EEF"/>
    <w:rsid w:val="00780F68"/>
    <w:rsid w:val="00786A3A"/>
    <w:rsid w:val="007A33F0"/>
    <w:rsid w:val="007A47E1"/>
    <w:rsid w:val="007B7706"/>
    <w:rsid w:val="007C0669"/>
    <w:rsid w:val="007C08AC"/>
    <w:rsid w:val="007C095C"/>
    <w:rsid w:val="007C6C9E"/>
    <w:rsid w:val="007C7106"/>
    <w:rsid w:val="007D1D47"/>
    <w:rsid w:val="007E2BA1"/>
    <w:rsid w:val="00815132"/>
    <w:rsid w:val="008218B2"/>
    <w:rsid w:val="00833AD5"/>
    <w:rsid w:val="00837BFD"/>
    <w:rsid w:val="008453C4"/>
    <w:rsid w:val="0084578C"/>
    <w:rsid w:val="00846E32"/>
    <w:rsid w:val="0084784F"/>
    <w:rsid w:val="00856D56"/>
    <w:rsid w:val="00867C9E"/>
    <w:rsid w:val="00880650"/>
    <w:rsid w:val="0089121C"/>
    <w:rsid w:val="008A4C5F"/>
    <w:rsid w:val="008B55DE"/>
    <w:rsid w:val="008C0C55"/>
    <w:rsid w:val="008C1531"/>
    <w:rsid w:val="008C3C42"/>
    <w:rsid w:val="008C6282"/>
    <w:rsid w:val="008D1D3C"/>
    <w:rsid w:val="008E15B2"/>
    <w:rsid w:val="008E2C4B"/>
    <w:rsid w:val="008F243E"/>
    <w:rsid w:val="008F69D6"/>
    <w:rsid w:val="0090299B"/>
    <w:rsid w:val="00904927"/>
    <w:rsid w:val="0091273E"/>
    <w:rsid w:val="00912A31"/>
    <w:rsid w:val="0092048C"/>
    <w:rsid w:val="009311B4"/>
    <w:rsid w:val="00940740"/>
    <w:rsid w:val="0095383C"/>
    <w:rsid w:val="00962504"/>
    <w:rsid w:val="0097502F"/>
    <w:rsid w:val="00976FA2"/>
    <w:rsid w:val="00987766"/>
    <w:rsid w:val="009B20E8"/>
    <w:rsid w:val="009C3B63"/>
    <w:rsid w:val="009F5E8E"/>
    <w:rsid w:val="00A048B0"/>
    <w:rsid w:val="00A05535"/>
    <w:rsid w:val="00A24965"/>
    <w:rsid w:val="00A35595"/>
    <w:rsid w:val="00A41D7B"/>
    <w:rsid w:val="00A44770"/>
    <w:rsid w:val="00A92CE4"/>
    <w:rsid w:val="00AC3FBF"/>
    <w:rsid w:val="00AC6E16"/>
    <w:rsid w:val="00AD0E4F"/>
    <w:rsid w:val="00AD38C4"/>
    <w:rsid w:val="00AD78C6"/>
    <w:rsid w:val="00AE4C19"/>
    <w:rsid w:val="00AF7C22"/>
    <w:rsid w:val="00B23C80"/>
    <w:rsid w:val="00B24A02"/>
    <w:rsid w:val="00B436F7"/>
    <w:rsid w:val="00B46863"/>
    <w:rsid w:val="00B50D53"/>
    <w:rsid w:val="00B54114"/>
    <w:rsid w:val="00B614A4"/>
    <w:rsid w:val="00BA5ECB"/>
    <w:rsid w:val="00BB2E22"/>
    <w:rsid w:val="00BB6303"/>
    <w:rsid w:val="00BC0531"/>
    <w:rsid w:val="00BC169C"/>
    <w:rsid w:val="00BF736E"/>
    <w:rsid w:val="00C0210E"/>
    <w:rsid w:val="00C16E95"/>
    <w:rsid w:val="00C353CF"/>
    <w:rsid w:val="00C40C02"/>
    <w:rsid w:val="00C449EC"/>
    <w:rsid w:val="00C53C46"/>
    <w:rsid w:val="00C83D0E"/>
    <w:rsid w:val="00CA0563"/>
    <w:rsid w:val="00CB2C2F"/>
    <w:rsid w:val="00CB75D3"/>
    <w:rsid w:val="00CC713B"/>
    <w:rsid w:val="00CD04B6"/>
    <w:rsid w:val="00CF1FE2"/>
    <w:rsid w:val="00CF2EB1"/>
    <w:rsid w:val="00D16C41"/>
    <w:rsid w:val="00D33C90"/>
    <w:rsid w:val="00D57D76"/>
    <w:rsid w:val="00D8081A"/>
    <w:rsid w:val="00D83865"/>
    <w:rsid w:val="00D9019D"/>
    <w:rsid w:val="00D929AA"/>
    <w:rsid w:val="00D95BC1"/>
    <w:rsid w:val="00DA6F10"/>
    <w:rsid w:val="00DC02EE"/>
    <w:rsid w:val="00DC3228"/>
    <w:rsid w:val="00DC35A8"/>
    <w:rsid w:val="00DD60EC"/>
    <w:rsid w:val="00DE361C"/>
    <w:rsid w:val="00DE3907"/>
    <w:rsid w:val="00E16E1F"/>
    <w:rsid w:val="00E50500"/>
    <w:rsid w:val="00E53FDC"/>
    <w:rsid w:val="00E564BE"/>
    <w:rsid w:val="00E6461E"/>
    <w:rsid w:val="00E758B3"/>
    <w:rsid w:val="00EA28A2"/>
    <w:rsid w:val="00ED25C1"/>
    <w:rsid w:val="00ED543E"/>
    <w:rsid w:val="00EE119F"/>
    <w:rsid w:val="00EE56D3"/>
    <w:rsid w:val="00F0078E"/>
    <w:rsid w:val="00F04209"/>
    <w:rsid w:val="00F333E2"/>
    <w:rsid w:val="00F37895"/>
    <w:rsid w:val="00F42A1E"/>
    <w:rsid w:val="00F53385"/>
    <w:rsid w:val="00F536FE"/>
    <w:rsid w:val="00F53D72"/>
    <w:rsid w:val="00F7006F"/>
    <w:rsid w:val="00F73904"/>
    <w:rsid w:val="00F758AF"/>
    <w:rsid w:val="00F77BCE"/>
    <w:rsid w:val="00F77F11"/>
    <w:rsid w:val="00F83EB4"/>
    <w:rsid w:val="00FA4539"/>
    <w:rsid w:val="00FA7018"/>
    <w:rsid w:val="00FA794D"/>
    <w:rsid w:val="00FB1CF3"/>
    <w:rsid w:val="00FD5A6F"/>
    <w:rsid w:val="00FE0C63"/>
    <w:rsid w:val="00FE42DC"/>
    <w:rsid w:val="00FE7C43"/>
    <w:rsid w:val="00FF05DA"/>
    <w:rsid w:val="00FF5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2A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ahoma"/>
        <w:color w:val="000000" w:themeColor="text1"/>
        <w:sz w:val="24"/>
        <w:szCs w:val="24"/>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style>
  <w:style w:type="paragraph" w:styleId="Heading2">
    <w:name w:val="heading 2"/>
    <w:basedOn w:val="Normal"/>
    <w:next w:val="Normal"/>
    <w:link w:val="Heading2Char"/>
    <w:semiHidden/>
    <w:unhideWhenUsed/>
    <w:qFormat/>
    <w:locked/>
    <w:rsid w:val="001F66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style>
  <w:style w:type="character" w:styleId="IntenseReference">
    <w:name w:val="Intense Reference"/>
    <w:basedOn w:val="DefaultParagraphFont"/>
    <w:uiPriority w:val="32"/>
    <w:qFormat/>
    <w:rsid w:val="009311B4"/>
    <w:rPr>
      <w:b/>
      <w:bCs/>
      <w:smallCaps/>
      <w:color w:val="4F81BD" w:themeColor="accent1"/>
      <w:spacing w:val="5"/>
    </w:rPr>
  </w:style>
  <w:style w:type="paragraph" w:styleId="ListParagraph">
    <w:name w:val="List Paragraph"/>
    <w:basedOn w:val="Normal"/>
    <w:uiPriority w:val="34"/>
    <w:qFormat/>
    <w:rsid w:val="00DD60EC"/>
    <w:pPr>
      <w:ind w:left="720"/>
    </w:pPr>
    <w:rPr>
      <w:rFonts w:ascii="Calibri" w:eastAsiaTheme="minorHAnsi" w:hAnsi="Calibri" w:cs="Calibri"/>
      <w:sz w:val="22"/>
      <w:szCs w:val="22"/>
      <w:lang w:eastAsia="en-US"/>
    </w:rPr>
  </w:style>
  <w:style w:type="character" w:styleId="UnresolvedMention">
    <w:name w:val="Unresolved Mention"/>
    <w:basedOn w:val="DefaultParagraphFont"/>
    <w:uiPriority w:val="99"/>
    <w:semiHidden/>
    <w:unhideWhenUsed/>
    <w:rsid w:val="001B0CC5"/>
    <w:rPr>
      <w:color w:val="605E5C"/>
      <w:shd w:val="clear" w:color="auto" w:fill="E1DFDD"/>
    </w:rPr>
  </w:style>
  <w:style w:type="paragraph" w:customStyle="1" w:styleId="Style1">
    <w:name w:val="Style1"/>
    <w:basedOn w:val="Heading2"/>
    <w:link w:val="Style1Char"/>
    <w:qFormat/>
    <w:rsid w:val="001F6696"/>
    <w:pPr>
      <w:spacing w:line="360" w:lineRule="auto"/>
    </w:pPr>
    <w:rPr>
      <w:rFonts w:ascii="Arial" w:hAnsi="Arial"/>
      <w:color w:val="7030A0"/>
      <w:sz w:val="38"/>
      <w:szCs w:val="38"/>
    </w:rPr>
  </w:style>
  <w:style w:type="character" w:customStyle="1" w:styleId="Style1Char">
    <w:name w:val="Style1 Char"/>
    <w:basedOn w:val="Heading2Char"/>
    <w:link w:val="Style1"/>
    <w:rsid w:val="001F6696"/>
    <w:rPr>
      <w:rFonts w:ascii="Arial" w:eastAsiaTheme="majorEastAsia" w:hAnsi="Arial" w:cstheme="majorBidi"/>
      <w:color w:val="7030A0"/>
      <w:sz w:val="38"/>
      <w:szCs w:val="38"/>
    </w:rPr>
  </w:style>
  <w:style w:type="character" w:customStyle="1" w:styleId="Heading2Char">
    <w:name w:val="Heading 2 Char"/>
    <w:basedOn w:val="DefaultParagraphFont"/>
    <w:link w:val="Heading2"/>
    <w:semiHidden/>
    <w:rsid w:val="001F6696"/>
    <w:rPr>
      <w:rFonts w:asciiTheme="majorHAnsi" w:eastAsiaTheme="majorEastAsia" w:hAnsiTheme="majorHAnsi" w:cstheme="majorBidi"/>
      <w:color w:val="365F91" w:themeColor="accent1" w:themeShade="BF"/>
      <w:sz w:val="26"/>
      <w:szCs w:val="26"/>
    </w:rPr>
  </w:style>
  <w:style w:type="table" w:customStyle="1" w:styleId="Style4">
    <w:name w:val="Style4"/>
    <w:basedOn w:val="TableGrid2"/>
    <w:uiPriority w:val="99"/>
    <w:rsid w:val="001F6696"/>
    <w:rPr>
      <w:rFonts w:ascii="Arial" w:hAnsi="Arial" w:cs="Times New Roman"/>
      <w:b/>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1F6696"/>
    <w:rPr>
      <w:rFonts w:ascii="Arial" w:hAnsi="Arial" w:cs="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1F6696"/>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948">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35064194">
      <w:bodyDiv w:val="1"/>
      <w:marLeft w:val="0"/>
      <w:marRight w:val="0"/>
      <w:marTop w:val="0"/>
      <w:marBottom w:val="0"/>
      <w:divBdr>
        <w:top w:val="none" w:sz="0" w:space="0" w:color="auto"/>
        <w:left w:val="none" w:sz="0" w:space="0" w:color="auto"/>
        <w:bottom w:val="none" w:sz="0" w:space="0" w:color="auto"/>
        <w:right w:val="none" w:sz="0" w:space="0" w:color="auto"/>
      </w:divBdr>
    </w:div>
    <w:div w:id="950475654">
      <w:bodyDiv w:val="1"/>
      <w:marLeft w:val="0"/>
      <w:marRight w:val="0"/>
      <w:marTop w:val="0"/>
      <w:marBottom w:val="0"/>
      <w:divBdr>
        <w:top w:val="none" w:sz="0" w:space="0" w:color="auto"/>
        <w:left w:val="none" w:sz="0" w:space="0" w:color="auto"/>
        <w:bottom w:val="none" w:sz="0" w:space="0" w:color="auto"/>
        <w:right w:val="none" w:sz="0" w:space="0" w:color="auto"/>
      </w:divBdr>
    </w:div>
    <w:div w:id="1224028526">
      <w:bodyDiv w:val="1"/>
      <w:marLeft w:val="0"/>
      <w:marRight w:val="0"/>
      <w:marTop w:val="0"/>
      <w:marBottom w:val="0"/>
      <w:divBdr>
        <w:top w:val="none" w:sz="0" w:space="0" w:color="auto"/>
        <w:left w:val="none" w:sz="0" w:space="0" w:color="auto"/>
        <w:bottom w:val="none" w:sz="0" w:space="0" w:color="auto"/>
        <w:right w:val="none" w:sz="0" w:space="0" w:color="auto"/>
      </w:divBdr>
    </w:div>
    <w:div w:id="1303000684">
      <w:bodyDiv w:val="1"/>
      <w:marLeft w:val="0"/>
      <w:marRight w:val="0"/>
      <w:marTop w:val="0"/>
      <w:marBottom w:val="0"/>
      <w:divBdr>
        <w:top w:val="none" w:sz="0" w:space="0" w:color="auto"/>
        <w:left w:val="none" w:sz="0" w:space="0" w:color="auto"/>
        <w:bottom w:val="none" w:sz="0" w:space="0" w:color="auto"/>
        <w:right w:val="none" w:sz="0" w:space="0" w:color="auto"/>
      </w:divBdr>
    </w:div>
    <w:div w:id="1436486306">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gov.uk"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www.gov.uk/government/publications/multi-agency-public-protection-arrangements-review"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29589-DB63-499D-B0B8-7EB94954A2D7}">
  <ds:schemaRefs>
    <ds:schemaRef ds:uri="http://schemas.openxmlformats.org/officeDocument/2006/bibliography"/>
  </ds:schemaRefs>
</ds:datastoreItem>
</file>

<file path=customXml/itemProps2.xml><?xml version="1.0" encoding="utf-8"?>
<ds:datastoreItem xmlns:ds="http://schemas.openxmlformats.org/officeDocument/2006/customXml" ds:itemID="{6F0EA075-0981-4F4B-964D-11682D98C0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BF0DC7-C5A4-402D-8BC8-FFAF0B8E0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5514D-FC56-4E5D-9548-BB0A45C582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2899</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2023-10-13T11:34:00Z</dcterms:created>
  <dcterms:modified xsi:type="dcterms:W3CDTF">2023-10-23T11:24:00Z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