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0C271" w14:textId="1FE14AA3" w:rsidR="00A50529" w:rsidRDefault="00743CDE" w:rsidP="00A50529">
      <w:pPr>
        <w:pStyle w:val="Default"/>
        <w:rPr>
          <w:rFonts w:ascii="Arial" w:hAnsi="Arial" w:cs="Arial"/>
          <w:b/>
          <w:noProof/>
          <w:color w:val="7030A0"/>
          <w:sz w:val="72"/>
          <w:szCs w:val="72"/>
        </w:rPr>
      </w:pPr>
      <w:r w:rsidRPr="005526F6">
        <w:rPr>
          <w:noProof/>
        </w:rPr>
        <w:drawing>
          <wp:inline distT="0" distB="0" distL="0" distR="0" wp14:anchorId="673FDB08" wp14:editId="17C2A171">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A50529">
        <w:rPr>
          <w:noProof/>
        </w:rPr>
        <mc:AlternateContent>
          <mc:Choice Requires="wps">
            <w:drawing>
              <wp:anchor distT="0" distB="0" distL="114300" distR="114300" simplePos="0" relativeHeight="251659264" behindDoc="0" locked="0" layoutInCell="1" allowOverlap="1" wp14:anchorId="58285D71" wp14:editId="60242EA6">
                <wp:simplePos x="0" y="0"/>
                <wp:positionH relativeFrom="column">
                  <wp:posOffset>149860</wp:posOffset>
                </wp:positionH>
                <wp:positionV relativeFrom="paragraph">
                  <wp:posOffset>-8910320</wp:posOffset>
                </wp:positionV>
                <wp:extent cx="5743575" cy="1666875"/>
                <wp:effectExtent l="0" t="0" r="0" b="0"/>
                <wp:wrapNone/>
                <wp:docPr id="1"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6A8A6" w14:textId="77777777" w:rsidR="00A50529" w:rsidRPr="00233AB5" w:rsidRDefault="00A50529" w:rsidP="00A50529">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285D71" id="_x0000_t202" coordsize="21600,21600" o:spt="202" path="m,l,21600r21600,l21600,xe">
                <v:stroke joinstyle="miter"/>
                <v:path gradientshapeok="t" o:connecttype="rect"/>
              </v:shapetype>
              <v:shape id="Text Box 3" o:spid="_x0000_s1026" type="#_x0000_t202" alt="&quot;&quot;" style="position:absolute;margin-left:11.8pt;margin-top:-701.6pt;width:452.25pt;height:13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5816A8A6" w14:textId="77777777" w:rsidR="00A50529" w:rsidRPr="00233AB5" w:rsidRDefault="00A50529" w:rsidP="00A50529">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r w:rsidR="009306B0">
        <w:rPr>
          <w:rStyle w:val="IntenseReference"/>
          <w:rFonts w:ascii="Arial" w:hAnsi="Arial" w:cs="Arial"/>
          <w:b w:val="0"/>
          <w:color w:val="7030A0"/>
          <w:sz w:val="100"/>
          <w:szCs w:val="100"/>
        </w:rPr>
        <w:t xml:space="preserve">    </w:t>
      </w:r>
      <w:r w:rsidR="00A50529" w:rsidRPr="00926358">
        <w:rPr>
          <w:rStyle w:val="IntenseReference"/>
          <w:rFonts w:ascii="Arial" w:hAnsi="Arial" w:cs="Arial"/>
          <w:bCs w:val="0"/>
          <w:color w:val="7030A0"/>
          <w:sz w:val="100"/>
          <w:szCs w:val="100"/>
        </w:rPr>
        <w:t>CHESHIRE</w:t>
      </w:r>
    </w:p>
    <w:p w14:paraId="4D405698" w14:textId="77777777" w:rsidR="00A50529" w:rsidRDefault="00A50529" w:rsidP="00A50529">
      <w:pPr>
        <w:pStyle w:val="Default"/>
        <w:tabs>
          <w:tab w:val="left" w:pos="8865"/>
        </w:tabs>
        <w:jc w:val="right"/>
        <w:rPr>
          <w:rFonts w:ascii="Arial" w:hAnsi="Arial" w:cs="Arial"/>
          <w:b/>
          <w:noProof/>
          <w:color w:val="7030A0"/>
          <w:sz w:val="72"/>
          <w:szCs w:val="72"/>
        </w:rPr>
        <w:sectPr w:rsidR="00A50529" w:rsidSect="00735E92">
          <w:footerReference w:type="even" r:id="rId12"/>
          <w:footerReference w:type="default" r:id="rId13"/>
          <w:footerReference w:type="first" r:id="rId14"/>
          <w:pgSz w:w="11905" w:h="16837" w:code="9"/>
          <w:pgMar w:top="720" w:right="720" w:bottom="720" w:left="567" w:header="720" w:footer="567" w:gutter="0"/>
          <w:cols w:space="720"/>
          <w:noEndnote/>
        </w:sectPr>
      </w:pPr>
    </w:p>
    <w:p w14:paraId="3846F4A3" w14:textId="77777777" w:rsidR="00A50529" w:rsidRDefault="00A50529" w:rsidP="00A50529">
      <w:pPr>
        <w:pStyle w:val="Default"/>
        <w:tabs>
          <w:tab w:val="left" w:pos="8865"/>
        </w:tabs>
        <w:jc w:val="right"/>
        <w:rPr>
          <w:rFonts w:ascii="Arial" w:hAnsi="Arial" w:cs="Arial"/>
          <w:b/>
          <w:noProof/>
          <w:color w:val="7030A0"/>
          <w:sz w:val="72"/>
          <w:szCs w:val="72"/>
        </w:rPr>
      </w:pPr>
      <w:r>
        <w:rPr>
          <w:rFonts w:ascii="Arial" w:hAnsi="Arial" w:cs="Arial"/>
          <w:b/>
          <w:noProof/>
          <w:color w:val="7030A0"/>
          <w:sz w:val="72"/>
          <w:szCs w:val="72"/>
        </w:rPr>
        <w:drawing>
          <wp:inline distT="0" distB="0" distL="0" distR="0" wp14:anchorId="4821A877" wp14:editId="3F8984AD">
            <wp:extent cx="3662317" cy="2457150"/>
            <wp:effectExtent l="0" t="0" r="0" b="63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5"/>
                    <a:stretch>
                      <a:fillRect/>
                    </a:stretch>
                  </pic:blipFill>
                  <pic:spPr>
                    <a:xfrm>
                      <a:off x="0" y="0"/>
                      <a:ext cx="3772186" cy="2530864"/>
                    </a:xfrm>
                    <a:prstGeom prst="rect">
                      <a:avLst/>
                    </a:prstGeom>
                    <a:effectLst>
                      <a:softEdge rad="127000"/>
                    </a:effectLst>
                  </pic:spPr>
                </pic:pic>
              </a:graphicData>
            </a:graphic>
          </wp:inline>
        </w:drawing>
      </w:r>
      <w:r>
        <w:rPr>
          <w:rFonts w:ascii="Arial" w:hAnsi="Arial" w:cs="Arial"/>
          <w:b/>
          <w:noProof/>
          <w:color w:val="7030A0"/>
          <w:sz w:val="72"/>
          <w:szCs w:val="72"/>
        </w:rPr>
        <w:drawing>
          <wp:inline distT="0" distB="0" distL="0" distR="0" wp14:anchorId="5761B6AD" wp14:editId="5AA9E0CA">
            <wp:extent cx="3056790" cy="2450328"/>
            <wp:effectExtent l="0" t="0" r="0" b="7620"/>
            <wp:docPr id="15" name="Picture 15" descr="Image of the Town Bridge over the Canalised River Weaver in Northwich, Che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the Town Bridge over the Canalised River Weaver in Northwich, Cheshire."/>
                    <pic:cNvPicPr/>
                  </pic:nvPicPr>
                  <pic:blipFill>
                    <a:blip r:embed="rId16"/>
                    <a:stretch>
                      <a:fillRect/>
                    </a:stretch>
                  </pic:blipFill>
                  <pic:spPr>
                    <a:xfrm>
                      <a:off x="0" y="0"/>
                      <a:ext cx="3056790" cy="2450328"/>
                    </a:xfrm>
                    <a:prstGeom prst="rect">
                      <a:avLst/>
                    </a:prstGeom>
                    <a:effectLst>
                      <a:softEdge rad="127000"/>
                    </a:effectLst>
                  </pic:spPr>
                </pic:pic>
              </a:graphicData>
            </a:graphic>
          </wp:inline>
        </w:drawing>
      </w:r>
    </w:p>
    <w:p w14:paraId="1523EEE1" w14:textId="77777777" w:rsidR="00A50529" w:rsidRDefault="00A50529" w:rsidP="00A50529">
      <w:pPr>
        <w:pStyle w:val="Default"/>
        <w:tabs>
          <w:tab w:val="left" w:pos="8865"/>
        </w:tabs>
        <w:jc w:val="right"/>
        <w:rPr>
          <w:rFonts w:ascii="Arial" w:hAnsi="Arial" w:cs="Arial"/>
          <w:b/>
          <w:noProof/>
          <w:color w:val="7030A0"/>
          <w:sz w:val="12"/>
          <w:szCs w:val="12"/>
        </w:rPr>
      </w:pPr>
      <w:r>
        <w:rPr>
          <w:rFonts w:ascii="Arial" w:hAnsi="Arial" w:cs="Arial"/>
          <w:b/>
          <w:noProof/>
          <w:color w:val="7030A0"/>
          <w:sz w:val="72"/>
          <w:szCs w:val="72"/>
        </w:rPr>
        <w:drawing>
          <wp:anchor distT="0" distB="0" distL="114300" distR="114300" simplePos="0" relativeHeight="251661312" behindDoc="0" locked="0" layoutInCell="1" allowOverlap="1" wp14:anchorId="42218C56" wp14:editId="671E8FFC">
            <wp:simplePos x="0" y="0"/>
            <wp:positionH relativeFrom="margin">
              <wp:align>right</wp:align>
            </wp:positionH>
            <wp:positionV relativeFrom="page">
              <wp:posOffset>3981450</wp:posOffset>
            </wp:positionV>
            <wp:extent cx="3056255" cy="4589145"/>
            <wp:effectExtent l="0" t="0" r="0" b="1905"/>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6255" cy="4589145"/>
                    </a:xfrm>
                    <a:prstGeom prst="rect">
                      <a:avLst/>
                    </a:prstGeom>
                    <a:noFill/>
                    <a:effectLst>
                      <a:softEdge rad="127000"/>
                    </a:effectLst>
                  </pic:spPr>
                </pic:pic>
              </a:graphicData>
            </a:graphic>
            <wp14:sizeRelH relativeFrom="margin">
              <wp14:pctWidth>0</wp14:pctWidth>
            </wp14:sizeRelH>
            <wp14:sizeRelV relativeFrom="margin">
              <wp14:pctHeight>0</wp14:pctHeight>
            </wp14:sizeRelV>
          </wp:anchor>
        </w:drawing>
      </w:r>
      <w:r>
        <w:rPr>
          <w:rFonts w:ascii="Arial" w:hAnsi="Arial" w:cs="Arial"/>
          <w:b/>
          <w:noProof/>
          <w:color w:val="7030A0"/>
          <w:sz w:val="72"/>
          <w:szCs w:val="72"/>
        </w:rPr>
        <w:drawing>
          <wp:anchor distT="0" distB="0" distL="114300" distR="114300" simplePos="0" relativeHeight="251660288" behindDoc="0" locked="0" layoutInCell="1" allowOverlap="1" wp14:anchorId="67B7E87E" wp14:editId="1A86B627">
            <wp:simplePos x="0" y="0"/>
            <wp:positionH relativeFrom="margin">
              <wp:align>left</wp:align>
            </wp:positionH>
            <wp:positionV relativeFrom="paragraph">
              <wp:posOffset>8255</wp:posOffset>
            </wp:positionV>
            <wp:extent cx="3681095" cy="2468880"/>
            <wp:effectExtent l="0" t="0" r="0" b="7620"/>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8"/>
                    <a:stretch>
                      <a:fillRect/>
                    </a:stretch>
                  </pic:blipFill>
                  <pic:spPr>
                    <a:xfrm>
                      <a:off x="0" y="0"/>
                      <a:ext cx="3681095" cy="2468880"/>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p>
    <w:p w14:paraId="1E8FE32A" w14:textId="77777777" w:rsidR="00A50529" w:rsidRPr="006627CD" w:rsidRDefault="00A50529" w:rsidP="00A50529"/>
    <w:p w14:paraId="110A894B" w14:textId="77777777" w:rsidR="00A50529" w:rsidRPr="006627CD" w:rsidRDefault="00A50529" w:rsidP="00A50529"/>
    <w:p w14:paraId="5C41BD37" w14:textId="77777777" w:rsidR="00A50529" w:rsidRPr="006627CD" w:rsidRDefault="00A50529" w:rsidP="00A50529"/>
    <w:p w14:paraId="6104BEF2" w14:textId="77777777" w:rsidR="00A50529" w:rsidRPr="006627CD" w:rsidRDefault="00A50529" w:rsidP="00A50529"/>
    <w:p w14:paraId="0E1E2D33" w14:textId="77777777" w:rsidR="00A50529" w:rsidRPr="006627CD" w:rsidRDefault="00A50529" w:rsidP="00A50529"/>
    <w:p w14:paraId="36B8A47E" w14:textId="77777777" w:rsidR="00A50529" w:rsidRPr="006627CD" w:rsidRDefault="00A50529" w:rsidP="00A50529"/>
    <w:p w14:paraId="648B3AA1" w14:textId="77777777" w:rsidR="00A50529" w:rsidRPr="006627CD" w:rsidRDefault="00A50529" w:rsidP="00A50529"/>
    <w:p w14:paraId="4C552FEB" w14:textId="77777777" w:rsidR="00A50529" w:rsidRPr="006627CD" w:rsidRDefault="00A50529" w:rsidP="00A50529"/>
    <w:p w14:paraId="7B1C26C1" w14:textId="77777777" w:rsidR="00A50529" w:rsidRPr="006627CD" w:rsidRDefault="00A50529" w:rsidP="00A50529"/>
    <w:p w14:paraId="0207B8E5" w14:textId="77777777" w:rsidR="00A50529" w:rsidRPr="006627CD" w:rsidRDefault="00A50529" w:rsidP="00A50529"/>
    <w:p w14:paraId="7D4CE98D" w14:textId="77777777" w:rsidR="00A50529" w:rsidRPr="006627CD" w:rsidRDefault="00A50529" w:rsidP="00A50529"/>
    <w:p w14:paraId="0AA8C78E" w14:textId="77777777" w:rsidR="00A50529" w:rsidRPr="006627CD" w:rsidRDefault="00A50529" w:rsidP="00A50529"/>
    <w:p w14:paraId="07FC4A69" w14:textId="77777777" w:rsidR="00A50529" w:rsidRPr="006627CD" w:rsidRDefault="00A50529" w:rsidP="00A50529"/>
    <w:p w14:paraId="74BF5DFB" w14:textId="77777777" w:rsidR="00A50529" w:rsidRDefault="00A50529" w:rsidP="00A50529">
      <w:pPr>
        <w:rPr>
          <w:rFonts w:ascii="Arial" w:hAnsi="Arial" w:cs="Arial"/>
          <w:b/>
          <w:noProof/>
          <w:color w:val="7030A0"/>
          <w:sz w:val="12"/>
          <w:szCs w:val="12"/>
        </w:rPr>
      </w:pPr>
    </w:p>
    <w:p w14:paraId="6C855D18" w14:textId="77777777" w:rsidR="00A50529" w:rsidRDefault="00A50529" w:rsidP="00A50529">
      <w:pPr>
        <w:rPr>
          <w:rFonts w:ascii="Arial" w:hAnsi="Arial" w:cs="Arial"/>
          <w:b/>
          <w:noProof/>
          <w:color w:val="7030A0"/>
          <w:sz w:val="12"/>
          <w:szCs w:val="12"/>
        </w:rPr>
      </w:pPr>
      <w:r>
        <w:rPr>
          <w:rFonts w:ascii="Arial" w:hAnsi="Arial" w:cs="Arial"/>
          <w:b/>
          <w:noProof/>
          <w:color w:val="7030A0"/>
          <w:sz w:val="72"/>
          <w:szCs w:val="72"/>
        </w:rPr>
        <w:drawing>
          <wp:anchor distT="0" distB="0" distL="114300" distR="114300" simplePos="0" relativeHeight="251662336" behindDoc="0" locked="0" layoutInCell="1" allowOverlap="1" wp14:anchorId="7B7054CE" wp14:editId="3D06B675">
            <wp:simplePos x="0" y="0"/>
            <wp:positionH relativeFrom="margin">
              <wp:align>left</wp:align>
            </wp:positionH>
            <wp:positionV relativeFrom="page">
              <wp:posOffset>6450330</wp:posOffset>
            </wp:positionV>
            <wp:extent cx="3663315" cy="2122170"/>
            <wp:effectExtent l="0" t="0" r="0" b="0"/>
            <wp:wrapSquare wrapText="bothSides"/>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9"/>
                    <a:stretch>
                      <a:fillRect/>
                    </a:stretch>
                  </pic:blipFill>
                  <pic:spPr>
                    <a:xfrm>
                      <a:off x="0" y="0"/>
                      <a:ext cx="3663315" cy="2122170"/>
                    </a:xfrm>
                    <a:prstGeom prst="rect">
                      <a:avLst/>
                    </a:prstGeom>
                    <a:ln>
                      <a:noFill/>
                    </a:ln>
                    <a:effectLst>
                      <a:softEdge rad="127000"/>
                    </a:effectLst>
                  </pic:spPr>
                </pic:pic>
              </a:graphicData>
            </a:graphic>
            <wp14:sizeRelH relativeFrom="margin">
              <wp14:pctWidth>0</wp14:pctWidth>
            </wp14:sizeRelH>
            <wp14:sizeRelV relativeFrom="margin">
              <wp14:pctHeight>0</wp14:pctHeight>
            </wp14:sizeRelV>
          </wp:anchor>
        </w:drawing>
      </w:r>
    </w:p>
    <w:p w14:paraId="535145BF" w14:textId="77777777" w:rsidR="00A50529" w:rsidRDefault="00A50529" w:rsidP="00A50529">
      <w:pPr>
        <w:rPr>
          <w:rFonts w:ascii="Arial" w:hAnsi="Arial" w:cs="Arial"/>
          <w:b/>
          <w:noProof/>
          <w:color w:val="7030A0"/>
          <w:sz w:val="12"/>
          <w:szCs w:val="12"/>
        </w:rPr>
      </w:pPr>
    </w:p>
    <w:p w14:paraId="6FED9D1B" w14:textId="77777777" w:rsidR="00A50529" w:rsidRDefault="00A50529" w:rsidP="00A50529">
      <w:pPr>
        <w:rPr>
          <w:rFonts w:ascii="Arial" w:hAnsi="Arial" w:cs="Arial"/>
          <w:b/>
          <w:noProof/>
          <w:color w:val="7030A0"/>
          <w:sz w:val="12"/>
          <w:szCs w:val="12"/>
        </w:rPr>
      </w:pPr>
    </w:p>
    <w:p w14:paraId="09B10428" w14:textId="77777777" w:rsidR="00A50529" w:rsidRPr="006627CD" w:rsidRDefault="00A50529" w:rsidP="00A50529">
      <w:pPr>
        <w:tabs>
          <w:tab w:val="left" w:pos="1365"/>
        </w:tabs>
      </w:pPr>
      <w:r>
        <w:tab/>
      </w:r>
    </w:p>
    <w:p w14:paraId="66F92302" w14:textId="77777777" w:rsidR="00A50529" w:rsidRPr="0069414D" w:rsidRDefault="00A50529" w:rsidP="00A50529">
      <w:pPr>
        <w:pStyle w:val="Default"/>
        <w:tabs>
          <w:tab w:val="left" w:pos="210"/>
          <w:tab w:val="left" w:pos="8865"/>
          <w:tab w:val="right" w:pos="10618"/>
        </w:tabs>
        <w:rPr>
          <w:rFonts w:ascii="Arial" w:hAnsi="Arial" w:cs="Arial"/>
          <w:b/>
          <w:color w:val="7030A0"/>
          <w:sz w:val="72"/>
          <w:szCs w:val="72"/>
        </w:rPr>
      </w:pPr>
      <w:r>
        <w:rPr>
          <w:rFonts w:ascii="Arial" w:hAnsi="Arial" w:cs="Arial"/>
          <w:b/>
          <w:noProof/>
          <w:color w:val="7030A0"/>
          <w:sz w:val="72"/>
          <w:szCs w:val="72"/>
        </w:rPr>
        <w:br w:type="textWrapping" w:clear="all"/>
      </w:r>
    </w:p>
    <w:p w14:paraId="7EC0F191" w14:textId="51D4185F" w:rsidR="00A50529" w:rsidRPr="0069414D" w:rsidRDefault="00A50529" w:rsidP="00A50529">
      <w:pPr>
        <w:pStyle w:val="Default"/>
        <w:jc w:val="right"/>
        <w:rPr>
          <w:rFonts w:ascii="Arial" w:hAnsi="Arial" w:cs="Arial"/>
          <w:color w:val="7030A0"/>
          <w:sz w:val="100"/>
          <w:szCs w:val="100"/>
        </w:rPr>
        <w:sectPr w:rsidR="00A50529" w:rsidRPr="0069414D" w:rsidSect="001730AF">
          <w:type w:val="continuous"/>
          <w:pgSz w:w="11905" w:h="16837" w:code="9"/>
          <w:pgMar w:top="720" w:right="720" w:bottom="720" w:left="567" w:header="720" w:footer="567" w:gutter="0"/>
          <w:cols w:space="720"/>
          <w:noEndnote/>
        </w:sectPr>
      </w:pPr>
      <w:r w:rsidRPr="0069414D">
        <w:rPr>
          <w:rFonts w:ascii="Arial" w:hAnsi="Arial" w:cs="Arial"/>
          <w:color w:val="7030A0"/>
          <w:sz w:val="100"/>
          <w:szCs w:val="100"/>
        </w:rPr>
        <w:t>Annual Report</w:t>
      </w:r>
      <w:r>
        <w:rPr>
          <w:rFonts w:ascii="Arial" w:hAnsi="Arial" w:cs="Arial"/>
          <w:color w:val="7030A0"/>
          <w:sz w:val="100"/>
          <w:szCs w:val="100"/>
        </w:rPr>
        <w:t xml:space="preserve"> 2022/23</w:t>
      </w:r>
    </w:p>
    <w:p w14:paraId="114EE9B3" w14:textId="4C019D2F" w:rsidR="00332EE6" w:rsidRPr="0069414D" w:rsidRDefault="00332EE6" w:rsidP="008D1CDE">
      <w:pPr>
        <w:pStyle w:val="Heading1"/>
        <w:jc w:val="left"/>
      </w:pPr>
      <w:r w:rsidRPr="0069414D">
        <w:lastRenderedPageBreak/>
        <w:t>Intro</w:t>
      </w:r>
      <w:r w:rsidR="00C65D7F">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20"/>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45171013" w14:textId="585B1AFB" w:rsidR="005B74CE" w:rsidRPr="00A00CE7" w:rsidRDefault="005B74CE" w:rsidP="005B74CE">
      <w:pPr>
        <w:rPr>
          <w:rFonts w:ascii="Arial" w:hAnsi="Arial" w:cs="Arial"/>
        </w:rPr>
      </w:pPr>
      <w:r w:rsidRPr="00A00CE7">
        <w:rPr>
          <w:rFonts w:ascii="Arial" w:hAnsi="Arial" w:cs="Arial"/>
        </w:rPr>
        <w:t>On behalf of Cheshire’s Strategic Management Board, I am pleased to share the 202</w:t>
      </w:r>
      <w:r w:rsidR="00DA768C" w:rsidRPr="00A00CE7">
        <w:rPr>
          <w:rFonts w:ascii="Arial" w:hAnsi="Arial" w:cs="Arial"/>
        </w:rPr>
        <w:t>2</w:t>
      </w:r>
      <w:r w:rsidRPr="00A00CE7">
        <w:rPr>
          <w:rFonts w:ascii="Arial" w:hAnsi="Arial" w:cs="Arial"/>
        </w:rPr>
        <w:t xml:space="preserve"> - 202</w:t>
      </w:r>
      <w:r w:rsidR="00DA768C" w:rsidRPr="00A00CE7">
        <w:rPr>
          <w:rFonts w:ascii="Arial" w:hAnsi="Arial" w:cs="Arial"/>
        </w:rPr>
        <w:t>3</w:t>
      </w:r>
      <w:r w:rsidRPr="00A00CE7">
        <w:rPr>
          <w:rFonts w:ascii="Arial" w:hAnsi="Arial" w:cs="Arial"/>
        </w:rPr>
        <w:t xml:space="preserve"> MAPPA Annual Report which is intended to provide an insight into the Multi-Agency Public Protection Arrangements (MAPPA) across Cheshire.</w:t>
      </w:r>
    </w:p>
    <w:p w14:paraId="20D07F99" w14:textId="77777777" w:rsidR="005B74CE" w:rsidRPr="00A00CE7" w:rsidRDefault="005B74CE" w:rsidP="005B74CE">
      <w:pPr>
        <w:rPr>
          <w:rFonts w:ascii="Arial" w:hAnsi="Arial" w:cs="Arial"/>
        </w:rPr>
      </w:pPr>
    </w:p>
    <w:p w14:paraId="79BBCA20" w14:textId="42901134" w:rsidR="005B74CE" w:rsidRPr="00A00CE7" w:rsidRDefault="005B74CE" w:rsidP="005B74CE">
      <w:pPr>
        <w:rPr>
          <w:rFonts w:ascii="Arial" w:hAnsi="Arial" w:cs="Arial"/>
        </w:rPr>
      </w:pPr>
      <w:r w:rsidRPr="00A00CE7">
        <w:rPr>
          <w:rFonts w:ascii="Arial" w:hAnsi="Arial" w:cs="Arial"/>
        </w:rPr>
        <w:t>These arrangements are statutory and were introduced by the Criminal Justice and Court Service Act 2000 and strengthened under the Criminal Justice Act 2003. Since this time, the Police, Probation and Prison Service have worked closely together with other key partners in Health and Local Authority based services to identify, assess and manage violent</w:t>
      </w:r>
      <w:r w:rsidR="00DA60BE" w:rsidRPr="00A00CE7">
        <w:rPr>
          <w:rFonts w:ascii="Arial" w:hAnsi="Arial" w:cs="Arial"/>
        </w:rPr>
        <w:t xml:space="preserve">, </w:t>
      </w:r>
      <w:r w:rsidRPr="00A00CE7">
        <w:rPr>
          <w:rFonts w:ascii="Arial" w:hAnsi="Arial" w:cs="Arial"/>
        </w:rPr>
        <w:t xml:space="preserve">sexual </w:t>
      </w:r>
      <w:r w:rsidR="00DA60BE" w:rsidRPr="00A00CE7">
        <w:rPr>
          <w:rFonts w:ascii="Arial" w:hAnsi="Arial" w:cs="Arial"/>
        </w:rPr>
        <w:t xml:space="preserve">and now terrorist convicted </w:t>
      </w:r>
      <w:r w:rsidR="00126C4A" w:rsidRPr="00A00CE7">
        <w:rPr>
          <w:rFonts w:ascii="Arial" w:hAnsi="Arial" w:cs="Arial"/>
        </w:rPr>
        <w:t xml:space="preserve">or terrorist risk </w:t>
      </w:r>
      <w:r w:rsidRPr="00A00CE7">
        <w:rPr>
          <w:rFonts w:ascii="Arial" w:hAnsi="Arial" w:cs="Arial"/>
        </w:rPr>
        <w:t>offenders. The protection of the public and management of violent</w:t>
      </w:r>
      <w:r w:rsidR="00126C4A" w:rsidRPr="00A00CE7">
        <w:rPr>
          <w:rFonts w:ascii="Arial" w:hAnsi="Arial" w:cs="Arial"/>
        </w:rPr>
        <w:t>,</w:t>
      </w:r>
      <w:r w:rsidRPr="00A00CE7">
        <w:rPr>
          <w:rFonts w:ascii="Arial" w:hAnsi="Arial" w:cs="Arial"/>
        </w:rPr>
        <w:t xml:space="preserve"> sexual </w:t>
      </w:r>
      <w:r w:rsidR="00126C4A" w:rsidRPr="00A00CE7">
        <w:rPr>
          <w:rFonts w:ascii="Arial" w:hAnsi="Arial" w:cs="Arial"/>
        </w:rPr>
        <w:t xml:space="preserve">and terrorist risk </w:t>
      </w:r>
      <w:r w:rsidRPr="00A00CE7">
        <w:rPr>
          <w:rFonts w:ascii="Arial" w:hAnsi="Arial" w:cs="Arial"/>
        </w:rPr>
        <w:t>offenders is a difficult and challenging task which is why deploying the joint expertise and resources of agencies through MAPPA is so important.</w:t>
      </w:r>
    </w:p>
    <w:p w14:paraId="34461AA6" w14:textId="77777777" w:rsidR="005B74CE" w:rsidRPr="00A00CE7" w:rsidRDefault="005B74CE" w:rsidP="005B74CE">
      <w:pPr>
        <w:rPr>
          <w:rFonts w:ascii="Arial" w:hAnsi="Arial" w:cs="Arial"/>
        </w:rPr>
      </w:pPr>
    </w:p>
    <w:p w14:paraId="007910E0" w14:textId="77777777" w:rsidR="005B74CE" w:rsidRPr="00A00CE7" w:rsidRDefault="005B74CE" w:rsidP="005B74CE">
      <w:pPr>
        <w:rPr>
          <w:rFonts w:ascii="Arial" w:hAnsi="Arial" w:cs="Arial"/>
        </w:rPr>
      </w:pPr>
      <w:r w:rsidRPr="00A00CE7">
        <w:rPr>
          <w:rFonts w:ascii="Arial" w:hAnsi="Arial" w:cs="Arial"/>
        </w:rPr>
        <w:t>The MAPPA statistics and the updates provided within this report highlight the commitment, professionalism and focus of our partner organisations, who work tirelessly to robustly manage those offenders who pose the most significant risk of serious harm to our communities.</w:t>
      </w:r>
    </w:p>
    <w:p w14:paraId="3F890830" w14:textId="77777777" w:rsidR="005B74CE" w:rsidRPr="00A00CE7" w:rsidRDefault="005B74CE" w:rsidP="005B74CE">
      <w:pPr>
        <w:rPr>
          <w:rFonts w:ascii="Arial" w:hAnsi="Arial" w:cs="Arial"/>
        </w:rPr>
      </w:pPr>
    </w:p>
    <w:p w14:paraId="070BF6BA" w14:textId="6C670149" w:rsidR="005B74CE" w:rsidRPr="00A00CE7" w:rsidRDefault="005B74CE" w:rsidP="005B74CE">
      <w:pPr>
        <w:rPr>
          <w:rFonts w:ascii="Arial" w:hAnsi="Arial" w:cs="Arial"/>
        </w:rPr>
      </w:pPr>
      <w:r w:rsidRPr="00A00CE7">
        <w:rPr>
          <w:rFonts w:ascii="Arial" w:hAnsi="Arial" w:cs="Arial"/>
        </w:rPr>
        <w:t>As a partnership we are always strongest when working together</w:t>
      </w:r>
      <w:r w:rsidR="002D00D7" w:rsidRPr="00A00CE7">
        <w:rPr>
          <w:rFonts w:ascii="Arial" w:hAnsi="Arial" w:cs="Arial"/>
        </w:rPr>
        <w:t>; sh</w:t>
      </w:r>
      <w:r w:rsidR="00F47EDB" w:rsidRPr="00A00CE7">
        <w:rPr>
          <w:rFonts w:ascii="Arial" w:hAnsi="Arial" w:cs="Arial"/>
        </w:rPr>
        <w:t xml:space="preserve">aring information </w:t>
      </w:r>
      <w:r w:rsidRPr="00A00CE7">
        <w:rPr>
          <w:rFonts w:ascii="Arial" w:hAnsi="Arial" w:cs="Arial"/>
        </w:rPr>
        <w:t xml:space="preserve">and </w:t>
      </w:r>
      <w:r w:rsidR="00F47EDB" w:rsidRPr="00A00CE7">
        <w:rPr>
          <w:rFonts w:ascii="Arial" w:hAnsi="Arial" w:cs="Arial"/>
        </w:rPr>
        <w:t>developing collaborative risk management and safety plans</w:t>
      </w:r>
      <w:r w:rsidRPr="00A00CE7">
        <w:rPr>
          <w:rFonts w:ascii="Arial" w:hAnsi="Arial" w:cs="Arial"/>
        </w:rPr>
        <w:t xml:space="preserve"> to protect the people of Cheshire and to support the effective management and rehabilitation of the most serious offenders in our communities. Over the coming year we will continue to develop even stronger working practices and approaches to MAPPA to ensure that we effectively protect the public and prevent future victims from harm.</w:t>
      </w:r>
    </w:p>
    <w:p w14:paraId="2382784C" w14:textId="240C187A" w:rsidR="00880067" w:rsidRDefault="00880067">
      <w:pPr>
        <w:rPr>
          <w:rFonts w:ascii="Arial" w:hAnsi="Arial" w:cs="Arial"/>
          <w:color w:val="000000"/>
          <w:sz w:val="20"/>
          <w:szCs w:val="22"/>
        </w:rPr>
      </w:pPr>
      <w:r>
        <w:br w:type="page"/>
      </w:r>
    </w:p>
    <w:p w14:paraId="33F0A1A2" w14:textId="77777777" w:rsidR="00880067" w:rsidRPr="0069414D" w:rsidRDefault="00880067" w:rsidP="00880067">
      <w:pPr>
        <w:pStyle w:val="Heading1"/>
        <w:jc w:val="left"/>
      </w:pPr>
      <w:r w:rsidRPr="0069414D">
        <w:lastRenderedPageBreak/>
        <w:t>What is MAPPA?</w:t>
      </w:r>
    </w:p>
    <w:p w14:paraId="31758351" w14:textId="77777777" w:rsidR="00880067" w:rsidRPr="007C7106" w:rsidRDefault="00880067" w:rsidP="00880067">
      <w:pPr>
        <w:pStyle w:val="Default"/>
        <w:pBdr>
          <w:bottom w:val="single" w:sz="4" w:space="1" w:color="007BC3"/>
        </w:pBdr>
        <w:rPr>
          <w:rFonts w:ascii="Arial" w:hAnsi="Arial" w:cs="Arial"/>
          <w:color w:val="FFFFFF"/>
          <w:sz w:val="16"/>
          <w:szCs w:val="16"/>
        </w:rPr>
      </w:pPr>
    </w:p>
    <w:p w14:paraId="043B8E80" w14:textId="77777777" w:rsidR="00880067" w:rsidRPr="00916D29" w:rsidRDefault="00880067" w:rsidP="00880067">
      <w:pPr>
        <w:pStyle w:val="MAPPA-Bodytext"/>
        <w:rPr>
          <w:lang w:val="en-GB"/>
        </w:rPr>
        <w:sectPr w:rsidR="00880067" w:rsidRPr="00916D29" w:rsidSect="00735E92">
          <w:type w:val="continuous"/>
          <w:pgSz w:w="11905" w:h="16837" w:code="9"/>
          <w:pgMar w:top="720" w:right="720" w:bottom="720" w:left="720" w:header="720" w:footer="567" w:gutter="0"/>
          <w:cols w:space="720"/>
          <w:noEndnote/>
        </w:sectPr>
      </w:pPr>
    </w:p>
    <w:p w14:paraId="7BD67054" w14:textId="77777777" w:rsidR="00880067" w:rsidRPr="006A45B8" w:rsidRDefault="00880067" w:rsidP="00880067">
      <w:pPr>
        <w:pStyle w:val="MAPPA-HeadingPara"/>
        <w:rPr>
          <w:lang w:val="en-GB"/>
        </w:rPr>
        <w:sectPr w:rsidR="00880067" w:rsidRPr="006A45B8" w:rsidSect="00867C9E">
          <w:type w:val="continuous"/>
          <w:pgSz w:w="11905" w:h="16837" w:code="9"/>
          <w:pgMar w:top="720" w:right="720" w:bottom="720" w:left="720" w:header="720" w:footer="567" w:gutter="0"/>
          <w:cols w:space="720"/>
          <w:noEndnote/>
        </w:sectPr>
      </w:pPr>
    </w:p>
    <w:p w14:paraId="6CA050AE" w14:textId="77777777" w:rsidR="00880067" w:rsidRPr="008D1CDE" w:rsidRDefault="00880067" w:rsidP="00880067">
      <w:pPr>
        <w:pStyle w:val="Style1"/>
      </w:pPr>
      <w:r w:rsidRPr="008D1CDE">
        <w:t>MAPPA background</w:t>
      </w:r>
    </w:p>
    <w:p w14:paraId="5D442150" w14:textId="77777777" w:rsidR="00880067" w:rsidRPr="00206B09" w:rsidRDefault="00880067" w:rsidP="00880067">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Pr>
          <w:sz w:val="24"/>
          <w:szCs w:val="24"/>
          <w:lang w:val="en-GB"/>
        </w:rPr>
        <w:t xml:space="preserve">individuals who have committed </w:t>
      </w:r>
      <w:r w:rsidRPr="00206B09">
        <w:rPr>
          <w:sz w:val="24"/>
          <w:szCs w:val="24"/>
          <w:lang w:val="en-GB"/>
        </w:rPr>
        <w:t>the most serious sexual, violent and terrorist offen</w:t>
      </w:r>
      <w:r>
        <w:rPr>
          <w:sz w:val="24"/>
          <w:szCs w:val="24"/>
          <w:lang w:val="en-GB"/>
        </w:rPr>
        <w:t>ces</w:t>
      </w:r>
      <w:r w:rsidRPr="00206B09">
        <w:rPr>
          <w:sz w:val="24"/>
          <w:szCs w:val="24"/>
          <w:lang w:val="en-GB"/>
        </w:rPr>
        <w:t xml:space="preserve"> (MAPPA-eligible </w:t>
      </w:r>
      <w:r>
        <w:rPr>
          <w:sz w:val="24"/>
          <w:szCs w:val="24"/>
          <w:lang w:val="en-GB"/>
        </w:rPr>
        <w:t>individuals</w:t>
      </w:r>
      <w:r w:rsidRPr="00206B09">
        <w:rPr>
          <w:sz w:val="24"/>
          <w:szCs w:val="24"/>
          <w:lang w:val="en-GB"/>
        </w:rPr>
        <w:t>) under the provisions of sections 325 to 327B of the Criminal Justice Act 2003.</w:t>
      </w:r>
    </w:p>
    <w:p w14:paraId="19BEEEE1" w14:textId="77777777" w:rsidR="00880067" w:rsidRPr="00206B09" w:rsidRDefault="00880067" w:rsidP="00880067">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4CDEE808" w14:textId="77777777" w:rsidR="00880067" w:rsidRPr="00206B09" w:rsidRDefault="00880067" w:rsidP="00880067">
      <w:pPr>
        <w:pStyle w:val="MAPPA-Bodytext-numbered"/>
        <w:ind w:left="0" w:firstLine="0"/>
        <w:rPr>
          <w:sz w:val="24"/>
          <w:szCs w:val="24"/>
          <w:lang w:val="en-GB"/>
        </w:rPr>
      </w:pPr>
      <w:r w:rsidRPr="00206B09">
        <w:rPr>
          <w:sz w:val="24"/>
          <w:szCs w:val="24"/>
          <w:lang w:val="en-GB"/>
        </w:rPr>
        <w:t>A number of other agencies are under a Duty to Co-operate (DTC) with the Responsible Authority. These include Social Services, Health Services, Youth Offending Teams, Department for Work and Pensions and Local Housing and Education Authorities.</w:t>
      </w:r>
    </w:p>
    <w:p w14:paraId="1E7860E3" w14:textId="77777777" w:rsidR="00880067" w:rsidRPr="00206B09" w:rsidRDefault="00880067" w:rsidP="00880067">
      <w:pPr>
        <w:pStyle w:val="MAPPA-Bodytext-numbered"/>
        <w:ind w:left="0" w:firstLine="0"/>
        <w:rPr>
          <w:sz w:val="24"/>
          <w:szCs w:val="24"/>
          <w:lang w:val="en-GB"/>
        </w:rPr>
      </w:pPr>
      <w:r w:rsidRPr="00206B09">
        <w:rPr>
          <w:sz w:val="24"/>
          <w:szCs w:val="24"/>
          <w:lang w:val="en-GB"/>
        </w:rPr>
        <w:t xml:space="preserve">Local Strategic Management Boards (SMB) comprising senior representatives from each of the Responsible Authority and DTC agencies are responsible for delivering MAPPA within their respective areas. The Responsible Authority is also required to appoint two Lay Advisers to sit on each MAPPA SMB. </w:t>
      </w:r>
    </w:p>
    <w:p w14:paraId="0B29A01C" w14:textId="77777777" w:rsidR="00880067" w:rsidRPr="00206B09" w:rsidRDefault="00880067" w:rsidP="00880067">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56F01C20" w14:textId="77777777" w:rsidR="00880067" w:rsidRPr="006A45B8" w:rsidRDefault="00880067" w:rsidP="00880067">
      <w:pPr>
        <w:pStyle w:val="Style1"/>
      </w:pPr>
      <w:r w:rsidRPr="006A45B8">
        <w:t>How MAPPA works</w:t>
      </w:r>
    </w:p>
    <w:p w14:paraId="5473DC2E" w14:textId="77777777" w:rsidR="00880067" w:rsidRPr="00206B09" w:rsidRDefault="00880067" w:rsidP="00880067">
      <w:pPr>
        <w:pStyle w:val="MAPPA-Bodytext"/>
        <w:rPr>
          <w:sz w:val="24"/>
          <w:szCs w:val="24"/>
          <w:lang w:val="en-GB"/>
        </w:rPr>
      </w:pPr>
      <w:r w:rsidRPr="00206B09">
        <w:rPr>
          <w:sz w:val="24"/>
          <w:szCs w:val="24"/>
          <w:lang w:val="en-GB"/>
        </w:rPr>
        <w:t xml:space="preserve">MAPPA-eligible </w:t>
      </w:r>
      <w:r>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BD2A168" w14:textId="77777777" w:rsidR="00880067" w:rsidRPr="00206B09" w:rsidRDefault="00880067" w:rsidP="00880067">
      <w:pPr>
        <w:pStyle w:val="MAPPA-Bodytext"/>
        <w:rPr>
          <w:sz w:val="24"/>
          <w:szCs w:val="24"/>
          <w:lang w:val="en-GB"/>
        </w:rPr>
      </w:pPr>
      <w:r w:rsidRPr="00206B09">
        <w:rPr>
          <w:sz w:val="24"/>
          <w:szCs w:val="24"/>
          <w:lang w:val="en-GB"/>
        </w:rPr>
        <w:t>That is as far as MAPPA extend in the majority of cases, but some cases require more senior oversight and structured multi-agency management. In such cases there will be regular MAPPA meetings attended by relevant agency practitioners.</w:t>
      </w:r>
    </w:p>
    <w:p w14:paraId="5A8704AC" w14:textId="77777777" w:rsidR="00880067" w:rsidRPr="00206B09" w:rsidRDefault="00880067" w:rsidP="00880067">
      <w:pPr>
        <w:pStyle w:val="MAPPA-Bodytext"/>
        <w:rPr>
          <w:sz w:val="24"/>
          <w:szCs w:val="24"/>
          <w:lang w:val="en-GB"/>
        </w:rPr>
      </w:pPr>
      <w:r w:rsidRPr="00206B09">
        <w:rPr>
          <w:sz w:val="24"/>
          <w:szCs w:val="24"/>
          <w:lang w:val="en-GB"/>
        </w:rPr>
        <w:t xml:space="preserve">There are </w:t>
      </w:r>
      <w:r>
        <w:rPr>
          <w:sz w:val="24"/>
          <w:szCs w:val="24"/>
          <w:lang w:val="en-GB"/>
        </w:rPr>
        <w:t>4</w:t>
      </w:r>
      <w:r w:rsidRPr="00206B09">
        <w:rPr>
          <w:sz w:val="24"/>
          <w:szCs w:val="24"/>
          <w:lang w:val="en-GB"/>
        </w:rPr>
        <w:t xml:space="preserve"> categories of MAPPA-eligible </w:t>
      </w:r>
      <w:r>
        <w:rPr>
          <w:sz w:val="24"/>
          <w:szCs w:val="24"/>
          <w:lang w:val="en-GB"/>
        </w:rPr>
        <w:t>individual</w:t>
      </w:r>
      <w:r w:rsidRPr="00206B09">
        <w:rPr>
          <w:sz w:val="24"/>
          <w:szCs w:val="24"/>
          <w:lang w:val="en-GB"/>
        </w:rPr>
        <w:t xml:space="preserve">: </w:t>
      </w:r>
    </w:p>
    <w:p w14:paraId="08CB17EC" w14:textId="77777777" w:rsidR="00880067" w:rsidRPr="00206B09" w:rsidRDefault="00880067" w:rsidP="00880067">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–subject to sex offender notification requirements; </w:t>
      </w:r>
    </w:p>
    <w:p w14:paraId="72617F9D" w14:textId="77777777" w:rsidR="00880067" w:rsidRPr="00206B09" w:rsidRDefault="00880067" w:rsidP="00880067">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2169A3CC" w14:textId="77777777" w:rsidR="00880067" w:rsidRDefault="00880067" w:rsidP="00880067">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Pr>
          <w:sz w:val="24"/>
          <w:szCs w:val="24"/>
          <w:lang w:val="en-GB"/>
        </w:rPr>
        <w:t>individuals</w:t>
      </w:r>
      <w:r w:rsidRPr="00206B09">
        <w:rPr>
          <w:sz w:val="24"/>
          <w:szCs w:val="24"/>
          <w:lang w:val="en-GB"/>
        </w:rPr>
        <w:t xml:space="preserve"> who do not qualify under Categories 1</w:t>
      </w:r>
      <w:r>
        <w:rPr>
          <w:sz w:val="24"/>
          <w:szCs w:val="24"/>
          <w:lang w:val="en-GB"/>
        </w:rPr>
        <w:t>,</w:t>
      </w:r>
      <w:r w:rsidRPr="00206B09">
        <w:rPr>
          <w:sz w:val="24"/>
          <w:szCs w:val="24"/>
          <w:lang w:val="en-GB"/>
        </w:rPr>
        <w:t xml:space="preserve"> 2 </w:t>
      </w:r>
      <w:r>
        <w:rPr>
          <w:sz w:val="24"/>
          <w:szCs w:val="24"/>
          <w:lang w:val="en-GB"/>
        </w:rPr>
        <w:t xml:space="preserve">or 4 </w:t>
      </w:r>
      <w:r w:rsidRPr="00206B09">
        <w:rPr>
          <w:sz w:val="24"/>
          <w:szCs w:val="24"/>
          <w:lang w:val="en-GB"/>
        </w:rPr>
        <w:t>but who</w:t>
      </w:r>
      <w:r>
        <w:rPr>
          <w:sz w:val="24"/>
          <w:szCs w:val="24"/>
          <w:lang w:val="en-GB"/>
        </w:rPr>
        <w:t>se offences</w:t>
      </w:r>
      <w:r w:rsidRPr="00206B09">
        <w:rPr>
          <w:sz w:val="24"/>
          <w:szCs w:val="24"/>
          <w:lang w:val="en-GB"/>
        </w:rPr>
        <w:t xml:space="preserve"> pose a risk of serious harm. </w:t>
      </w:r>
    </w:p>
    <w:p w14:paraId="6CBD8307" w14:textId="77777777" w:rsidR="00880067" w:rsidRPr="00206B09" w:rsidRDefault="00880067" w:rsidP="00880067">
      <w:pPr>
        <w:pStyle w:val="MAPPA-Bodytext"/>
        <w:numPr>
          <w:ilvl w:val="0"/>
          <w:numId w:val="1"/>
        </w:numPr>
        <w:rPr>
          <w:sz w:val="24"/>
          <w:szCs w:val="24"/>
          <w:lang w:val="en-GB"/>
        </w:rPr>
      </w:pPr>
      <w:r>
        <w:rPr>
          <w:b/>
          <w:sz w:val="24"/>
          <w:szCs w:val="24"/>
          <w:lang w:val="en-GB"/>
        </w:rPr>
        <w:t xml:space="preserve">Category 4 </w:t>
      </w:r>
      <w:r>
        <w:rPr>
          <w:bCs/>
          <w:sz w:val="24"/>
          <w:szCs w:val="24"/>
          <w:lang w:val="en-GB"/>
        </w:rPr>
        <w:t>– terrorism convicted and terrorism risk individuals</w:t>
      </w:r>
    </w:p>
    <w:p w14:paraId="3D588D0B" w14:textId="77777777" w:rsidR="00880067" w:rsidRPr="00206B09" w:rsidRDefault="00880067" w:rsidP="00880067">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presenting the higher risks of serious harm. </w:t>
      </w:r>
    </w:p>
    <w:p w14:paraId="0927AF3F" w14:textId="77777777" w:rsidR="00880067" w:rsidRPr="00206B09" w:rsidRDefault="00880067" w:rsidP="00880067">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is where the </w:t>
      </w:r>
      <w:r>
        <w:rPr>
          <w:sz w:val="24"/>
          <w:szCs w:val="24"/>
          <w:lang w:val="en-GB"/>
        </w:rPr>
        <w:t>individual</w:t>
      </w:r>
      <w:r w:rsidRPr="00206B09">
        <w:rPr>
          <w:sz w:val="24"/>
          <w:szCs w:val="24"/>
          <w:lang w:val="en-GB"/>
        </w:rPr>
        <w:t xml:space="preserve"> is managed by the lead agency with information exchange and </w:t>
      </w:r>
      <w:r w:rsidRPr="00C53F03">
        <w:rPr>
          <w:b/>
          <w:bCs/>
          <w:sz w:val="24"/>
          <w:szCs w:val="24"/>
          <w:lang w:val="en-GB"/>
        </w:rPr>
        <w:t>multi-agency support</w:t>
      </w:r>
      <w:r w:rsidRPr="00206B09">
        <w:rPr>
          <w:sz w:val="24"/>
          <w:szCs w:val="24"/>
          <w:lang w:val="en-GB"/>
        </w:rPr>
        <w:t xml:space="preserve"> as required but without formal MAPPA meetings; </w:t>
      </w:r>
    </w:p>
    <w:p w14:paraId="527ACBF8" w14:textId="77777777" w:rsidR="00880067" w:rsidRPr="00206B09" w:rsidRDefault="00880067" w:rsidP="00880067">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formal MAPPA meetings are required to manage the </w:t>
      </w:r>
      <w:r>
        <w:rPr>
          <w:sz w:val="24"/>
          <w:szCs w:val="24"/>
          <w:lang w:val="en-GB"/>
        </w:rPr>
        <w:t>individual</w:t>
      </w:r>
      <w:r w:rsidRPr="00206B09">
        <w:rPr>
          <w:sz w:val="24"/>
          <w:szCs w:val="24"/>
          <w:lang w:val="en-GB"/>
        </w:rPr>
        <w:t xml:space="preserve">. </w:t>
      </w:r>
    </w:p>
    <w:p w14:paraId="4BEFB8E4" w14:textId="77777777" w:rsidR="00880067" w:rsidRPr="00206B09" w:rsidRDefault="00880067" w:rsidP="00880067">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 xml:space="preserve">is where risk management plans require the attendance and commitment of resources at a senior level at MAPPA meetings. </w:t>
      </w:r>
    </w:p>
    <w:p w14:paraId="4694EDD3" w14:textId="77777777" w:rsidR="00880067" w:rsidRPr="00206B09" w:rsidRDefault="00880067" w:rsidP="00880067">
      <w:pPr>
        <w:pStyle w:val="MAPPA-Bodytext"/>
        <w:rPr>
          <w:sz w:val="24"/>
          <w:szCs w:val="24"/>
          <w:lang w:val="en-GB"/>
        </w:rPr>
      </w:pPr>
      <w:r w:rsidRPr="00206B09">
        <w:rPr>
          <w:sz w:val="24"/>
          <w:szCs w:val="24"/>
          <w:lang w:val="en-GB"/>
        </w:rPr>
        <w:t xml:space="preserve">MAPPA are supported by ViSOR. This is a national IT system to assist in the management of </w:t>
      </w:r>
      <w:r>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enables </w:t>
      </w:r>
      <w:r w:rsidRPr="00206B09">
        <w:rPr>
          <w:sz w:val="24"/>
          <w:szCs w:val="24"/>
          <w:lang w:val="en-GB"/>
        </w:rPr>
        <w:lastRenderedPageBreak/>
        <w:t xml:space="preserve">the safe transfer of key information when high risk </w:t>
      </w:r>
      <w:r>
        <w:rPr>
          <w:sz w:val="24"/>
          <w:szCs w:val="24"/>
          <w:lang w:val="en-GB"/>
        </w:rPr>
        <w:t>individuals</w:t>
      </w:r>
      <w:r w:rsidRPr="00206B09">
        <w:rPr>
          <w:sz w:val="24"/>
          <w:szCs w:val="24"/>
          <w:lang w:val="en-GB"/>
        </w:rPr>
        <w:t xml:space="preserve"> move</w:t>
      </w:r>
      <w:r>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A74A02D" w14:textId="77777777" w:rsidR="00880067" w:rsidRPr="006A45B8" w:rsidRDefault="00880067" w:rsidP="00880067">
      <w:pPr>
        <w:pStyle w:val="Style1"/>
      </w:pPr>
      <w:r w:rsidRPr="006A45B8">
        <w:t xml:space="preserve">MAPPA and Terrorism </w:t>
      </w:r>
    </w:p>
    <w:p w14:paraId="4731C719" w14:textId="77777777" w:rsidR="00880067" w:rsidRPr="00206B09" w:rsidRDefault="00880067" w:rsidP="00880067">
      <w:pPr>
        <w:pStyle w:val="MAPPA-Bodytext"/>
        <w:rPr>
          <w:sz w:val="24"/>
          <w:szCs w:val="24"/>
          <w:lang w:val="en-GB"/>
        </w:rPr>
      </w:pPr>
      <w:r w:rsidRPr="00206B09">
        <w:rPr>
          <w:sz w:val="24"/>
          <w:szCs w:val="24"/>
          <w:lang w:val="en-GB"/>
        </w:rPr>
        <w:t>The government published an Independent Review of the MAPPA used to Supervise Terroris</w:t>
      </w:r>
      <w:r>
        <w:rPr>
          <w:sz w:val="24"/>
          <w:szCs w:val="24"/>
          <w:lang w:val="en-GB"/>
        </w:rPr>
        <w:t>m</w:t>
      </w:r>
      <w:r w:rsidRPr="00206B09">
        <w:rPr>
          <w:sz w:val="24"/>
          <w:szCs w:val="24"/>
          <w:lang w:val="en-GB"/>
        </w:rPr>
        <w:t xml:space="preserve"> and Terrorism-risk </w:t>
      </w:r>
      <w:r>
        <w:rPr>
          <w:sz w:val="24"/>
          <w:szCs w:val="24"/>
          <w:lang w:val="en-GB"/>
        </w:rPr>
        <w:t>individuals</w:t>
      </w:r>
      <w:r w:rsidRPr="00206B09">
        <w:rPr>
          <w:sz w:val="24"/>
          <w:szCs w:val="24"/>
          <w:lang w:val="en-GB"/>
        </w:rPr>
        <w:t xml:space="preserve"> on 2 September 2020 and published its response on 9 December. Both documents are available at </w:t>
      </w:r>
      <w:hyperlink r:id="rId21" w:history="1">
        <w:r w:rsidRPr="00206B09">
          <w:rPr>
            <w:rStyle w:val="Hyperlink"/>
            <w:rFonts w:cs="Arial"/>
            <w:sz w:val="24"/>
            <w:szCs w:val="24"/>
            <w:lang w:val="en-GB"/>
          </w:rPr>
          <w:t>https://www.gov.uk/government/publications/multi-agency-public-protection-arrangements-review</w:t>
        </w:r>
      </w:hyperlink>
      <w:r w:rsidRPr="00206B09">
        <w:rPr>
          <w:rStyle w:val="Hyperlink"/>
          <w:rFonts w:cs="Arial"/>
          <w:sz w:val="24"/>
          <w:szCs w:val="24"/>
          <w:lang w:val="en-GB"/>
        </w:rPr>
        <w:t xml:space="preserve">. </w:t>
      </w:r>
      <w:r w:rsidRPr="00206B09">
        <w:rPr>
          <w:sz w:val="24"/>
          <w:szCs w:val="24"/>
          <w:lang w:val="en-GB"/>
        </w:rPr>
        <w:t xml:space="preserve">The report made a number of recommendations, </w:t>
      </w:r>
      <w:r>
        <w:rPr>
          <w:sz w:val="24"/>
          <w:szCs w:val="24"/>
          <w:lang w:val="en-GB"/>
        </w:rPr>
        <w:t xml:space="preserve">the majority </w:t>
      </w:r>
      <w:r w:rsidRPr="00206B09">
        <w:rPr>
          <w:sz w:val="24"/>
          <w:szCs w:val="24"/>
          <w:lang w:val="en-GB"/>
        </w:rPr>
        <w:t>of which have been implemented</w:t>
      </w:r>
      <w:r>
        <w:rPr>
          <w:sz w:val="24"/>
          <w:szCs w:val="24"/>
          <w:lang w:val="en-GB"/>
        </w:rPr>
        <w:t>, including</w:t>
      </w:r>
      <w:r w:rsidRPr="00206B09">
        <w:rPr>
          <w:sz w:val="24"/>
          <w:szCs w:val="24"/>
          <w:lang w:val="en-GB"/>
        </w:rPr>
        <w:t xml:space="preserve"> via the Counter-Terrorism and Sentencing Act 2021 and the </w:t>
      </w:r>
      <w:r w:rsidRPr="00206B09">
        <w:rPr>
          <w:sz w:val="24"/>
          <w:szCs w:val="24"/>
          <w:lang w:val="en-GB"/>
        </w:rPr>
        <w:t>Police, Crime, Sentencing and Courts Act 2022. The Secretary of State has also revised the statutory MAPPA Guidance on terroris</w:t>
      </w:r>
      <w:r>
        <w:rPr>
          <w:sz w:val="24"/>
          <w:szCs w:val="24"/>
          <w:lang w:val="en-GB"/>
        </w:rPr>
        <w:t>m</w:t>
      </w:r>
      <w:r w:rsidRPr="00206B09">
        <w:rPr>
          <w:sz w:val="24"/>
          <w:szCs w:val="24"/>
          <w:lang w:val="en-GB"/>
        </w:rPr>
        <w:t xml:space="preserve"> offenders.</w:t>
      </w:r>
    </w:p>
    <w:p w14:paraId="5BAFE15F" w14:textId="77777777" w:rsidR="00880067" w:rsidRPr="00206B09" w:rsidRDefault="00880067" w:rsidP="00880067">
      <w:pPr>
        <w:pStyle w:val="MAPPA-Bodytext"/>
        <w:rPr>
          <w:sz w:val="24"/>
          <w:szCs w:val="24"/>
          <w:lang w:val="en-GB"/>
        </w:rPr>
      </w:pPr>
      <w:r w:rsidRPr="00206B09">
        <w:rPr>
          <w:sz w:val="24"/>
          <w:szCs w:val="24"/>
          <w:lang w:val="en-GB"/>
        </w:rPr>
        <w:t xml:space="preserve">The Probation Service, via its National Security Division, has created a specialist dedicated and highly skilled workforce, which provides an enhanced level of management and intervention for the most high-risk, complex and high-profile </w:t>
      </w:r>
      <w:r>
        <w:rPr>
          <w:sz w:val="24"/>
          <w:szCs w:val="24"/>
          <w:lang w:val="en-GB"/>
        </w:rPr>
        <w:t>individuals</w:t>
      </w:r>
      <w:r w:rsidRPr="00206B09">
        <w:rPr>
          <w:sz w:val="24"/>
          <w:szCs w:val="24"/>
          <w:lang w:val="en-GB"/>
        </w:rPr>
        <w:t xml:space="preserve"> in the community. This includes the management of terrorist connected and terrorist risk offenders. The NSD and Counter-Terrorism Policing work closely with local SMBs to ensure the robust management of terrorism cases.</w:t>
      </w:r>
      <w:r>
        <w:rPr>
          <w:sz w:val="24"/>
          <w:szCs w:val="24"/>
          <w:lang w:val="en-GB"/>
        </w:rPr>
        <w:t xml:space="preserve"> Data on Category 4 individuals is not included in this report due to data protection issues related to low numbers. This data will be aggregated and published nationally.</w:t>
      </w:r>
    </w:p>
    <w:p w14:paraId="0565EACF" w14:textId="77777777" w:rsidR="00880067" w:rsidRPr="00206B09" w:rsidRDefault="00880067" w:rsidP="00880067">
      <w:pPr>
        <w:pStyle w:val="MAPPA-Bodytext"/>
        <w:rPr>
          <w:sz w:val="24"/>
          <w:szCs w:val="24"/>
          <w:lang w:val="en-GB"/>
        </w:rPr>
      </w:pPr>
      <w:r w:rsidRPr="00206B09">
        <w:rPr>
          <w:sz w:val="24"/>
          <w:szCs w:val="24"/>
          <w:lang w:val="en-GB"/>
        </w:rPr>
        <w:t xml:space="preserve">All MAPPA reports from England and Wales are published online at: </w:t>
      </w:r>
      <w:hyperlink r:id="rId22" w:history="1">
        <w:r w:rsidRPr="00206B09">
          <w:rPr>
            <w:rStyle w:val="Hyperlink"/>
            <w:sz w:val="24"/>
            <w:szCs w:val="24"/>
            <w:lang w:val="en-GB"/>
          </w:rPr>
          <w:t>www.gov.uk</w:t>
        </w:r>
      </w:hyperlink>
      <w:r w:rsidRPr="00206B09">
        <w:rPr>
          <w:sz w:val="24"/>
          <w:szCs w:val="24"/>
          <w:lang w:val="en-GB"/>
        </w:rPr>
        <w:t xml:space="preserve"> </w:t>
      </w:r>
    </w:p>
    <w:p w14:paraId="31EDACE4" w14:textId="77777777" w:rsidR="00880067" w:rsidRPr="006A45B8" w:rsidRDefault="00880067" w:rsidP="00880067">
      <w:pPr>
        <w:pStyle w:val="MAPPA-Bodytext"/>
        <w:rPr>
          <w:szCs w:val="28"/>
          <w:lang w:val="en-GB"/>
        </w:rPr>
        <w:sectPr w:rsidR="00880067" w:rsidRPr="006A45B8" w:rsidSect="00867C9E">
          <w:type w:val="continuous"/>
          <w:pgSz w:w="11905" w:h="16837" w:code="9"/>
          <w:pgMar w:top="720" w:right="720" w:bottom="720" w:left="720" w:header="720" w:footer="567" w:gutter="0"/>
          <w:cols w:num="2" w:space="720"/>
          <w:noEndnote/>
        </w:sectPr>
      </w:pPr>
    </w:p>
    <w:p w14:paraId="060E6852" w14:textId="77777777" w:rsidR="00880067" w:rsidRDefault="00880067" w:rsidP="00880067">
      <w:pPr>
        <w:pStyle w:val="Heading1"/>
        <w:jc w:val="left"/>
        <w:sectPr w:rsidR="00880067" w:rsidSect="00867C9E">
          <w:footerReference w:type="default" r:id="rId23"/>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0A4450"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0A4450" w:rsidRPr="00523CF4" w:rsidRDefault="000A4450" w:rsidP="000A4450">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488014B0"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1417</w:t>
            </w:r>
          </w:p>
        </w:tc>
        <w:tc>
          <w:tcPr>
            <w:tcW w:w="2186" w:type="dxa"/>
          </w:tcPr>
          <w:p w14:paraId="1638E0FC" w14:textId="74A6718F"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341</w:t>
            </w:r>
          </w:p>
        </w:tc>
        <w:tc>
          <w:tcPr>
            <w:tcW w:w="2186" w:type="dxa"/>
          </w:tcPr>
          <w:p w14:paraId="1F1BCFAF" w14:textId="305F820C"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sz w:val="24"/>
                <w:szCs w:val="24"/>
              </w:rPr>
              <w:t>-</w:t>
            </w:r>
          </w:p>
        </w:tc>
        <w:tc>
          <w:tcPr>
            <w:tcW w:w="2186" w:type="dxa"/>
          </w:tcPr>
          <w:p w14:paraId="08FB1F87" w14:textId="5B0CCD04"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1758</w:t>
            </w:r>
          </w:p>
        </w:tc>
      </w:tr>
      <w:tr w:rsidR="000A4450"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0A4450" w:rsidRPr="00523CF4" w:rsidRDefault="000A4450" w:rsidP="000A4450">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1521F74F"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5</w:t>
            </w:r>
          </w:p>
        </w:tc>
        <w:tc>
          <w:tcPr>
            <w:tcW w:w="2186" w:type="dxa"/>
          </w:tcPr>
          <w:p w14:paraId="10F8D0CE" w14:textId="531957E8"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9</w:t>
            </w:r>
          </w:p>
        </w:tc>
        <w:tc>
          <w:tcPr>
            <w:tcW w:w="2186" w:type="dxa"/>
          </w:tcPr>
          <w:p w14:paraId="346F3891" w14:textId="0E4E40B1"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13</w:t>
            </w:r>
          </w:p>
        </w:tc>
        <w:tc>
          <w:tcPr>
            <w:tcW w:w="2186" w:type="dxa"/>
          </w:tcPr>
          <w:p w14:paraId="29D9E254" w14:textId="6B147EDF"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27</w:t>
            </w:r>
          </w:p>
        </w:tc>
      </w:tr>
      <w:tr w:rsidR="000A4450"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0A4450" w:rsidRPr="00523CF4" w:rsidRDefault="000A4450" w:rsidP="000A4450">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0C54102D"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2</w:t>
            </w:r>
          </w:p>
        </w:tc>
        <w:tc>
          <w:tcPr>
            <w:tcW w:w="2186" w:type="dxa"/>
          </w:tcPr>
          <w:p w14:paraId="26751848" w14:textId="0FFD35D7"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2</w:t>
            </w:r>
          </w:p>
        </w:tc>
        <w:tc>
          <w:tcPr>
            <w:tcW w:w="2186" w:type="dxa"/>
          </w:tcPr>
          <w:p w14:paraId="75314FEE" w14:textId="00072205"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2</w:t>
            </w:r>
          </w:p>
        </w:tc>
        <w:tc>
          <w:tcPr>
            <w:tcW w:w="2186" w:type="dxa"/>
          </w:tcPr>
          <w:p w14:paraId="7FD44C20" w14:textId="2CB0D40A"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6</w:t>
            </w:r>
          </w:p>
        </w:tc>
      </w:tr>
      <w:tr w:rsidR="000A4450"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0A4450" w:rsidRPr="00523CF4" w:rsidRDefault="000A4450" w:rsidP="000A4450">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16C33C48"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1424</w:t>
            </w:r>
          </w:p>
        </w:tc>
        <w:tc>
          <w:tcPr>
            <w:tcW w:w="2186" w:type="dxa"/>
          </w:tcPr>
          <w:p w14:paraId="4B320A3C" w14:textId="5AEC638E"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352</w:t>
            </w:r>
          </w:p>
        </w:tc>
        <w:tc>
          <w:tcPr>
            <w:tcW w:w="2186" w:type="dxa"/>
          </w:tcPr>
          <w:p w14:paraId="59BF82DA" w14:textId="39B430C7"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15</w:t>
            </w:r>
          </w:p>
        </w:tc>
        <w:tc>
          <w:tcPr>
            <w:tcW w:w="2186" w:type="dxa"/>
          </w:tcPr>
          <w:p w14:paraId="230BC3FB" w14:textId="50C0153D" w:rsidR="000A4450" w:rsidRPr="00C65D7F" w:rsidRDefault="000A4450" w:rsidP="000A4450">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1791</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F55139"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F55139" w:rsidRPr="00523CF4" w:rsidRDefault="00F55139" w:rsidP="00F5513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57D5B9D1" w:rsidR="00F55139" w:rsidRPr="00C65D7F" w:rsidRDefault="00F55139" w:rsidP="00F5513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11</w:t>
            </w:r>
          </w:p>
        </w:tc>
        <w:tc>
          <w:tcPr>
            <w:tcW w:w="2186" w:type="dxa"/>
          </w:tcPr>
          <w:p w14:paraId="231D96FE" w14:textId="3D466C9B" w:rsidR="00F55139" w:rsidRPr="00C65D7F" w:rsidRDefault="00F55139" w:rsidP="00F5513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19</w:t>
            </w:r>
          </w:p>
        </w:tc>
        <w:tc>
          <w:tcPr>
            <w:tcW w:w="2186" w:type="dxa"/>
          </w:tcPr>
          <w:p w14:paraId="413645CC" w14:textId="51C13C71" w:rsidR="00F55139" w:rsidRPr="00C65D7F" w:rsidRDefault="00F55139" w:rsidP="00F5513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16</w:t>
            </w:r>
          </w:p>
        </w:tc>
        <w:tc>
          <w:tcPr>
            <w:tcW w:w="2186" w:type="dxa"/>
          </w:tcPr>
          <w:p w14:paraId="5A206D70" w14:textId="7D38957C" w:rsidR="00F55139" w:rsidRPr="00C65D7F" w:rsidRDefault="00F55139" w:rsidP="00F5513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46</w:t>
            </w:r>
          </w:p>
        </w:tc>
      </w:tr>
      <w:tr w:rsidR="00F55139"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F55139" w:rsidRPr="00523CF4" w:rsidRDefault="00F55139" w:rsidP="00F5513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7ECBBF76" w:rsidR="00F55139" w:rsidRPr="00C65D7F" w:rsidRDefault="00F55139" w:rsidP="00F5513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3</w:t>
            </w:r>
          </w:p>
        </w:tc>
        <w:tc>
          <w:tcPr>
            <w:tcW w:w="2186" w:type="dxa"/>
          </w:tcPr>
          <w:p w14:paraId="4AF1F0B4" w14:textId="697D172A" w:rsidR="00F55139" w:rsidRPr="00C65D7F" w:rsidRDefault="00F55139" w:rsidP="00F5513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2</w:t>
            </w:r>
          </w:p>
        </w:tc>
        <w:tc>
          <w:tcPr>
            <w:tcW w:w="2186" w:type="dxa"/>
          </w:tcPr>
          <w:p w14:paraId="3EABFC56" w14:textId="7EEE857D" w:rsidR="00F55139" w:rsidRPr="00C65D7F" w:rsidRDefault="00F55139" w:rsidP="00F5513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6</w:t>
            </w:r>
          </w:p>
        </w:tc>
        <w:tc>
          <w:tcPr>
            <w:tcW w:w="2186" w:type="dxa"/>
          </w:tcPr>
          <w:p w14:paraId="66FC4C00" w14:textId="1F840772" w:rsidR="00F55139" w:rsidRPr="00C65D7F" w:rsidRDefault="00F55139" w:rsidP="00F5513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11</w:t>
            </w:r>
          </w:p>
        </w:tc>
      </w:tr>
      <w:tr w:rsidR="00F55139"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F55139" w:rsidRPr="00523CF4" w:rsidRDefault="00F55139" w:rsidP="00F5513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71E5DC8" w:rsidR="00F55139" w:rsidRPr="00C65D7F" w:rsidRDefault="00F55139" w:rsidP="00F5513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14</w:t>
            </w:r>
          </w:p>
        </w:tc>
        <w:tc>
          <w:tcPr>
            <w:tcW w:w="2186" w:type="dxa"/>
          </w:tcPr>
          <w:p w14:paraId="5D543B3B" w14:textId="5300926E" w:rsidR="00F55139" w:rsidRPr="00C65D7F" w:rsidRDefault="00F55139" w:rsidP="00F5513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21</w:t>
            </w:r>
          </w:p>
        </w:tc>
        <w:tc>
          <w:tcPr>
            <w:tcW w:w="2186" w:type="dxa"/>
          </w:tcPr>
          <w:p w14:paraId="03713ACD" w14:textId="57FE5875" w:rsidR="00F55139" w:rsidRPr="00C65D7F" w:rsidRDefault="00F55139" w:rsidP="00F5513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 w:val="0"/>
                <w:bCs/>
                <w:noProof/>
                <w:sz w:val="24"/>
                <w:szCs w:val="24"/>
              </w:rPr>
              <w:t>22</w:t>
            </w:r>
          </w:p>
        </w:tc>
        <w:tc>
          <w:tcPr>
            <w:tcW w:w="2186" w:type="dxa"/>
          </w:tcPr>
          <w:p w14:paraId="29E98152" w14:textId="539459D1" w:rsidR="00F55139" w:rsidRPr="00C65D7F" w:rsidRDefault="00F55139" w:rsidP="00F5513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65D7F">
              <w:rPr>
                <w:bCs/>
                <w:sz w:val="24"/>
                <w:szCs w:val="24"/>
              </w:rPr>
              <w:fldChar w:fldCharType="begin"/>
            </w:r>
            <w:r w:rsidRPr="00C65D7F">
              <w:rPr>
                <w:b w:val="0"/>
                <w:bCs/>
                <w:sz w:val="24"/>
                <w:szCs w:val="24"/>
              </w:rPr>
              <w:instrText xml:space="preserve"> =Sum(ABOVE) </w:instrText>
            </w:r>
            <w:r w:rsidRPr="00C65D7F">
              <w:rPr>
                <w:bCs/>
                <w:sz w:val="24"/>
                <w:szCs w:val="24"/>
              </w:rPr>
              <w:fldChar w:fldCharType="separate"/>
            </w:r>
            <w:r w:rsidRPr="00C65D7F">
              <w:rPr>
                <w:b w:val="0"/>
                <w:bCs/>
                <w:noProof/>
                <w:sz w:val="24"/>
                <w:szCs w:val="24"/>
              </w:rPr>
              <w:t>57</w:t>
            </w:r>
            <w:r w:rsidRPr="00C65D7F">
              <w:rPr>
                <w:bCs/>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3D5A5945" w:rsidR="00332EE6" w:rsidRPr="00523CF4" w:rsidRDefault="00E6755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24</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32FB9857"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w:t>
            </w:r>
            <w:r w:rsidR="00E6755C" w:rsidRPr="00523CF4">
              <w:rPr>
                <w:b w:val="0"/>
                <w:bCs w:val="0"/>
              </w:rPr>
              <w:t>lifetime</w:t>
            </w:r>
            <w:r w:rsidR="00332EE6" w:rsidRPr="00523CF4">
              <w:rPr>
                <w:b w:val="0"/>
                <w:bCs w:val="0"/>
              </w:rPr>
              <w:t xml:space="preserve"> notification revoked on application </w:t>
            </w:r>
          </w:p>
        </w:tc>
        <w:tc>
          <w:tcPr>
            <w:tcW w:w="2113" w:type="dxa"/>
          </w:tcPr>
          <w:p w14:paraId="4CFE77A5" w14:textId="2B387D41" w:rsidR="00332EE6" w:rsidRPr="00523CF4" w:rsidRDefault="00E6755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34C7E32D" w:rsidR="00A231D9" w:rsidRPr="00523CF4" w:rsidRDefault="006437D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155</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7362F7A8" w:rsidR="00A231D9" w:rsidRPr="00523CF4" w:rsidRDefault="006437D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36C3DEB8" w:rsidR="00A231D9" w:rsidRPr="00523CF4" w:rsidRDefault="006437D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7733E998" w:rsidR="00332EE6" w:rsidRPr="00523CF4" w:rsidRDefault="00E515F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5344A"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5344A" w:rsidRPr="00523CF4" w:rsidRDefault="00A5344A" w:rsidP="00A5344A">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5FF2CFD7" w:rsidR="00A5344A" w:rsidRPr="00BD63A0" w:rsidRDefault="00A5344A" w:rsidP="00A5344A">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BD63A0">
              <w:rPr>
                <w:b w:val="0"/>
                <w:bCs/>
                <w:noProof/>
                <w:sz w:val="24"/>
                <w:szCs w:val="24"/>
              </w:rPr>
              <w:t>0</w:t>
            </w:r>
          </w:p>
        </w:tc>
        <w:tc>
          <w:tcPr>
            <w:tcW w:w="2186" w:type="dxa"/>
          </w:tcPr>
          <w:p w14:paraId="34F9E68F" w14:textId="011C5848" w:rsidR="00A5344A" w:rsidRPr="00BD63A0" w:rsidRDefault="00A5344A" w:rsidP="00A5344A">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BD63A0">
              <w:rPr>
                <w:b w:val="0"/>
                <w:bCs/>
                <w:noProof/>
                <w:sz w:val="24"/>
                <w:szCs w:val="24"/>
              </w:rPr>
              <w:t>2</w:t>
            </w:r>
          </w:p>
        </w:tc>
        <w:tc>
          <w:tcPr>
            <w:tcW w:w="2186" w:type="dxa"/>
          </w:tcPr>
          <w:p w14:paraId="720ECB5F" w14:textId="37736838" w:rsidR="00A5344A" w:rsidRPr="00BD63A0" w:rsidRDefault="00A5344A" w:rsidP="00A5344A">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BD63A0">
              <w:rPr>
                <w:b w:val="0"/>
                <w:bCs/>
                <w:noProof/>
                <w:sz w:val="24"/>
                <w:szCs w:val="24"/>
              </w:rPr>
              <w:t>6</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17210AC" w:rsidR="00A5344A" w:rsidRPr="00BD63A0" w:rsidRDefault="00A5344A" w:rsidP="00A5344A">
            <w:pPr>
              <w:pStyle w:val="MAPPA-Tabletext"/>
              <w:jc w:val="right"/>
              <w:rPr>
                <w:b w:val="0"/>
                <w:sz w:val="24"/>
                <w:szCs w:val="24"/>
                <w:lang w:val="en-GB"/>
              </w:rPr>
            </w:pPr>
            <w:r w:rsidRPr="00BD63A0">
              <w:rPr>
                <w:b w:val="0"/>
                <w:noProof/>
                <w:sz w:val="24"/>
                <w:szCs w:val="24"/>
              </w:rPr>
              <w:t>8</w:t>
            </w:r>
          </w:p>
        </w:tc>
      </w:tr>
      <w:tr w:rsidR="00A5344A"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5344A" w:rsidRPr="00523CF4" w:rsidRDefault="00A5344A" w:rsidP="00A5344A">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6FF6841A" w:rsidR="00A5344A" w:rsidRPr="00BD63A0" w:rsidRDefault="00A5344A" w:rsidP="00A5344A">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BD63A0">
              <w:rPr>
                <w:b w:val="0"/>
                <w:bCs/>
                <w:noProof/>
                <w:sz w:val="24"/>
                <w:szCs w:val="24"/>
              </w:rPr>
              <w:t>1</w:t>
            </w:r>
          </w:p>
        </w:tc>
        <w:tc>
          <w:tcPr>
            <w:tcW w:w="2186" w:type="dxa"/>
          </w:tcPr>
          <w:p w14:paraId="272FF4F7" w14:textId="5F36CFAE" w:rsidR="00A5344A" w:rsidRPr="00BD63A0" w:rsidRDefault="00A5344A" w:rsidP="00A5344A">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BD63A0">
              <w:rPr>
                <w:b w:val="0"/>
                <w:bCs/>
                <w:noProof/>
                <w:sz w:val="24"/>
                <w:szCs w:val="24"/>
              </w:rPr>
              <w:t>0</w:t>
            </w:r>
          </w:p>
        </w:tc>
        <w:tc>
          <w:tcPr>
            <w:tcW w:w="2186" w:type="dxa"/>
          </w:tcPr>
          <w:p w14:paraId="75D55EA6" w14:textId="54CA3853" w:rsidR="00A5344A" w:rsidRPr="00BD63A0" w:rsidRDefault="00A5344A" w:rsidP="00A5344A">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BD63A0">
              <w:rPr>
                <w:b w:val="0"/>
                <w:bCs/>
                <w:noProof/>
                <w:sz w:val="24"/>
                <w:szCs w:val="24"/>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6CDFBA7E" w:rsidR="00A5344A" w:rsidRPr="00BD63A0" w:rsidRDefault="00A5344A" w:rsidP="00A5344A">
            <w:pPr>
              <w:pStyle w:val="MAPPA-Tabletext"/>
              <w:jc w:val="right"/>
              <w:rPr>
                <w:b w:val="0"/>
                <w:sz w:val="24"/>
                <w:szCs w:val="24"/>
                <w:lang w:val="en-GB"/>
              </w:rPr>
            </w:pPr>
            <w:r w:rsidRPr="00BD63A0">
              <w:rPr>
                <w:b w:val="0"/>
                <w:noProof/>
                <w:sz w:val="24"/>
                <w:szCs w:val="24"/>
              </w:rPr>
              <w:t>2</w:t>
            </w:r>
          </w:p>
        </w:tc>
      </w:tr>
      <w:tr w:rsidR="00A5344A"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5344A" w:rsidRPr="00523CF4" w:rsidRDefault="00A5344A" w:rsidP="00A5344A">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5E0254A7" w:rsidR="00A5344A" w:rsidRPr="00BD63A0" w:rsidRDefault="00A5344A" w:rsidP="00A5344A">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BD63A0">
              <w:rPr>
                <w:sz w:val="24"/>
                <w:szCs w:val="24"/>
              </w:rPr>
              <w:fldChar w:fldCharType="begin"/>
            </w:r>
            <w:r w:rsidRPr="00BD63A0">
              <w:rPr>
                <w:b w:val="0"/>
                <w:sz w:val="24"/>
                <w:szCs w:val="24"/>
              </w:rPr>
              <w:instrText xml:space="preserve"> =SUM(ABOVE) </w:instrText>
            </w:r>
            <w:r w:rsidRPr="00BD63A0">
              <w:rPr>
                <w:sz w:val="24"/>
                <w:szCs w:val="24"/>
              </w:rPr>
              <w:fldChar w:fldCharType="separate"/>
            </w:r>
            <w:r w:rsidRPr="00BD63A0">
              <w:rPr>
                <w:b w:val="0"/>
                <w:noProof/>
                <w:sz w:val="24"/>
                <w:szCs w:val="24"/>
              </w:rPr>
              <w:t>1</w:t>
            </w:r>
            <w:r w:rsidRPr="00BD63A0">
              <w:rPr>
                <w:sz w:val="24"/>
                <w:szCs w:val="24"/>
              </w:rPr>
              <w:fldChar w:fldCharType="end"/>
            </w:r>
          </w:p>
        </w:tc>
        <w:tc>
          <w:tcPr>
            <w:tcW w:w="2186" w:type="dxa"/>
          </w:tcPr>
          <w:p w14:paraId="184256C5" w14:textId="1A7685A1" w:rsidR="00A5344A" w:rsidRPr="00BD63A0" w:rsidRDefault="00A5344A" w:rsidP="00A5344A">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BD63A0">
              <w:rPr>
                <w:sz w:val="24"/>
                <w:szCs w:val="24"/>
              </w:rPr>
              <w:fldChar w:fldCharType="begin"/>
            </w:r>
            <w:r w:rsidRPr="00BD63A0">
              <w:rPr>
                <w:b w:val="0"/>
                <w:sz w:val="24"/>
                <w:szCs w:val="24"/>
              </w:rPr>
              <w:instrText xml:space="preserve"> =SUM(ABOVE) </w:instrText>
            </w:r>
            <w:r w:rsidRPr="00BD63A0">
              <w:rPr>
                <w:sz w:val="24"/>
                <w:szCs w:val="24"/>
              </w:rPr>
              <w:fldChar w:fldCharType="separate"/>
            </w:r>
            <w:r w:rsidRPr="00BD63A0">
              <w:rPr>
                <w:b w:val="0"/>
                <w:noProof/>
                <w:sz w:val="24"/>
                <w:szCs w:val="24"/>
              </w:rPr>
              <w:t>2</w:t>
            </w:r>
            <w:r w:rsidRPr="00BD63A0">
              <w:rPr>
                <w:sz w:val="24"/>
                <w:szCs w:val="24"/>
              </w:rPr>
              <w:fldChar w:fldCharType="end"/>
            </w:r>
          </w:p>
        </w:tc>
        <w:tc>
          <w:tcPr>
            <w:tcW w:w="2186" w:type="dxa"/>
          </w:tcPr>
          <w:p w14:paraId="44078787" w14:textId="4FF127BC" w:rsidR="00A5344A" w:rsidRPr="00BD63A0" w:rsidRDefault="00A5344A" w:rsidP="00A5344A">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BD63A0">
              <w:rPr>
                <w:sz w:val="24"/>
                <w:szCs w:val="24"/>
              </w:rPr>
              <w:fldChar w:fldCharType="begin"/>
            </w:r>
            <w:r w:rsidRPr="00BD63A0">
              <w:rPr>
                <w:b w:val="0"/>
                <w:sz w:val="24"/>
                <w:szCs w:val="24"/>
              </w:rPr>
              <w:instrText xml:space="preserve"> =SUM(ABOVE) </w:instrText>
            </w:r>
            <w:r w:rsidRPr="00BD63A0">
              <w:rPr>
                <w:sz w:val="24"/>
                <w:szCs w:val="24"/>
              </w:rPr>
              <w:fldChar w:fldCharType="separate"/>
            </w:r>
            <w:r w:rsidRPr="00BD63A0">
              <w:rPr>
                <w:b w:val="0"/>
                <w:noProof/>
                <w:sz w:val="24"/>
                <w:szCs w:val="24"/>
              </w:rPr>
              <w:t>7</w:t>
            </w:r>
            <w:r w:rsidRPr="00BD63A0">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718E449D" w:rsidR="00A5344A" w:rsidRPr="00BD63A0" w:rsidRDefault="00A5344A" w:rsidP="00A5344A">
            <w:pPr>
              <w:pStyle w:val="MAPPA-Tabletext"/>
              <w:jc w:val="right"/>
              <w:rPr>
                <w:b w:val="0"/>
                <w:sz w:val="24"/>
                <w:szCs w:val="24"/>
                <w:lang w:val="en-GB"/>
              </w:rPr>
            </w:pPr>
            <w:r w:rsidRPr="00BD63A0">
              <w:rPr>
                <w:b w:val="0"/>
                <w:noProof/>
                <w:sz w:val="24"/>
                <w:szCs w:val="24"/>
              </w:rPr>
              <w:t>10</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C0F94EF" w:rsidR="00FA3513" w:rsidRPr="00523CF4" w:rsidRDefault="00BD63A0"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3CD15BB5" w:rsidR="00FA3513" w:rsidRPr="00523CF4" w:rsidRDefault="00BD63A0"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6B80226" w:rsidR="00FA3513" w:rsidRPr="00523CF4" w:rsidRDefault="00BD63A0"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0E6B71B3" w:rsidR="00332EE6" w:rsidRPr="004265C9" w:rsidRDefault="00BD63A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145</w:t>
            </w:r>
          </w:p>
        </w:tc>
      </w:tr>
    </w:tbl>
    <w:p w14:paraId="07E10B6F" w14:textId="77777777" w:rsidR="00332EE6" w:rsidRPr="001F3FB5" w:rsidRDefault="00332EE6" w:rsidP="00332EE6">
      <w:pPr>
        <w:rPr>
          <w:rFonts w:ascii="Arial" w:hAnsi="Arial" w:cs="Arial"/>
          <w:sz w:val="20"/>
          <w:szCs w:val="20"/>
        </w:rPr>
      </w:pPr>
    </w:p>
    <w:p w14:paraId="1B93D107" w14:textId="71E220AA" w:rsidR="00590751" w:rsidRPr="00590751" w:rsidRDefault="00590751" w:rsidP="00590751">
      <w:pPr>
        <w:rPr>
          <w:rFonts w:ascii="Arial" w:hAnsi="Arial" w:cs="Arial"/>
          <w:sz w:val="20"/>
          <w:szCs w:val="20"/>
        </w:rPr>
      </w:pPr>
      <w:r w:rsidRPr="00590751">
        <w:rPr>
          <w:rFonts w:ascii="Arial" w:hAnsi="Arial" w:cs="Arial"/>
          <w:sz w:val="20"/>
          <w:szCs w:val="20"/>
        </w:rPr>
        <w:t>This figure has been calculated using the mid-2021 estimated resident population, published by the Office for National Statistics (ONS) on 21 December 202</w:t>
      </w:r>
      <w:r w:rsidR="006B43AC">
        <w:rPr>
          <w:rFonts w:ascii="Arial" w:hAnsi="Arial" w:cs="Arial"/>
          <w:sz w:val="20"/>
          <w:szCs w:val="20"/>
        </w:rPr>
        <w:t>2</w:t>
      </w:r>
      <w:r w:rsidRPr="00590751">
        <w:rPr>
          <w:rFonts w:ascii="Arial" w:hAnsi="Arial" w:cs="Arial"/>
          <w:sz w:val="20"/>
          <w:szCs w:val="20"/>
        </w:rPr>
        <w:t xml:space="preserve">, excluding those aged less than ten years of age. </w:t>
      </w:r>
    </w:p>
    <w:p w14:paraId="10C6CB11" w14:textId="77777777" w:rsidR="00590751" w:rsidRPr="00590751" w:rsidRDefault="00590751" w:rsidP="00590751">
      <w:pPr>
        <w:rPr>
          <w:rFonts w:ascii="Arial" w:hAnsi="Arial" w:cs="Arial"/>
          <w:sz w:val="20"/>
          <w:szCs w:val="20"/>
        </w:rPr>
      </w:pPr>
    </w:p>
    <w:p w14:paraId="356916A1" w14:textId="77777777" w:rsidR="00590751" w:rsidRPr="00590751" w:rsidRDefault="00590751" w:rsidP="00590751">
      <w:pPr>
        <w:rPr>
          <w:rFonts w:ascii="Arial" w:hAnsi="Arial" w:cs="Arial"/>
          <w:sz w:val="20"/>
          <w:szCs w:val="20"/>
        </w:rPr>
      </w:pPr>
      <w:r w:rsidRPr="00590751">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1B95F4F5" w14:textId="77777777" w:rsidR="00590751" w:rsidRPr="006859F2" w:rsidRDefault="00590751" w:rsidP="00590751"/>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footerReference w:type="default" r:id="rId24"/>
          <w:pgSz w:w="11905" w:h="16837" w:code="9"/>
          <w:pgMar w:top="720" w:right="720" w:bottom="720" w:left="720" w:header="720" w:footer="567" w:gutter="0"/>
          <w:cols w:space="720"/>
          <w:noEndnote/>
        </w:sectPr>
      </w:pPr>
    </w:p>
    <w:p w14:paraId="7EFC00F6" w14:textId="0CDA5E70" w:rsidR="00A22BAF" w:rsidRPr="0069414D" w:rsidRDefault="00A22BAF" w:rsidP="00A22BAF">
      <w:pPr>
        <w:pStyle w:val="Heading1"/>
        <w:jc w:val="left"/>
      </w:pPr>
      <w:r w:rsidRPr="0069414D">
        <w:lastRenderedPageBreak/>
        <w:t>Explanation commentary on statistical tables</w:t>
      </w:r>
    </w:p>
    <w:p w14:paraId="24BDE5AA" w14:textId="77777777" w:rsidR="00A22BAF" w:rsidRPr="007C7106" w:rsidRDefault="00A22BAF" w:rsidP="00A22BAF">
      <w:pPr>
        <w:pStyle w:val="Default"/>
        <w:pBdr>
          <w:bottom w:val="single" w:sz="4" w:space="1" w:color="007BC3"/>
        </w:pBdr>
        <w:rPr>
          <w:rFonts w:ascii="Arial" w:hAnsi="Arial" w:cs="Arial"/>
          <w:color w:val="FFFFFF"/>
          <w:sz w:val="16"/>
          <w:szCs w:val="16"/>
        </w:rPr>
      </w:pPr>
    </w:p>
    <w:p w14:paraId="026F54B7" w14:textId="0C476758" w:rsidR="00A22BAF" w:rsidRPr="00A22BAF" w:rsidRDefault="00A22BAF" w:rsidP="00A22BAF">
      <w:pPr>
        <w:tabs>
          <w:tab w:val="left" w:pos="4305"/>
        </w:tabs>
        <w:sectPr w:rsidR="00A22BAF" w:rsidRPr="00A22BAF" w:rsidSect="00867C9E">
          <w:footerReference w:type="default" r:id="rId25"/>
          <w:pgSz w:w="11905" w:h="16837" w:code="9"/>
          <w:pgMar w:top="720" w:right="720" w:bottom="720" w:left="720" w:header="720" w:footer="567" w:gutter="0"/>
          <w:cols w:space="720"/>
          <w:noEndnote/>
        </w:sectPr>
      </w:pPr>
      <w:r>
        <w:tab/>
      </w: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w:t>
      </w:r>
      <w:r w:rsidRPr="00B510E5">
        <w:rPr>
          <w:sz w:val="24"/>
          <w:szCs w:val="24"/>
          <w:lang w:val="en-GB"/>
        </w:rPr>
        <w:lastRenderedPageBreak/>
        <w:t xml:space="preserve">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w:t>
      </w:r>
      <w:r w:rsidRPr="00B510E5">
        <w:rPr>
          <w:rFonts w:ascii="Arial" w:hAnsi="Arial" w:cs="Arial"/>
        </w:rPr>
        <w:t>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0411B33F" w14:textId="77777777" w:rsidR="00B83E98" w:rsidRDefault="00B83E98" w:rsidP="00332EE6">
      <w:pPr>
        <w:pStyle w:val="MAPPA-Bodytext"/>
        <w:rPr>
          <w:szCs w:val="28"/>
          <w:lang w:val="en-GB"/>
        </w:rPr>
        <w:sectPr w:rsidR="00B83E98" w:rsidSect="00B83E98">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B83E98">
          <w:type w:val="continuous"/>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2777F257" w14:textId="77777777" w:rsidR="004833A3" w:rsidRDefault="0081131F" w:rsidP="0081131F">
      <w:pPr>
        <w:autoSpaceDE w:val="0"/>
        <w:autoSpaceDN w:val="0"/>
        <w:adjustRightInd w:val="0"/>
        <w:jc w:val="both"/>
        <w:rPr>
          <w:rFonts w:ascii="Arial" w:hAnsi="Arial" w:cs="Arial"/>
          <w:color w:val="000000"/>
          <w:sz w:val="21"/>
          <w:szCs w:val="21"/>
        </w:rPr>
      </w:pPr>
      <w:r w:rsidRPr="00947E2D">
        <w:rPr>
          <w:rFonts w:ascii="Arial" w:hAnsi="Arial" w:cs="Arial"/>
          <w:color w:val="000000"/>
          <w:sz w:val="21"/>
          <w:szCs w:val="21"/>
        </w:rPr>
        <w:t>The Responsible Authorities for Cheshire are the Probation Service, H</w:t>
      </w:r>
      <w:r w:rsidR="00947E2D">
        <w:rPr>
          <w:rFonts w:ascii="Arial" w:hAnsi="Arial" w:cs="Arial"/>
          <w:color w:val="000000"/>
          <w:sz w:val="21"/>
          <w:szCs w:val="21"/>
        </w:rPr>
        <w:t>is</w:t>
      </w:r>
      <w:r w:rsidRPr="00947E2D">
        <w:rPr>
          <w:rFonts w:ascii="Arial" w:hAnsi="Arial" w:cs="Arial"/>
          <w:color w:val="000000"/>
          <w:sz w:val="21"/>
          <w:szCs w:val="21"/>
        </w:rPr>
        <w:t xml:space="preserve"> Majesty’s Prison Service (North West) and Cheshire Constabulary</w:t>
      </w:r>
      <w:r w:rsidR="004833A3">
        <w:rPr>
          <w:rFonts w:ascii="Arial" w:hAnsi="Arial" w:cs="Arial"/>
          <w:color w:val="000000"/>
          <w:sz w:val="21"/>
          <w:szCs w:val="21"/>
        </w:rPr>
        <w:t>.</w:t>
      </w:r>
      <w:r w:rsidRPr="00947E2D">
        <w:rPr>
          <w:rFonts w:ascii="Arial" w:hAnsi="Arial" w:cs="Arial"/>
          <w:color w:val="000000"/>
          <w:sz w:val="21"/>
          <w:szCs w:val="21"/>
        </w:rPr>
        <w:t xml:space="preserve"> </w:t>
      </w:r>
    </w:p>
    <w:p w14:paraId="60A48766" w14:textId="77777777" w:rsidR="004833A3" w:rsidRDefault="004833A3" w:rsidP="0081131F">
      <w:pPr>
        <w:autoSpaceDE w:val="0"/>
        <w:autoSpaceDN w:val="0"/>
        <w:adjustRightInd w:val="0"/>
        <w:jc w:val="both"/>
        <w:rPr>
          <w:rFonts w:ascii="Arial" w:hAnsi="Arial" w:cs="Arial"/>
          <w:color w:val="000000"/>
          <w:sz w:val="21"/>
          <w:szCs w:val="21"/>
        </w:rPr>
      </w:pPr>
    </w:p>
    <w:p w14:paraId="09C08860" w14:textId="3F98B6AB" w:rsidR="0081131F" w:rsidRPr="00947E2D" w:rsidRDefault="0081131F" w:rsidP="0081131F">
      <w:pPr>
        <w:autoSpaceDE w:val="0"/>
        <w:autoSpaceDN w:val="0"/>
        <w:adjustRightInd w:val="0"/>
        <w:jc w:val="both"/>
        <w:rPr>
          <w:rFonts w:ascii="Arial" w:hAnsi="Arial" w:cs="Arial"/>
          <w:color w:val="000000"/>
          <w:sz w:val="21"/>
          <w:szCs w:val="21"/>
        </w:rPr>
      </w:pPr>
      <w:r w:rsidRPr="00947E2D">
        <w:rPr>
          <w:rFonts w:ascii="Arial" w:hAnsi="Arial" w:cs="Arial"/>
          <w:color w:val="000000"/>
          <w:sz w:val="21"/>
          <w:szCs w:val="21"/>
        </w:rPr>
        <w:t>Cheshire’s “Duty to Co-operate” agencies</w:t>
      </w:r>
      <w:r w:rsidR="004833A3">
        <w:rPr>
          <w:rFonts w:ascii="Arial" w:hAnsi="Arial" w:cs="Arial"/>
          <w:color w:val="000000"/>
          <w:sz w:val="21"/>
          <w:szCs w:val="21"/>
        </w:rPr>
        <w:t xml:space="preserve"> also</w:t>
      </w:r>
      <w:r w:rsidRPr="00947E2D">
        <w:rPr>
          <w:rFonts w:ascii="Arial" w:hAnsi="Arial" w:cs="Arial"/>
          <w:color w:val="000000"/>
          <w:sz w:val="21"/>
          <w:szCs w:val="21"/>
        </w:rPr>
        <w:t xml:space="preserve"> play a crucial role in working collaboratively with criminal justice partners, to protect the public and reduce harm to victims. Both Duty to Co-operate agencies and Responsible Authorities are guided by policy from the National MAPPA team. </w:t>
      </w:r>
    </w:p>
    <w:p w14:paraId="3A3C888B" w14:textId="77777777" w:rsidR="0081131F" w:rsidRPr="00947E2D" w:rsidRDefault="0081131F" w:rsidP="0081131F">
      <w:pPr>
        <w:autoSpaceDE w:val="0"/>
        <w:autoSpaceDN w:val="0"/>
        <w:adjustRightInd w:val="0"/>
        <w:jc w:val="both"/>
        <w:rPr>
          <w:rFonts w:ascii="Arial" w:hAnsi="Arial" w:cs="Arial"/>
          <w:color w:val="000000"/>
          <w:sz w:val="21"/>
          <w:szCs w:val="21"/>
        </w:rPr>
      </w:pPr>
    </w:p>
    <w:p w14:paraId="3F4F02C7" w14:textId="6BCFFED5" w:rsidR="0081131F" w:rsidRPr="00947E2D" w:rsidRDefault="0081131F" w:rsidP="0081131F">
      <w:pPr>
        <w:jc w:val="both"/>
        <w:rPr>
          <w:rFonts w:ascii="Arial" w:hAnsi="Arial" w:cs="Arial"/>
          <w:color w:val="000000"/>
          <w:sz w:val="21"/>
          <w:szCs w:val="21"/>
        </w:rPr>
      </w:pPr>
      <w:r w:rsidRPr="00947E2D">
        <w:rPr>
          <w:rFonts w:ascii="Arial" w:hAnsi="Arial" w:cs="Arial"/>
          <w:color w:val="000000"/>
          <w:sz w:val="21"/>
          <w:szCs w:val="21"/>
        </w:rPr>
        <w:t xml:space="preserve">The MAPPA Strategic Management Board (SMB) has a duty to ensure that MAPPA is effectively implemented and managed. The members of Cheshire’s SMB are senior representatives from each of the Responsible Authorities and Duty to Co-operate agencies, whose role is to ensure that their own agency performs effectively in line with MAPPA guidance and shares information with their colleagues across Cheshire. The SMB meets at least three times a year to monitor the arrangements and direct any necessary improvements to local MAPPA processes. Additionally, Cheshire </w:t>
      </w:r>
      <w:r w:rsidR="00223658">
        <w:rPr>
          <w:rFonts w:ascii="Arial" w:hAnsi="Arial" w:cs="Arial"/>
          <w:color w:val="000000"/>
          <w:sz w:val="21"/>
          <w:szCs w:val="21"/>
        </w:rPr>
        <w:t xml:space="preserve">has a </w:t>
      </w:r>
      <w:r w:rsidRPr="00947E2D">
        <w:rPr>
          <w:rFonts w:ascii="Arial" w:hAnsi="Arial" w:cs="Arial"/>
          <w:color w:val="000000"/>
          <w:sz w:val="21"/>
          <w:szCs w:val="21"/>
        </w:rPr>
        <w:t>Secretary of State appointed Lay Adviser</w:t>
      </w:r>
      <w:r w:rsidR="00223658">
        <w:rPr>
          <w:rFonts w:ascii="Arial" w:hAnsi="Arial" w:cs="Arial"/>
          <w:color w:val="000000"/>
          <w:sz w:val="21"/>
          <w:szCs w:val="21"/>
        </w:rPr>
        <w:t xml:space="preserve"> </w:t>
      </w:r>
      <w:r w:rsidRPr="00947E2D">
        <w:rPr>
          <w:rFonts w:ascii="Arial" w:hAnsi="Arial" w:cs="Arial"/>
          <w:color w:val="000000"/>
          <w:sz w:val="21"/>
          <w:szCs w:val="21"/>
        </w:rPr>
        <w:t xml:space="preserve">who </w:t>
      </w:r>
      <w:r w:rsidR="00223658">
        <w:rPr>
          <w:rFonts w:ascii="Arial" w:hAnsi="Arial" w:cs="Arial"/>
          <w:color w:val="000000"/>
          <w:sz w:val="21"/>
          <w:szCs w:val="21"/>
        </w:rPr>
        <w:t>is an</w:t>
      </w:r>
      <w:r w:rsidRPr="00947E2D">
        <w:rPr>
          <w:rFonts w:ascii="Arial" w:hAnsi="Arial" w:cs="Arial"/>
          <w:color w:val="000000"/>
          <w:sz w:val="21"/>
          <w:szCs w:val="21"/>
        </w:rPr>
        <w:t xml:space="preserve"> active member of the SMB and perform</w:t>
      </w:r>
      <w:r w:rsidR="00223658">
        <w:rPr>
          <w:rFonts w:ascii="Arial" w:hAnsi="Arial" w:cs="Arial"/>
          <w:color w:val="000000"/>
          <w:sz w:val="21"/>
          <w:szCs w:val="21"/>
        </w:rPr>
        <w:t>s</w:t>
      </w:r>
      <w:r w:rsidRPr="00947E2D">
        <w:rPr>
          <w:rFonts w:ascii="Arial" w:hAnsi="Arial" w:cs="Arial"/>
          <w:color w:val="000000"/>
          <w:sz w:val="21"/>
          <w:szCs w:val="21"/>
        </w:rPr>
        <w:t xml:space="preserve"> a crucial role to ensure that the public’s views are represented at SMB (their role is outlined on page 2).</w:t>
      </w:r>
    </w:p>
    <w:p w14:paraId="552A74AB" w14:textId="77777777" w:rsidR="0081131F" w:rsidRPr="00947E2D" w:rsidRDefault="0081131F" w:rsidP="0081131F">
      <w:pPr>
        <w:autoSpaceDE w:val="0"/>
        <w:autoSpaceDN w:val="0"/>
        <w:adjustRightInd w:val="0"/>
        <w:jc w:val="both"/>
        <w:rPr>
          <w:rFonts w:ascii="Arial" w:hAnsi="Arial" w:cs="Arial"/>
          <w:color w:val="000000"/>
          <w:sz w:val="21"/>
          <w:szCs w:val="21"/>
        </w:rPr>
      </w:pPr>
    </w:p>
    <w:p w14:paraId="58CA9EEF" w14:textId="16C0A2F7" w:rsidR="0081131F" w:rsidRPr="00947E2D" w:rsidRDefault="0081131F" w:rsidP="0081131F">
      <w:pPr>
        <w:autoSpaceDE w:val="0"/>
        <w:autoSpaceDN w:val="0"/>
        <w:adjustRightInd w:val="0"/>
        <w:spacing w:after="240"/>
        <w:jc w:val="both"/>
        <w:textAlignment w:val="center"/>
        <w:rPr>
          <w:rFonts w:ascii="Arial" w:hAnsi="Arial" w:cs="Arial"/>
          <w:color w:val="000000"/>
          <w:sz w:val="21"/>
          <w:szCs w:val="21"/>
          <w:lang w:val="en-US"/>
        </w:rPr>
      </w:pPr>
      <w:r w:rsidRPr="00947E2D">
        <w:rPr>
          <w:rFonts w:ascii="Arial" w:hAnsi="Arial" w:cs="Arial"/>
          <w:color w:val="000000"/>
          <w:sz w:val="21"/>
          <w:szCs w:val="21"/>
          <w:lang w:val="en-US"/>
        </w:rPr>
        <w:t>The principal responsibility for protecting the public from sexual</w:t>
      </w:r>
      <w:r w:rsidR="00B4515B">
        <w:rPr>
          <w:rFonts w:ascii="Arial" w:hAnsi="Arial" w:cs="Arial"/>
          <w:color w:val="000000"/>
          <w:sz w:val="21"/>
          <w:szCs w:val="21"/>
          <w:lang w:val="en-US"/>
        </w:rPr>
        <w:t xml:space="preserve">, </w:t>
      </w:r>
      <w:r w:rsidRPr="00947E2D">
        <w:rPr>
          <w:rFonts w:ascii="Arial" w:hAnsi="Arial" w:cs="Arial"/>
          <w:color w:val="000000"/>
          <w:sz w:val="21"/>
          <w:szCs w:val="21"/>
          <w:lang w:val="en-US"/>
        </w:rPr>
        <w:t xml:space="preserve">violent </w:t>
      </w:r>
      <w:r w:rsidR="00B4515B">
        <w:rPr>
          <w:rFonts w:ascii="Arial" w:hAnsi="Arial" w:cs="Arial"/>
          <w:color w:val="000000"/>
          <w:sz w:val="21"/>
          <w:szCs w:val="21"/>
          <w:lang w:val="en-US"/>
        </w:rPr>
        <w:t xml:space="preserve">and terrorist </w:t>
      </w:r>
      <w:r w:rsidR="006000B0">
        <w:rPr>
          <w:rFonts w:ascii="Arial" w:hAnsi="Arial" w:cs="Arial"/>
          <w:color w:val="000000"/>
          <w:sz w:val="21"/>
          <w:szCs w:val="21"/>
          <w:lang w:val="en-US"/>
        </w:rPr>
        <w:t xml:space="preserve">risk </w:t>
      </w:r>
      <w:r w:rsidRPr="00947E2D">
        <w:rPr>
          <w:rFonts w:ascii="Arial" w:hAnsi="Arial" w:cs="Arial"/>
          <w:color w:val="000000"/>
          <w:sz w:val="21"/>
          <w:szCs w:val="21"/>
          <w:lang w:val="en-US"/>
        </w:rPr>
        <w:t>offenders generally rests with the three Criminal Justice agencies. However, the effectiveness of public protection often depends on more than just a Criminal Justice response. Therefore, the Duty to Co-operate agencies play an important role in helping MAPPA offenders to re-settle and avoid re-offending. For example, offenders who have stable accommodation and employment are much less likely to re-offend. Duty to Co-operate agencies make important contributions in assisting criminal justice agencies to assess risks and develop robust risk management plans, including when offenders experience mental health difficulties or pose a risk of harm to children. The Duty to Co-operate agencies include Community Mental Health Teams and Housing Associations across the area as well as Safeguarding Children and Adult Boards, Job Centre Plus and the Youth Offending Service. Within Cheshire all agencies are very well represented at SMB and at MAPPA meetings to assist in the development of effective practices.</w:t>
      </w:r>
    </w:p>
    <w:p w14:paraId="7040165B" w14:textId="69E4C683" w:rsidR="0081131F" w:rsidRPr="00947E2D" w:rsidRDefault="0081131F" w:rsidP="0081131F">
      <w:pPr>
        <w:autoSpaceDE w:val="0"/>
        <w:autoSpaceDN w:val="0"/>
        <w:adjustRightInd w:val="0"/>
        <w:spacing w:after="240"/>
        <w:jc w:val="both"/>
        <w:textAlignment w:val="center"/>
        <w:rPr>
          <w:rFonts w:ascii="Arial" w:hAnsi="Arial" w:cs="Arial"/>
          <w:color w:val="000000"/>
          <w:sz w:val="21"/>
          <w:szCs w:val="21"/>
          <w:lang w:val="en-US"/>
        </w:rPr>
      </w:pPr>
      <w:r w:rsidRPr="00947E2D">
        <w:rPr>
          <w:rFonts w:ascii="Arial" w:hAnsi="Arial" w:cs="Arial"/>
          <w:color w:val="000000"/>
          <w:sz w:val="21"/>
          <w:szCs w:val="21"/>
          <w:lang w:val="en-US"/>
        </w:rPr>
        <w:t xml:space="preserve">Multi-Agency Public Protection meetings are held regularly in Cheshire when active multi-agency management is needed in order to manage high and </w:t>
      </w:r>
      <w:r w:rsidRPr="00947E2D">
        <w:rPr>
          <w:rFonts w:ascii="Arial" w:hAnsi="Arial" w:cs="Arial"/>
          <w:color w:val="000000"/>
          <w:sz w:val="21"/>
          <w:szCs w:val="21"/>
          <w:lang w:val="en-US"/>
        </w:rPr>
        <w:t xml:space="preserve">very high-risk offenders. The meetings allow for information to be shared in a multi-agency setting and </w:t>
      </w:r>
      <w:r w:rsidR="00AF0CC1">
        <w:rPr>
          <w:rFonts w:ascii="Arial" w:hAnsi="Arial" w:cs="Arial"/>
          <w:color w:val="000000"/>
          <w:sz w:val="21"/>
          <w:szCs w:val="21"/>
          <w:lang w:val="en-US"/>
        </w:rPr>
        <w:t xml:space="preserve">for </w:t>
      </w:r>
      <w:r w:rsidR="005B203D">
        <w:rPr>
          <w:rFonts w:ascii="Arial" w:hAnsi="Arial" w:cs="Arial"/>
          <w:color w:val="000000"/>
          <w:sz w:val="21"/>
          <w:szCs w:val="21"/>
          <w:lang w:val="en-US"/>
        </w:rPr>
        <w:t>r</w:t>
      </w:r>
      <w:r w:rsidRPr="00947E2D">
        <w:rPr>
          <w:rFonts w:ascii="Arial" w:hAnsi="Arial" w:cs="Arial"/>
          <w:color w:val="000000"/>
          <w:sz w:val="21"/>
          <w:szCs w:val="21"/>
          <w:lang w:val="en-US"/>
        </w:rPr>
        <w:t xml:space="preserve">obust risk management plans for individual offenders to be developed, which is effectively delivered, monitored and reviewed as appropriate. </w:t>
      </w:r>
    </w:p>
    <w:p w14:paraId="65A69199" w14:textId="77777777" w:rsidR="0081131F" w:rsidRPr="00947E2D" w:rsidRDefault="0081131F" w:rsidP="0081131F">
      <w:pPr>
        <w:autoSpaceDE w:val="0"/>
        <w:autoSpaceDN w:val="0"/>
        <w:adjustRightInd w:val="0"/>
        <w:spacing w:after="240"/>
        <w:jc w:val="both"/>
        <w:textAlignment w:val="center"/>
        <w:rPr>
          <w:rFonts w:ascii="Arial" w:hAnsi="Arial" w:cs="Arial"/>
          <w:color w:val="000000"/>
          <w:sz w:val="21"/>
          <w:szCs w:val="21"/>
          <w:lang w:val="en-US"/>
        </w:rPr>
      </w:pPr>
      <w:r w:rsidRPr="00947E2D">
        <w:rPr>
          <w:rFonts w:ascii="Arial" w:hAnsi="Arial" w:cs="Arial"/>
          <w:color w:val="000000"/>
          <w:sz w:val="21"/>
          <w:szCs w:val="21"/>
          <w:lang w:val="en-US"/>
        </w:rPr>
        <w:t>There are also two sub-groups who assist Cheshire’s SMB, a Training Subgroup and an Evaluation and Monitoring Subgroup. The groups are formed by members from Responsible Authorities and Duty to Co-operate agencies and undertake work to ensure that all Duty to Co-operate agencies and Responsible Authorities adhere to their agency’s roles and responsibilities within the MAPPA processes. The work of this group includes undertaking regular audits of MAPPA referrals and MAPPA meetings; monitoring agencies attendance at meetings; reviewing and ensuring that robust risk management plans are developed for the protection of the public; and disseminating learning to all relevant partners. Along with members from the Responsible Authorities, Local Safeguarding Adult and Children Boards have representatives within the SMB and the two Sub-groups to ensure that there is effective communication between the Boards within Cheshire.</w:t>
      </w:r>
    </w:p>
    <w:p w14:paraId="433DEE12" w14:textId="1DC639AA" w:rsidR="0081131F" w:rsidRPr="00A22BAF" w:rsidRDefault="0081131F" w:rsidP="00A22BAF">
      <w:pPr>
        <w:autoSpaceDE w:val="0"/>
        <w:autoSpaceDN w:val="0"/>
        <w:adjustRightInd w:val="0"/>
        <w:spacing w:after="240"/>
        <w:jc w:val="both"/>
        <w:textAlignment w:val="center"/>
        <w:rPr>
          <w:rFonts w:ascii="Arial" w:hAnsi="Arial" w:cs="Arial"/>
          <w:color w:val="000000"/>
          <w:sz w:val="21"/>
          <w:szCs w:val="21"/>
          <w:lang w:val="en-US"/>
        </w:rPr>
        <w:sectPr w:rsidR="0081131F" w:rsidRPr="00A22BAF" w:rsidSect="00DF129F">
          <w:type w:val="continuous"/>
          <w:pgSz w:w="11905" w:h="16837" w:code="9"/>
          <w:pgMar w:top="720" w:right="720" w:bottom="720" w:left="720" w:header="720" w:footer="567" w:gutter="0"/>
          <w:cols w:num="2" w:space="720"/>
          <w:noEndnote/>
          <w:docGrid w:linePitch="360"/>
        </w:sectPr>
      </w:pPr>
      <w:r w:rsidRPr="00947E2D">
        <w:rPr>
          <w:rFonts w:ascii="Arial" w:hAnsi="Arial" w:cs="Arial"/>
          <w:color w:val="000000"/>
          <w:sz w:val="21"/>
          <w:szCs w:val="21"/>
          <w:lang w:val="en-US"/>
        </w:rPr>
        <w:t>Across Cheshire Multi-Agency Risks Assessment Conferences (MARACs) are held. The focus is to share information to enable an effective risk management plan to be developed to protect those victims who are at high risk of serious harm from domestic abuse. MARAC’s support and compliment the MAPPA process.  Representatives from various agencies within Cheshire are involved in both multi-agency arrangements and there are clear established links between the MAPPA and MARAC processes as agreed by protocol as published on the National MAPPA website. In addition, Cheshire Police’s Harm Reduction Unit continue to contribute to the management of perpetrators of stalking. They offer victims and professionals advice and support and work to ensure that appropriate safeguarding measures are put in place to protect victims and that perpetrators are robustly managed.</w:t>
      </w:r>
    </w:p>
    <w:p w14:paraId="01AEE269" w14:textId="77777777" w:rsidR="00F61D2F" w:rsidRPr="00221BEE" w:rsidRDefault="00F61D2F" w:rsidP="00F61D2F">
      <w:pPr>
        <w:pStyle w:val="MAPPA-Heaingsection"/>
        <w:jc w:val="center"/>
        <w:rPr>
          <w:color w:val="7030A0"/>
          <w:sz w:val="96"/>
          <w:szCs w:val="96"/>
        </w:rPr>
      </w:pPr>
      <w:r w:rsidRPr="00221BEE">
        <w:rPr>
          <w:color w:val="7030A0"/>
          <w:sz w:val="96"/>
          <w:szCs w:val="96"/>
        </w:rPr>
        <w:lastRenderedPageBreak/>
        <w:t>Cheshire’s Strategic Management Board</w:t>
      </w:r>
    </w:p>
    <w:p w14:paraId="2D309190" w14:textId="77777777" w:rsidR="00F61D2F" w:rsidRDefault="00F61D2F" w:rsidP="00F61D2F">
      <w:pPr>
        <w:pStyle w:val="MAPPA-HeadingPara"/>
        <w:jc w:val="both"/>
        <w:rPr>
          <w:rFonts w:cs="Arial"/>
          <w:color w:val="000000"/>
          <w:sz w:val="20"/>
          <w:szCs w:val="20"/>
        </w:rPr>
      </w:pPr>
    </w:p>
    <w:p w14:paraId="3B4D1CBA" w14:textId="77777777" w:rsidR="00F61D2F" w:rsidRDefault="00F61D2F" w:rsidP="00F61D2F">
      <w:pPr>
        <w:pStyle w:val="MAPPA-HeadingPara"/>
        <w:jc w:val="center"/>
        <w:rPr>
          <w:rFonts w:cs="Arial"/>
          <w:color w:val="000000"/>
          <w:sz w:val="20"/>
          <w:szCs w:val="20"/>
        </w:rPr>
      </w:pPr>
      <w:r>
        <w:rPr>
          <w:rFonts w:cs="Arial"/>
          <w:noProof/>
          <w:color w:val="000000"/>
          <w:sz w:val="20"/>
          <w:szCs w:val="20"/>
        </w:rPr>
        <w:drawing>
          <wp:inline distT="0" distB="0" distL="0" distR="0" wp14:anchorId="74BDCC0D" wp14:editId="6474F95D">
            <wp:extent cx="6229350" cy="6629400"/>
            <wp:effectExtent l="0" t="0" r="19050" b="0"/>
            <wp:docPr id="7" name="Diagram 7" descr="Diagram outlining key objectives for MAPPA in Cheshir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853ED21" w14:textId="77777777" w:rsidR="00F61D2F" w:rsidRDefault="00F61D2F" w:rsidP="00F61D2F">
      <w:pPr>
        <w:pStyle w:val="MAPPA-HeadingPara"/>
        <w:jc w:val="both"/>
        <w:rPr>
          <w:rFonts w:cs="Arial"/>
          <w:color w:val="000000"/>
          <w:sz w:val="20"/>
          <w:szCs w:val="20"/>
        </w:rPr>
      </w:pPr>
    </w:p>
    <w:p w14:paraId="66BCD17E" w14:textId="77777777" w:rsidR="00F61D2F" w:rsidRDefault="00F61D2F" w:rsidP="00F61D2F">
      <w:pPr>
        <w:pStyle w:val="MAPPA-HeadingPara"/>
        <w:jc w:val="both"/>
        <w:rPr>
          <w:rFonts w:cs="Arial"/>
          <w:color w:val="000000"/>
          <w:sz w:val="20"/>
          <w:szCs w:val="20"/>
        </w:rPr>
      </w:pPr>
    </w:p>
    <w:p w14:paraId="063DAF83" w14:textId="77777777" w:rsidR="008A6D75" w:rsidRDefault="008A6D75" w:rsidP="00332EE6">
      <w:pPr>
        <w:pStyle w:val="MAPPA-Bodytext"/>
        <w:spacing w:before="4800"/>
        <w:jc w:val="center"/>
        <w:rPr>
          <w:b/>
          <w:color w:val="7030A0"/>
          <w:sz w:val="26"/>
          <w:szCs w:val="26"/>
          <w:lang w:val="en-GB"/>
        </w:rPr>
      </w:pPr>
    </w:p>
    <w:p w14:paraId="100B19D4" w14:textId="0782E8F8"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All MAPPA reports from England and Wales are published online at:</w:t>
      </w:r>
    </w:p>
    <w:p w14:paraId="14EA9D9B" w14:textId="77777777" w:rsidR="00332EE6" w:rsidRDefault="006B43AC" w:rsidP="00332EE6">
      <w:pPr>
        <w:pStyle w:val="MAPPA-Bodytext"/>
        <w:jc w:val="center"/>
        <w:rPr>
          <w:rStyle w:val="Hyperlink"/>
          <w:b/>
          <w:sz w:val="26"/>
          <w:szCs w:val="26"/>
          <w:lang w:val="en-GB"/>
        </w:rPr>
      </w:pPr>
      <w:hyperlink r:id="rId31" w:history="1">
        <w:r w:rsidR="00332EE6" w:rsidRPr="00B01E0C">
          <w:rPr>
            <w:rStyle w:val="Hyperlink"/>
            <w:b/>
            <w:sz w:val="26"/>
            <w:szCs w:val="26"/>
            <w:lang w:val="en-GB"/>
          </w:rPr>
          <w:t>www.gov.uk</w:t>
        </w:r>
      </w:hyperlink>
    </w:p>
    <w:p w14:paraId="0978900F" w14:textId="77777777" w:rsidR="0070589B" w:rsidRDefault="0070589B" w:rsidP="00332EE6">
      <w:pPr>
        <w:pStyle w:val="MAPPA-Bodytext"/>
        <w:jc w:val="center"/>
        <w:rPr>
          <w:rStyle w:val="Hyperlink"/>
          <w:b/>
          <w:sz w:val="26"/>
          <w:szCs w:val="26"/>
          <w:lang w:val="en-GB"/>
        </w:rPr>
      </w:pPr>
    </w:p>
    <w:p w14:paraId="08D3F7A9" w14:textId="77777777" w:rsidR="0070589B" w:rsidRDefault="0070589B" w:rsidP="00332EE6">
      <w:pPr>
        <w:pStyle w:val="MAPPA-Bodytext"/>
        <w:jc w:val="center"/>
        <w:rPr>
          <w:rStyle w:val="Hyperlink"/>
          <w:b/>
          <w:sz w:val="26"/>
          <w:szCs w:val="26"/>
          <w:lang w:val="en-GB"/>
        </w:rPr>
      </w:pPr>
    </w:p>
    <w:p w14:paraId="54C975BB" w14:textId="77777777" w:rsidR="0070589B" w:rsidRDefault="0070589B" w:rsidP="00332EE6">
      <w:pPr>
        <w:pStyle w:val="MAPPA-Bodytext"/>
        <w:jc w:val="center"/>
        <w:rPr>
          <w:rStyle w:val="Hyperlink"/>
          <w:b/>
          <w:sz w:val="26"/>
          <w:szCs w:val="26"/>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32"/>
          <w:pgSz w:w="11905" w:h="16837" w:code="9"/>
          <w:pgMar w:top="720" w:right="720" w:bottom="720" w:left="720" w:header="720" w:footer="567" w:gutter="0"/>
          <w:cols w:space="720"/>
          <w:noEndnote/>
          <w:docGrid w:linePitch="360"/>
        </w:sectPr>
      </w:pPr>
    </w:p>
    <w:p w14:paraId="511E354C" w14:textId="1F135D62" w:rsidR="0052760C" w:rsidRPr="006954C2" w:rsidRDefault="00782444" w:rsidP="00D06049">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A956F5">
      <w:pPr>
        <w:rPr>
          <w:rFonts w:ascii="Arial" w:hAnsi="Arial" w:cs="Arial"/>
          <w:color w:val="7030A0"/>
        </w:rPr>
      </w:pPr>
    </w:p>
    <w:p w14:paraId="024CE8E5" w14:textId="0FE446CF" w:rsidR="0052760C" w:rsidRDefault="0052760C" w:rsidP="005A1B9A">
      <w:pPr>
        <w:jc w:val="center"/>
        <w:rPr>
          <w:rFonts w:ascii="Arial" w:hAnsi="Arial" w:cs="Arial"/>
          <w:color w:val="7030A0"/>
        </w:rPr>
      </w:pPr>
      <w:r w:rsidRPr="006954C2">
        <w:rPr>
          <w:noProof/>
          <w:color w:val="7030A0"/>
        </w:rPr>
        <w:drawing>
          <wp:inline distT="0" distB="0" distL="0" distR="0" wp14:anchorId="437D3C08" wp14:editId="235A434B">
            <wp:extent cx="1875163" cy="1243965"/>
            <wp:effectExtent l="0" t="0" r="0"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84838" cy="1250383"/>
                    </a:xfrm>
                    <a:prstGeom prst="rect">
                      <a:avLst/>
                    </a:prstGeom>
                    <a:noFill/>
                  </pic:spPr>
                </pic:pic>
              </a:graphicData>
            </a:graphic>
          </wp:inline>
        </w:drawing>
      </w:r>
    </w:p>
    <w:p w14:paraId="0E398AE1" w14:textId="77777777" w:rsidR="00A956F5" w:rsidRDefault="00A956F5" w:rsidP="005A1B9A">
      <w:pPr>
        <w:jc w:val="center"/>
        <w:rPr>
          <w:rFonts w:ascii="Arial" w:hAnsi="Arial" w:cs="Arial"/>
          <w:color w:val="7030A0"/>
        </w:rPr>
      </w:pPr>
    </w:p>
    <w:p w14:paraId="79E37429" w14:textId="25EC37CA" w:rsidR="00A956F5" w:rsidRPr="006954C2" w:rsidRDefault="00A956F5" w:rsidP="005A1B9A">
      <w:pPr>
        <w:jc w:val="center"/>
        <w:rPr>
          <w:rFonts w:ascii="Arial" w:hAnsi="Arial" w:cs="Arial"/>
          <w:color w:val="7030A0"/>
        </w:rPr>
      </w:pPr>
      <w:r>
        <w:rPr>
          <w:noProof/>
          <w:color w:val="1F497D"/>
        </w:rPr>
        <w:drawing>
          <wp:inline distT="0" distB="0" distL="0" distR="0" wp14:anchorId="722513A0" wp14:editId="110B7FD4">
            <wp:extent cx="1910080" cy="1066800"/>
            <wp:effectExtent l="0" t="0" r="0" b="0"/>
            <wp:docPr id="16" name="Picture 16" descr="Cheshire Constabul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eshire Constabulary logo"/>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910080" cy="1066800"/>
                    </a:xfrm>
                    <a:prstGeom prst="rect">
                      <a:avLst/>
                    </a:prstGeom>
                    <a:noFill/>
                    <a:ln>
                      <a:noFill/>
                    </a:ln>
                  </pic:spPr>
                </pic:pic>
              </a:graphicData>
            </a:graphic>
          </wp:inline>
        </w:drawing>
      </w:r>
    </w:p>
    <w:sectPr w:rsidR="00A956F5"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3B75C" w14:textId="77777777" w:rsidR="00186F18" w:rsidRDefault="00186F18" w:rsidP="001A5708">
      <w:pPr>
        <w:pStyle w:val="MAPPA-Bodytext"/>
      </w:pPr>
      <w:r>
        <w:separator/>
      </w:r>
    </w:p>
  </w:endnote>
  <w:endnote w:type="continuationSeparator" w:id="0">
    <w:p w14:paraId="598D5C82" w14:textId="77777777" w:rsidR="00186F18" w:rsidRDefault="00186F18" w:rsidP="001A5708">
      <w:pPr>
        <w:pStyle w:val="MAPPA-Bodytext"/>
      </w:pPr>
      <w:r>
        <w:continuationSeparator/>
      </w:r>
    </w:p>
  </w:endnote>
  <w:endnote w:type="continuationNotice" w:id="1">
    <w:p w14:paraId="126405B7" w14:textId="77777777" w:rsidR="00186F18" w:rsidRDefault="00186F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31FEC" w14:textId="3C082315" w:rsidR="00A50529" w:rsidRDefault="00A50529"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2C497F" w14:textId="77777777" w:rsidR="00A50529" w:rsidRDefault="00A50529"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714A" w14:textId="77777777" w:rsidR="00A50529" w:rsidRPr="00735E92" w:rsidRDefault="00A50529"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F3BD" w14:textId="77777777" w:rsidR="00A50529" w:rsidRDefault="00A50529"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1C62A3" w14:textId="77777777" w:rsidR="00A50529" w:rsidRPr="0009323B" w:rsidRDefault="00A50529"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BBD2" w14:textId="77777777" w:rsidR="00880067" w:rsidRPr="00735E92" w:rsidRDefault="0088006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64C78" w14:textId="77777777" w:rsidR="00186F18" w:rsidRDefault="00186F18" w:rsidP="001A5708">
      <w:pPr>
        <w:pStyle w:val="MAPPA-Bodytext"/>
      </w:pPr>
      <w:r>
        <w:separator/>
      </w:r>
    </w:p>
  </w:footnote>
  <w:footnote w:type="continuationSeparator" w:id="0">
    <w:p w14:paraId="16EC152C" w14:textId="77777777" w:rsidR="00186F18" w:rsidRDefault="00186F18" w:rsidP="001A5708">
      <w:pPr>
        <w:pStyle w:val="MAPPA-Bodytext"/>
      </w:pPr>
      <w:r>
        <w:continuationSeparator/>
      </w:r>
    </w:p>
  </w:footnote>
  <w:footnote w:type="continuationNotice" w:id="1">
    <w:p w14:paraId="486A4B23" w14:textId="77777777" w:rsidR="00186F18" w:rsidRDefault="00186F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112A"/>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4077"/>
    <w:rsid w:val="000A4450"/>
    <w:rsid w:val="000A6775"/>
    <w:rsid w:val="000E3453"/>
    <w:rsid w:val="000F355B"/>
    <w:rsid w:val="000F65BF"/>
    <w:rsid w:val="00105344"/>
    <w:rsid w:val="001143B7"/>
    <w:rsid w:val="00126C4A"/>
    <w:rsid w:val="00140627"/>
    <w:rsid w:val="001435D5"/>
    <w:rsid w:val="00146AC1"/>
    <w:rsid w:val="00152647"/>
    <w:rsid w:val="00154D3E"/>
    <w:rsid w:val="00157F24"/>
    <w:rsid w:val="0017380D"/>
    <w:rsid w:val="001800EB"/>
    <w:rsid w:val="00186F18"/>
    <w:rsid w:val="00194B1F"/>
    <w:rsid w:val="001976DE"/>
    <w:rsid w:val="001A2E78"/>
    <w:rsid w:val="001A4849"/>
    <w:rsid w:val="001A5708"/>
    <w:rsid w:val="001B4354"/>
    <w:rsid w:val="001C2687"/>
    <w:rsid w:val="001D15DF"/>
    <w:rsid w:val="001D5B9B"/>
    <w:rsid w:val="001E4AC5"/>
    <w:rsid w:val="001E793A"/>
    <w:rsid w:val="001F341F"/>
    <w:rsid w:val="001F3FB5"/>
    <w:rsid w:val="00201349"/>
    <w:rsid w:val="00203010"/>
    <w:rsid w:val="00206B09"/>
    <w:rsid w:val="0020762B"/>
    <w:rsid w:val="002171AC"/>
    <w:rsid w:val="00223658"/>
    <w:rsid w:val="00230E77"/>
    <w:rsid w:val="00233AB5"/>
    <w:rsid w:val="002446A8"/>
    <w:rsid w:val="002621F5"/>
    <w:rsid w:val="0027253A"/>
    <w:rsid w:val="00274A96"/>
    <w:rsid w:val="00281FCC"/>
    <w:rsid w:val="0028255E"/>
    <w:rsid w:val="00283D9A"/>
    <w:rsid w:val="002850D6"/>
    <w:rsid w:val="00296A85"/>
    <w:rsid w:val="002A5E53"/>
    <w:rsid w:val="002A6713"/>
    <w:rsid w:val="002B3DF0"/>
    <w:rsid w:val="002C0567"/>
    <w:rsid w:val="002C2403"/>
    <w:rsid w:val="002D00D7"/>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2075"/>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0B1F"/>
    <w:rsid w:val="00481AE8"/>
    <w:rsid w:val="004833A3"/>
    <w:rsid w:val="00486257"/>
    <w:rsid w:val="00490949"/>
    <w:rsid w:val="004B2AF5"/>
    <w:rsid w:val="004C40BA"/>
    <w:rsid w:val="004D5668"/>
    <w:rsid w:val="004E35DC"/>
    <w:rsid w:val="004F6BAD"/>
    <w:rsid w:val="00507932"/>
    <w:rsid w:val="0051052E"/>
    <w:rsid w:val="00514F8C"/>
    <w:rsid w:val="0052037E"/>
    <w:rsid w:val="00523CF4"/>
    <w:rsid w:val="005250EB"/>
    <w:rsid w:val="0052760C"/>
    <w:rsid w:val="00542928"/>
    <w:rsid w:val="005556BC"/>
    <w:rsid w:val="00557F47"/>
    <w:rsid w:val="00560418"/>
    <w:rsid w:val="00561E0B"/>
    <w:rsid w:val="00563E49"/>
    <w:rsid w:val="00575CC8"/>
    <w:rsid w:val="00590751"/>
    <w:rsid w:val="0059208A"/>
    <w:rsid w:val="00593013"/>
    <w:rsid w:val="00594656"/>
    <w:rsid w:val="00594B3D"/>
    <w:rsid w:val="005957DB"/>
    <w:rsid w:val="00595C55"/>
    <w:rsid w:val="005A1B9A"/>
    <w:rsid w:val="005A4FD4"/>
    <w:rsid w:val="005B203D"/>
    <w:rsid w:val="005B3061"/>
    <w:rsid w:val="005B74CE"/>
    <w:rsid w:val="005C451A"/>
    <w:rsid w:val="005C4A2A"/>
    <w:rsid w:val="005D189A"/>
    <w:rsid w:val="005E1880"/>
    <w:rsid w:val="005E20D8"/>
    <w:rsid w:val="005E400F"/>
    <w:rsid w:val="005F006A"/>
    <w:rsid w:val="005F4133"/>
    <w:rsid w:val="006000B0"/>
    <w:rsid w:val="006231D6"/>
    <w:rsid w:val="006437DB"/>
    <w:rsid w:val="006506E6"/>
    <w:rsid w:val="006529F4"/>
    <w:rsid w:val="006560A0"/>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43AC"/>
    <w:rsid w:val="006B75D2"/>
    <w:rsid w:val="006C58FB"/>
    <w:rsid w:val="006D6914"/>
    <w:rsid w:val="006E2307"/>
    <w:rsid w:val="006E71D8"/>
    <w:rsid w:val="006F27F5"/>
    <w:rsid w:val="007000D6"/>
    <w:rsid w:val="007043B9"/>
    <w:rsid w:val="0070589B"/>
    <w:rsid w:val="007059C7"/>
    <w:rsid w:val="00711B4E"/>
    <w:rsid w:val="007131AC"/>
    <w:rsid w:val="00716097"/>
    <w:rsid w:val="00717E7B"/>
    <w:rsid w:val="007203E9"/>
    <w:rsid w:val="00722F6A"/>
    <w:rsid w:val="00730FAC"/>
    <w:rsid w:val="00735E92"/>
    <w:rsid w:val="00740AED"/>
    <w:rsid w:val="00740F8A"/>
    <w:rsid w:val="0074223D"/>
    <w:rsid w:val="00743CDE"/>
    <w:rsid w:val="00744D61"/>
    <w:rsid w:val="007477FB"/>
    <w:rsid w:val="00761E84"/>
    <w:rsid w:val="00782444"/>
    <w:rsid w:val="00783E05"/>
    <w:rsid w:val="00786A3A"/>
    <w:rsid w:val="007A389B"/>
    <w:rsid w:val="007A47E1"/>
    <w:rsid w:val="007B0811"/>
    <w:rsid w:val="007B423B"/>
    <w:rsid w:val="007B7706"/>
    <w:rsid w:val="007C0669"/>
    <w:rsid w:val="007C08AC"/>
    <w:rsid w:val="007C095C"/>
    <w:rsid w:val="007C6D23"/>
    <w:rsid w:val="007C7106"/>
    <w:rsid w:val="007D5809"/>
    <w:rsid w:val="007E2BA1"/>
    <w:rsid w:val="007F1B0B"/>
    <w:rsid w:val="0081131F"/>
    <w:rsid w:val="00813634"/>
    <w:rsid w:val="00815132"/>
    <w:rsid w:val="008218B2"/>
    <w:rsid w:val="008248FE"/>
    <w:rsid w:val="008258A0"/>
    <w:rsid w:val="00833817"/>
    <w:rsid w:val="00836998"/>
    <w:rsid w:val="00845D34"/>
    <w:rsid w:val="00846E32"/>
    <w:rsid w:val="00850860"/>
    <w:rsid w:val="00853299"/>
    <w:rsid w:val="00856D56"/>
    <w:rsid w:val="00866269"/>
    <w:rsid w:val="00866E1A"/>
    <w:rsid w:val="00867C9E"/>
    <w:rsid w:val="00880067"/>
    <w:rsid w:val="008872F1"/>
    <w:rsid w:val="0089121C"/>
    <w:rsid w:val="008958A3"/>
    <w:rsid w:val="008A3A68"/>
    <w:rsid w:val="008A6D75"/>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06B0"/>
    <w:rsid w:val="009311B4"/>
    <w:rsid w:val="00934DF5"/>
    <w:rsid w:val="00940740"/>
    <w:rsid w:val="00940C4D"/>
    <w:rsid w:val="009451A3"/>
    <w:rsid w:val="00947E2D"/>
    <w:rsid w:val="00953406"/>
    <w:rsid w:val="0095383C"/>
    <w:rsid w:val="009547AC"/>
    <w:rsid w:val="00962504"/>
    <w:rsid w:val="009644E6"/>
    <w:rsid w:val="00965E28"/>
    <w:rsid w:val="0097502F"/>
    <w:rsid w:val="00982C08"/>
    <w:rsid w:val="00985C16"/>
    <w:rsid w:val="00986F99"/>
    <w:rsid w:val="009934FE"/>
    <w:rsid w:val="009A2F9E"/>
    <w:rsid w:val="009A51C1"/>
    <w:rsid w:val="009B2502"/>
    <w:rsid w:val="009B58DC"/>
    <w:rsid w:val="009B6413"/>
    <w:rsid w:val="009B7898"/>
    <w:rsid w:val="009C3B63"/>
    <w:rsid w:val="009D37D4"/>
    <w:rsid w:val="009F0030"/>
    <w:rsid w:val="009F3A55"/>
    <w:rsid w:val="00A00CE7"/>
    <w:rsid w:val="00A02438"/>
    <w:rsid w:val="00A06CCA"/>
    <w:rsid w:val="00A1656D"/>
    <w:rsid w:val="00A22BAF"/>
    <w:rsid w:val="00A231D9"/>
    <w:rsid w:val="00A23250"/>
    <w:rsid w:val="00A24965"/>
    <w:rsid w:val="00A34DE7"/>
    <w:rsid w:val="00A44770"/>
    <w:rsid w:val="00A50529"/>
    <w:rsid w:val="00A5344A"/>
    <w:rsid w:val="00A63E9A"/>
    <w:rsid w:val="00A77D39"/>
    <w:rsid w:val="00A85101"/>
    <w:rsid w:val="00A868F0"/>
    <w:rsid w:val="00A87E3E"/>
    <w:rsid w:val="00A903CE"/>
    <w:rsid w:val="00A92CE4"/>
    <w:rsid w:val="00A95389"/>
    <w:rsid w:val="00A956F5"/>
    <w:rsid w:val="00AA3E8E"/>
    <w:rsid w:val="00AB6B32"/>
    <w:rsid w:val="00AC3FBF"/>
    <w:rsid w:val="00AC6E16"/>
    <w:rsid w:val="00AC7361"/>
    <w:rsid w:val="00AD38C4"/>
    <w:rsid w:val="00AD78C6"/>
    <w:rsid w:val="00AE42DA"/>
    <w:rsid w:val="00AE4C19"/>
    <w:rsid w:val="00AE535B"/>
    <w:rsid w:val="00AF0CC1"/>
    <w:rsid w:val="00AF7C22"/>
    <w:rsid w:val="00B01E0C"/>
    <w:rsid w:val="00B0446D"/>
    <w:rsid w:val="00B06F75"/>
    <w:rsid w:val="00B163F4"/>
    <w:rsid w:val="00B23C80"/>
    <w:rsid w:val="00B24A02"/>
    <w:rsid w:val="00B27C0E"/>
    <w:rsid w:val="00B31964"/>
    <w:rsid w:val="00B33112"/>
    <w:rsid w:val="00B3691B"/>
    <w:rsid w:val="00B4515B"/>
    <w:rsid w:val="00B46863"/>
    <w:rsid w:val="00B50D53"/>
    <w:rsid w:val="00B510E5"/>
    <w:rsid w:val="00B54A0B"/>
    <w:rsid w:val="00B56214"/>
    <w:rsid w:val="00B614A4"/>
    <w:rsid w:val="00B700D7"/>
    <w:rsid w:val="00B712A7"/>
    <w:rsid w:val="00B72238"/>
    <w:rsid w:val="00B83E98"/>
    <w:rsid w:val="00B862DB"/>
    <w:rsid w:val="00B95D25"/>
    <w:rsid w:val="00BA2863"/>
    <w:rsid w:val="00BB1AE2"/>
    <w:rsid w:val="00BB2E22"/>
    <w:rsid w:val="00BB6A95"/>
    <w:rsid w:val="00BC0531"/>
    <w:rsid w:val="00BC5172"/>
    <w:rsid w:val="00BC7756"/>
    <w:rsid w:val="00BD2C5A"/>
    <w:rsid w:val="00BD63A0"/>
    <w:rsid w:val="00BD6A09"/>
    <w:rsid w:val="00BF736E"/>
    <w:rsid w:val="00C0210E"/>
    <w:rsid w:val="00C12593"/>
    <w:rsid w:val="00C16E95"/>
    <w:rsid w:val="00C22E04"/>
    <w:rsid w:val="00C23C04"/>
    <w:rsid w:val="00C242F2"/>
    <w:rsid w:val="00C315FC"/>
    <w:rsid w:val="00C317FB"/>
    <w:rsid w:val="00C36FD4"/>
    <w:rsid w:val="00C40C02"/>
    <w:rsid w:val="00C43DF3"/>
    <w:rsid w:val="00C449EC"/>
    <w:rsid w:val="00C467F2"/>
    <w:rsid w:val="00C53F03"/>
    <w:rsid w:val="00C574F3"/>
    <w:rsid w:val="00C63A41"/>
    <w:rsid w:val="00C65680"/>
    <w:rsid w:val="00C65D7F"/>
    <w:rsid w:val="00C83D0E"/>
    <w:rsid w:val="00C87622"/>
    <w:rsid w:val="00C91687"/>
    <w:rsid w:val="00CA3666"/>
    <w:rsid w:val="00CA696D"/>
    <w:rsid w:val="00CC1C96"/>
    <w:rsid w:val="00CE2A61"/>
    <w:rsid w:val="00CE58B2"/>
    <w:rsid w:val="00CF01E6"/>
    <w:rsid w:val="00CF1FE2"/>
    <w:rsid w:val="00CF64B5"/>
    <w:rsid w:val="00D05B67"/>
    <w:rsid w:val="00D06049"/>
    <w:rsid w:val="00D155AE"/>
    <w:rsid w:val="00D16C41"/>
    <w:rsid w:val="00D35A9B"/>
    <w:rsid w:val="00D517EB"/>
    <w:rsid w:val="00D5409B"/>
    <w:rsid w:val="00D56F7B"/>
    <w:rsid w:val="00D57D76"/>
    <w:rsid w:val="00D635C0"/>
    <w:rsid w:val="00D6369A"/>
    <w:rsid w:val="00D65E5A"/>
    <w:rsid w:val="00D678FB"/>
    <w:rsid w:val="00D8050D"/>
    <w:rsid w:val="00D8081A"/>
    <w:rsid w:val="00D83865"/>
    <w:rsid w:val="00D86E33"/>
    <w:rsid w:val="00D929AA"/>
    <w:rsid w:val="00DA582B"/>
    <w:rsid w:val="00DA60BE"/>
    <w:rsid w:val="00DA6F10"/>
    <w:rsid w:val="00DA768C"/>
    <w:rsid w:val="00DB437F"/>
    <w:rsid w:val="00DB45B9"/>
    <w:rsid w:val="00DB56AB"/>
    <w:rsid w:val="00DB6331"/>
    <w:rsid w:val="00DC02EE"/>
    <w:rsid w:val="00DC2D52"/>
    <w:rsid w:val="00DC3228"/>
    <w:rsid w:val="00DC35A8"/>
    <w:rsid w:val="00DC576A"/>
    <w:rsid w:val="00DD280F"/>
    <w:rsid w:val="00DE3907"/>
    <w:rsid w:val="00E03F8D"/>
    <w:rsid w:val="00E10397"/>
    <w:rsid w:val="00E20257"/>
    <w:rsid w:val="00E27F78"/>
    <w:rsid w:val="00E32C81"/>
    <w:rsid w:val="00E50500"/>
    <w:rsid w:val="00E515F8"/>
    <w:rsid w:val="00E53FDC"/>
    <w:rsid w:val="00E6063B"/>
    <w:rsid w:val="00E6461E"/>
    <w:rsid w:val="00E653CC"/>
    <w:rsid w:val="00E6755C"/>
    <w:rsid w:val="00E75826"/>
    <w:rsid w:val="00E758B3"/>
    <w:rsid w:val="00EA28A2"/>
    <w:rsid w:val="00EA4196"/>
    <w:rsid w:val="00EA5086"/>
    <w:rsid w:val="00EA5D08"/>
    <w:rsid w:val="00EB26C4"/>
    <w:rsid w:val="00EC23F1"/>
    <w:rsid w:val="00ED543E"/>
    <w:rsid w:val="00EE119F"/>
    <w:rsid w:val="00EE21ED"/>
    <w:rsid w:val="00EF2DDC"/>
    <w:rsid w:val="00F0078E"/>
    <w:rsid w:val="00F02C4D"/>
    <w:rsid w:val="00F04209"/>
    <w:rsid w:val="00F143BD"/>
    <w:rsid w:val="00F2271C"/>
    <w:rsid w:val="00F333E2"/>
    <w:rsid w:val="00F346C9"/>
    <w:rsid w:val="00F3592D"/>
    <w:rsid w:val="00F37895"/>
    <w:rsid w:val="00F43667"/>
    <w:rsid w:val="00F44D5D"/>
    <w:rsid w:val="00F47EDB"/>
    <w:rsid w:val="00F53711"/>
    <w:rsid w:val="00F53D72"/>
    <w:rsid w:val="00F55139"/>
    <w:rsid w:val="00F609DC"/>
    <w:rsid w:val="00F61D2F"/>
    <w:rsid w:val="00F62E0C"/>
    <w:rsid w:val="00F672E9"/>
    <w:rsid w:val="00F762D0"/>
    <w:rsid w:val="00F83EB4"/>
    <w:rsid w:val="00F861AE"/>
    <w:rsid w:val="00F967D7"/>
    <w:rsid w:val="00FA3513"/>
    <w:rsid w:val="00FA54A1"/>
    <w:rsid w:val="00FA7018"/>
    <w:rsid w:val="00FB2397"/>
    <w:rsid w:val="00FB3B49"/>
    <w:rsid w:val="00FC5883"/>
    <w:rsid w:val="00FD04DB"/>
    <w:rsid w:val="00FD39A0"/>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G"/><Relationship Id="rId26" Type="http://schemas.openxmlformats.org/officeDocument/2006/relationships/diagramData" Target="diagrams/data1.xml"/><Relationship Id="rId21" Type="http://schemas.openxmlformats.org/officeDocument/2006/relationships/hyperlink" Target="https://www.gov.uk/government/publications/multi-agency-public-protection-arrangements-review" TargetMode="External"/><Relationship Id="rId34"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oter" Target="footer7.xml"/><Relationship Id="rId33" Type="http://schemas.openxmlformats.org/officeDocument/2006/relationships/image" Target="media/image7.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footer" Target="footer4.xml"/><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footer" Target="footer5.xml"/><Relationship Id="rId28" Type="http://schemas.openxmlformats.org/officeDocument/2006/relationships/diagramQuickStyle" Target="diagrams/quickStyle1.xml"/><Relationship Id="rId36" Type="http://schemas.openxmlformats.org/officeDocument/2006/relationships/image" Target="cid:image003.jpg@01D8DA2E.2975DAD0" TargetMode="External"/><Relationship Id="rId10" Type="http://schemas.openxmlformats.org/officeDocument/2006/relationships/endnotes" Target="endnotes.xml"/><Relationship Id="rId19" Type="http://schemas.openxmlformats.org/officeDocument/2006/relationships/image" Target="media/image6.JPG"/><Relationship Id="rId31"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www.gov.uk"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image" Target="media/image9.jpeg"/><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62807C-003D-4635-8C43-4A5D53A69CE9}"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US"/>
        </a:p>
      </dgm:t>
    </dgm:pt>
    <dgm:pt modelId="{A37E1D17-0AA5-4F1B-BF24-BD751BE30739}">
      <dgm:prSet phldrT="[Text]" custT="1"/>
      <dgm:spPr>
        <a:solidFill>
          <a:srgbClr val="7030A0"/>
        </a:solidFill>
      </dgm:spPr>
      <dgm:t>
        <a:bodyPr/>
        <a:lstStyle/>
        <a:p>
          <a:r>
            <a:rPr lang="en-GB" sz="2000"/>
            <a:t>Key Objectives for 2022 / 2024</a:t>
          </a:r>
          <a:endParaRPr lang="en-US" sz="2000"/>
        </a:p>
      </dgm:t>
    </dgm:pt>
    <dgm:pt modelId="{CD81D29D-9D3A-4A89-A858-ED4D381D7460}" type="parTrans" cxnId="{10C45FA8-E4FC-4117-9298-96281F1C7923}">
      <dgm:prSet/>
      <dgm:spPr/>
      <dgm:t>
        <a:bodyPr/>
        <a:lstStyle/>
        <a:p>
          <a:endParaRPr lang="en-US"/>
        </a:p>
      </dgm:t>
    </dgm:pt>
    <dgm:pt modelId="{7C52416B-499E-41D2-890E-BA60274F130B}" type="sibTrans" cxnId="{10C45FA8-E4FC-4117-9298-96281F1C7923}">
      <dgm:prSet/>
      <dgm:spPr/>
      <dgm:t>
        <a:bodyPr/>
        <a:lstStyle/>
        <a:p>
          <a:endParaRPr lang="en-US"/>
        </a:p>
      </dgm:t>
    </dgm:pt>
    <dgm:pt modelId="{047E20E6-10BE-4C9D-AB75-CF368D3276E4}">
      <dgm:prSet phldrT="[Text]" custT="1"/>
      <dgm:spPr>
        <a:solidFill>
          <a:srgbClr val="7030A0"/>
        </a:solidFill>
      </dgm:spPr>
      <dgm:t>
        <a:bodyPr/>
        <a:lstStyle/>
        <a:p>
          <a:r>
            <a:rPr lang="en-GB" sz="1200"/>
            <a:t>Ensure that recommendations from the research and the joint HMIP inspection are implemented</a:t>
          </a:r>
          <a:endParaRPr lang="en-US" sz="1200"/>
        </a:p>
      </dgm:t>
    </dgm:pt>
    <dgm:pt modelId="{07ECBD63-3B84-47E4-9DA5-878557102E10}" type="parTrans" cxnId="{EF65CFE4-ED7E-471C-B891-204920A6BB8E}">
      <dgm:prSet/>
      <dgm:spPr/>
      <dgm:t>
        <a:bodyPr/>
        <a:lstStyle/>
        <a:p>
          <a:endParaRPr lang="en-US"/>
        </a:p>
      </dgm:t>
    </dgm:pt>
    <dgm:pt modelId="{7FFF3BE6-24F2-499B-8E40-B773AEDC2D10}" type="sibTrans" cxnId="{EF65CFE4-ED7E-471C-B891-204920A6BB8E}">
      <dgm:prSet/>
      <dgm:spPr/>
      <dgm:t>
        <a:bodyPr/>
        <a:lstStyle/>
        <a:p>
          <a:endParaRPr lang="en-US"/>
        </a:p>
      </dgm:t>
    </dgm:pt>
    <dgm:pt modelId="{3F6334BF-53C4-4D2B-BB1A-012D74D15C06}">
      <dgm:prSet phldrT="[Text]" custT="1"/>
      <dgm:spPr>
        <a:solidFill>
          <a:srgbClr val="7030A0"/>
        </a:solidFill>
      </dgm:spPr>
      <dgm:t>
        <a:bodyPr/>
        <a:lstStyle/>
        <a:p>
          <a:r>
            <a:rPr lang="en-GB" sz="1050"/>
            <a:t>MAPPA continuous Improvement - disseminate all local &amp; national training material and all learning from Quality Assurance Audits</a:t>
          </a:r>
          <a:endParaRPr lang="en-US" sz="1050"/>
        </a:p>
      </dgm:t>
    </dgm:pt>
    <dgm:pt modelId="{835B1443-EB9B-48F3-A6B6-BB8E0506001E}" type="parTrans" cxnId="{9BF97F17-D3C1-48AC-9A72-444E11B21806}">
      <dgm:prSet/>
      <dgm:spPr/>
      <dgm:t>
        <a:bodyPr/>
        <a:lstStyle/>
        <a:p>
          <a:endParaRPr lang="en-US"/>
        </a:p>
      </dgm:t>
    </dgm:pt>
    <dgm:pt modelId="{68D34EF5-9F86-4947-A596-0B95FFA8513F}" type="sibTrans" cxnId="{9BF97F17-D3C1-48AC-9A72-444E11B21806}">
      <dgm:prSet/>
      <dgm:spPr/>
      <dgm:t>
        <a:bodyPr/>
        <a:lstStyle/>
        <a:p>
          <a:endParaRPr lang="en-US"/>
        </a:p>
      </dgm:t>
    </dgm:pt>
    <dgm:pt modelId="{82FBDC8D-8883-42E5-B558-E0527FCB3B39}">
      <dgm:prSet phldrT="[Text]"/>
      <dgm:spPr>
        <a:solidFill>
          <a:srgbClr val="7030A0"/>
        </a:solidFill>
      </dgm:spPr>
      <dgm:t>
        <a:bodyPr/>
        <a:lstStyle/>
        <a:p>
          <a:r>
            <a:rPr lang="en-GB" sz="1200" b="1"/>
            <a:t>Improve practice in relation to domestic abuse and MAPPA.</a:t>
          </a:r>
          <a:endParaRPr lang="en-US" sz="1200" b="1"/>
        </a:p>
        <a:p>
          <a:r>
            <a:rPr lang="en-GB" sz="1200"/>
            <a:t>All relevant RA &amp; DTC to be aware of MAPPA Guidance in relation to domestic abuse and stalking. </a:t>
          </a:r>
          <a:endParaRPr lang="en-US" sz="1200"/>
        </a:p>
      </dgm:t>
    </dgm:pt>
    <dgm:pt modelId="{56C2289B-1E2D-4D96-8421-4706635E7859}" type="parTrans" cxnId="{2DD27600-7AF6-4BFB-9AFF-FF669042F5E8}">
      <dgm:prSet/>
      <dgm:spPr/>
      <dgm:t>
        <a:bodyPr/>
        <a:lstStyle/>
        <a:p>
          <a:endParaRPr lang="en-US"/>
        </a:p>
      </dgm:t>
    </dgm:pt>
    <dgm:pt modelId="{5A18F9B9-349E-449C-9CB7-B9752C06EEB9}" type="sibTrans" cxnId="{2DD27600-7AF6-4BFB-9AFF-FF669042F5E8}">
      <dgm:prSet/>
      <dgm:spPr/>
      <dgm:t>
        <a:bodyPr/>
        <a:lstStyle/>
        <a:p>
          <a:endParaRPr lang="en-US"/>
        </a:p>
      </dgm:t>
    </dgm:pt>
    <dgm:pt modelId="{F4A1CB12-EC95-44B6-AAAE-44C8D13A5933}">
      <dgm:prSet phldrT="[Text]" custT="1"/>
      <dgm:spPr>
        <a:solidFill>
          <a:srgbClr val="7030A0"/>
        </a:solidFill>
      </dgm:spPr>
      <dgm:t>
        <a:bodyPr/>
        <a:lstStyle/>
        <a:p>
          <a:r>
            <a:rPr lang="en-GB" sz="1200"/>
            <a:t>Support ViSOR roll out in NPS working to national business model</a:t>
          </a:r>
          <a:endParaRPr lang="en-US" sz="1200"/>
        </a:p>
      </dgm:t>
    </dgm:pt>
    <dgm:pt modelId="{AFF3F772-904E-485F-A2DD-E0142F743000}" type="parTrans" cxnId="{FC0882DE-169C-4393-90FD-FB600285B289}">
      <dgm:prSet/>
      <dgm:spPr/>
      <dgm:t>
        <a:bodyPr/>
        <a:lstStyle/>
        <a:p>
          <a:endParaRPr lang="en-US"/>
        </a:p>
      </dgm:t>
    </dgm:pt>
    <dgm:pt modelId="{22F0BBD5-3A2F-4D62-9B87-6A748A6C250E}" type="sibTrans" cxnId="{FC0882DE-169C-4393-90FD-FB600285B289}">
      <dgm:prSet/>
      <dgm:spPr/>
      <dgm:t>
        <a:bodyPr/>
        <a:lstStyle/>
        <a:p>
          <a:endParaRPr lang="en-US"/>
        </a:p>
      </dgm:t>
    </dgm:pt>
    <dgm:pt modelId="{7C068418-DE13-4E9A-84E9-7FB03C5642F0}">
      <dgm:prSet phldrT="[Text]" phldr="1"/>
      <dgm:spPr/>
      <dgm:t>
        <a:bodyPr/>
        <a:lstStyle/>
        <a:p>
          <a:endParaRPr lang="en-US"/>
        </a:p>
      </dgm:t>
    </dgm:pt>
    <dgm:pt modelId="{EA196103-0058-4FA6-A043-6E25864244F8}" type="parTrans" cxnId="{9D68D541-E053-4CA2-8901-C76659C21017}">
      <dgm:prSet/>
      <dgm:spPr/>
      <dgm:t>
        <a:bodyPr/>
        <a:lstStyle/>
        <a:p>
          <a:endParaRPr lang="en-US"/>
        </a:p>
      </dgm:t>
    </dgm:pt>
    <dgm:pt modelId="{5602BF40-54B1-4C9D-AD57-B3D10CEC6CDA}" type="sibTrans" cxnId="{9D68D541-E053-4CA2-8901-C76659C21017}">
      <dgm:prSet/>
      <dgm:spPr/>
      <dgm:t>
        <a:bodyPr/>
        <a:lstStyle/>
        <a:p>
          <a:endParaRPr lang="en-US"/>
        </a:p>
      </dgm:t>
    </dgm:pt>
    <dgm:pt modelId="{90A6C142-F30B-4318-B5D9-BAE2564DC9B4}">
      <dgm:prSet phldrT="[Text]" phldr="1"/>
      <dgm:spPr/>
      <dgm:t>
        <a:bodyPr/>
        <a:lstStyle/>
        <a:p>
          <a:endParaRPr lang="en-US"/>
        </a:p>
      </dgm:t>
    </dgm:pt>
    <dgm:pt modelId="{0CD909A9-DA6A-4E54-9F8F-6A2708B3FAA2}" type="parTrans" cxnId="{8EB4CD7D-E6FA-4A8B-B109-92D5C184C797}">
      <dgm:prSet/>
      <dgm:spPr/>
      <dgm:t>
        <a:bodyPr/>
        <a:lstStyle/>
        <a:p>
          <a:endParaRPr lang="en-US"/>
        </a:p>
      </dgm:t>
    </dgm:pt>
    <dgm:pt modelId="{E7A1524F-D175-4F09-82DD-985FFA52B9A5}" type="sibTrans" cxnId="{8EB4CD7D-E6FA-4A8B-B109-92D5C184C797}">
      <dgm:prSet/>
      <dgm:spPr/>
      <dgm:t>
        <a:bodyPr/>
        <a:lstStyle/>
        <a:p>
          <a:endParaRPr lang="en-US"/>
        </a:p>
      </dgm:t>
    </dgm:pt>
    <dgm:pt modelId="{7EC39A0B-47D4-4414-AB89-71D19E073187}">
      <dgm:prSet custT="1"/>
      <dgm:spPr>
        <a:solidFill>
          <a:srgbClr val="7030A0"/>
        </a:solidFill>
      </dgm:spPr>
      <dgm:t>
        <a:bodyPr/>
        <a:lstStyle/>
        <a:p>
          <a:r>
            <a:rPr lang="en-GB" sz="1400"/>
            <a:t>Promote the use of the MAPPA website  </a:t>
          </a:r>
          <a:r>
            <a:rPr lang="en-GB" sz="1000" b="1">
              <a:solidFill>
                <a:schemeClr val="bg1"/>
              </a:solidFill>
            </a:rPr>
            <a:t>https://mappa.justice.gov.uk</a:t>
          </a:r>
        </a:p>
      </dgm:t>
    </dgm:pt>
    <dgm:pt modelId="{36C53325-AF8D-4D07-B2E2-7AC2CEC0E42A}" type="parTrans" cxnId="{17B951AF-0A38-47B3-B075-BB36D5ED437F}">
      <dgm:prSet/>
      <dgm:spPr/>
      <dgm:t>
        <a:bodyPr/>
        <a:lstStyle/>
        <a:p>
          <a:endParaRPr lang="en-US"/>
        </a:p>
      </dgm:t>
    </dgm:pt>
    <dgm:pt modelId="{9779CE60-8F01-4832-A4F1-A020964B828F}" type="sibTrans" cxnId="{17B951AF-0A38-47B3-B075-BB36D5ED437F}">
      <dgm:prSet/>
      <dgm:spPr/>
      <dgm:t>
        <a:bodyPr/>
        <a:lstStyle/>
        <a:p>
          <a:endParaRPr lang="en-US"/>
        </a:p>
      </dgm:t>
    </dgm:pt>
    <dgm:pt modelId="{B7878767-CEAB-406F-8D9C-D721117813B7}">
      <dgm:prSet custT="1"/>
      <dgm:spPr>
        <a:solidFill>
          <a:srgbClr val="7030A0"/>
        </a:solidFill>
      </dgm:spPr>
      <dgm:t>
        <a:bodyPr/>
        <a:lstStyle/>
        <a:p>
          <a:r>
            <a:rPr lang="en-GB" sz="1200"/>
            <a:t>Ensure the welfare of Children and Adults at Risk is embedded into MAPPA</a:t>
          </a:r>
        </a:p>
        <a:p>
          <a:endParaRPr lang="en-GB" sz="1200"/>
        </a:p>
      </dgm:t>
    </dgm:pt>
    <dgm:pt modelId="{37C16B6C-893F-45D7-B735-215F9CAAFF0F}" type="parTrans" cxnId="{215CEF76-15E2-4C05-A378-D3E0504FA75E}">
      <dgm:prSet/>
      <dgm:spPr/>
      <dgm:t>
        <a:bodyPr/>
        <a:lstStyle/>
        <a:p>
          <a:endParaRPr lang="en-US"/>
        </a:p>
      </dgm:t>
    </dgm:pt>
    <dgm:pt modelId="{629FBF3B-AAE2-4734-9A75-D4829ECB5D97}" type="sibTrans" cxnId="{215CEF76-15E2-4C05-A378-D3E0504FA75E}">
      <dgm:prSet/>
      <dgm:spPr/>
      <dgm:t>
        <a:bodyPr/>
        <a:lstStyle/>
        <a:p>
          <a:endParaRPr lang="en-US"/>
        </a:p>
      </dgm:t>
    </dgm:pt>
    <dgm:pt modelId="{3EE64C96-6CAC-4D90-BBA8-B3960E4A03D8}" type="pres">
      <dgm:prSet presAssocID="{A262807C-003D-4635-8C43-4A5D53A69CE9}" presName="Name0" presStyleCnt="0">
        <dgm:presLayoutVars>
          <dgm:chMax val="1"/>
          <dgm:chPref val="1"/>
          <dgm:dir/>
          <dgm:animOne val="branch"/>
          <dgm:animLvl val="lvl"/>
        </dgm:presLayoutVars>
      </dgm:prSet>
      <dgm:spPr/>
    </dgm:pt>
    <dgm:pt modelId="{C4ED714C-2428-446F-9016-3F3A78001DE6}" type="pres">
      <dgm:prSet presAssocID="{A37E1D17-0AA5-4F1B-BF24-BD751BE30739}" presName="Parent" presStyleLbl="node0" presStyleIdx="0" presStyleCnt="1" custLinFactNeighborX="1616" custLinFactNeighborY="2800">
        <dgm:presLayoutVars>
          <dgm:chMax val="6"/>
          <dgm:chPref val="6"/>
        </dgm:presLayoutVars>
      </dgm:prSet>
      <dgm:spPr/>
    </dgm:pt>
    <dgm:pt modelId="{2A643B13-EB3D-4001-ACEA-7CFA305558AC}" type="pres">
      <dgm:prSet presAssocID="{047E20E6-10BE-4C9D-AB75-CF368D3276E4}" presName="Accent1" presStyleCnt="0"/>
      <dgm:spPr/>
    </dgm:pt>
    <dgm:pt modelId="{0FA54384-43F8-4B4A-9771-83A5762A95FD}" type="pres">
      <dgm:prSet presAssocID="{047E20E6-10BE-4C9D-AB75-CF368D3276E4}" presName="Accent" presStyleLbl="bgShp" presStyleIdx="0" presStyleCnt="6"/>
      <dgm:spPr/>
    </dgm:pt>
    <dgm:pt modelId="{2E30D6FE-797C-427B-8189-1ADC26A164B6}" type="pres">
      <dgm:prSet presAssocID="{047E20E6-10BE-4C9D-AB75-CF368D3276E4}" presName="Child1" presStyleLbl="node1" presStyleIdx="0" presStyleCnt="6">
        <dgm:presLayoutVars>
          <dgm:chMax val="0"/>
          <dgm:chPref val="0"/>
          <dgm:bulletEnabled val="1"/>
        </dgm:presLayoutVars>
      </dgm:prSet>
      <dgm:spPr/>
    </dgm:pt>
    <dgm:pt modelId="{CBDC842D-A459-4BB2-9099-0894DEB1A43C}" type="pres">
      <dgm:prSet presAssocID="{3F6334BF-53C4-4D2B-BB1A-012D74D15C06}" presName="Accent2" presStyleCnt="0"/>
      <dgm:spPr/>
    </dgm:pt>
    <dgm:pt modelId="{D44522C1-AC0C-4522-8BD9-22ABD2705285}" type="pres">
      <dgm:prSet presAssocID="{3F6334BF-53C4-4D2B-BB1A-012D74D15C06}" presName="Accent" presStyleLbl="bgShp" presStyleIdx="1" presStyleCnt="6"/>
      <dgm:spPr>
        <a:solidFill>
          <a:schemeClr val="bg1">
            <a:lumMod val="65000"/>
          </a:schemeClr>
        </a:solidFill>
      </dgm:spPr>
    </dgm:pt>
    <dgm:pt modelId="{21F14794-479D-4F29-B14D-B3D4046444C1}" type="pres">
      <dgm:prSet presAssocID="{3F6334BF-53C4-4D2B-BB1A-012D74D15C06}" presName="Child2" presStyleLbl="node1" presStyleIdx="1" presStyleCnt="6">
        <dgm:presLayoutVars>
          <dgm:chMax val="0"/>
          <dgm:chPref val="0"/>
          <dgm:bulletEnabled val="1"/>
        </dgm:presLayoutVars>
      </dgm:prSet>
      <dgm:spPr/>
    </dgm:pt>
    <dgm:pt modelId="{47D38398-F832-40D4-AD04-B96ACEE74809}" type="pres">
      <dgm:prSet presAssocID="{82FBDC8D-8883-42E5-B558-E0527FCB3B39}" presName="Accent3" presStyleCnt="0"/>
      <dgm:spPr/>
    </dgm:pt>
    <dgm:pt modelId="{A215234D-6ABB-45E2-A07A-53A809F40A0F}" type="pres">
      <dgm:prSet presAssocID="{82FBDC8D-8883-42E5-B558-E0527FCB3B39}" presName="Accent" presStyleLbl="bgShp" presStyleIdx="2" presStyleCnt="6"/>
      <dgm:spPr>
        <a:solidFill>
          <a:schemeClr val="bg1">
            <a:lumMod val="65000"/>
          </a:schemeClr>
        </a:solidFill>
      </dgm:spPr>
    </dgm:pt>
    <dgm:pt modelId="{606B79A5-A404-44DB-AA99-73C6F0614985}" type="pres">
      <dgm:prSet presAssocID="{82FBDC8D-8883-42E5-B558-E0527FCB3B39}" presName="Child3" presStyleLbl="node1" presStyleIdx="2" presStyleCnt="6">
        <dgm:presLayoutVars>
          <dgm:chMax val="0"/>
          <dgm:chPref val="0"/>
          <dgm:bulletEnabled val="1"/>
        </dgm:presLayoutVars>
      </dgm:prSet>
      <dgm:spPr/>
    </dgm:pt>
    <dgm:pt modelId="{D1FA9573-086A-4E86-8D0F-B4AF24CF4AC6}" type="pres">
      <dgm:prSet presAssocID="{F4A1CB12-EC95-44B6-AAAE-44C8D13A5933}" presName="Accent4" presStyleCnt="0"/>
      <dgm:spPr/>
    </dgm:pt>
    <dgm:pt modelId="{C6BE67F4-B5AC-44CA-A70D-8AF81BEF42B5}" type="pres">
      <dgm:prSet presAssocID="{F4A1CB12-EC95-44B6-AAAE-44C8D13A5933}" presName="Accent" presStyleLbl="bgShp" presStyleIdx="3" presStyleCnt="6"/>
      <dgm:spPr>
        <a:solidFill>
          <a:schemeClr val="bg1">
            <a:lumMod val="65000"/>
          </a:schemeClr>
        </a:solidFill>
      </dgm:spPr>
    </dgm:pt>
    <dgm:pt modelId="{7C724C3F-2BB2-4721-A6C9-E9B4A0703937}" type="pres">
      <dgm:prSet presAssocID="{F4A1CB12-EC95-44B6-AAAE-44C8D13A5933}" presName="Child4" presStyleLbl="node1" presStyleIdx="3" presStyleCnt="6" custLinFactNeighborX="-1244" custLinFactNeighborY="-1078">
        <dgm:presLayoutVars>
          <dgm:chMax val="0"/>
          <dgm:chPref val="0"/>
          <dgm:bulletEnabled val="1"/>
        </dgm:presLayoutVars>
      </dgm:prSet>
      <dgm:spPr/>
    </dgm:pt>
    <dgm:pt modelId="{BD7CAE16-F344-48F3-9B81-47E72FF49EE4}" type="pres">
      <dgm:prSet presAssocID="{B7878767-CEAB-406F-8D9C-D721117813B7}" presName="Accent5" presStyleCnt="0"/>
      <dgm:spPr/>
    </dgm:pt>
    <dgm:pt modelId="{BA97C8FD-DD38-4F6F-8A63-67CCE9A0AEE1}" type="pres">
      <dgm:prSet presAssocID="{B7878767-CEAB-406F-8D9C-D721117813B7}" presName="Accent" presStyleLbl="bgShp" presStyleIdx="4" presStyleCnt="6"/>
      <dgm:spPr>
        <a:solidFill>
          <a:schemeClr val="bg1">
            <a:lumMod val="65000"/>
          </a:schemeClr>
        </a:solidFill>
      </dgm:spPr>
    </dgm:pt>
    <dgm:pt modelId="{A09E7D19-A865-493D-B911-A60EF44F2CE5}" type="pres">
      <dgm:prSet presAssocID="{B7878767-CEAB-406F-8D9C-D721117813B7}" presName="Child5" presStyleLbl="node1" presStyleIdx="4" presStyleCnt="6">
        <dgm:presLayoutVars>
          <dgm:chMax val="0"/>
          <dgm:chPref val="0"/>
          <dgm:bulletEnabled val="1"/>
        </dgm:presLayoutVars>
      </dgm:prSet>
      <dgm:spPr/>
    </dgm:pt>
    <dgm:pt modelId="{CD539802-09E0-4102-8333-92EF2CE82EE8}" type="pres">
      <dgm:prSet presAssocID="{7EC39A0B-47D4-4414-AB89-71D19E073187}" presName="Accent6" presStyleCnt="0"/>
      <dgm:spPr/>
    </dgm:pt>
    <dgm:pt modelId="{6AA6D4C5-1EA2-47EF-A5FB-9C25E03A5CE9}" type="pres">
      <dgm:prSet presAssocID="{7EC39A0B-47D4-4414-AB89-71D19E073187}" presName="Accent" presStyleLbl="bgShp" presStyleIdx="5" presStyleCnt="6" custLinFactNeighborX="1351" custLinFactNeighborY="-3135"/>
      <dgm:spPr>
        <a:solidFill>
          <a:schemeClr val="bg1">
            <a:lumMod val="65000"/>
          </a:schemeClr>
        </a:solidFill>
      </dgm:spPr>
    </dgm:pt>
    <dgm:pt modelId="{41268968-5D54-41AC-8806-DA221286C850}" type="pres">
      <dgm:prSet presAssocID="{7EC39A0B-47D4-4414-AB89-71D19E073187}" presName="Child6" presStyleLbl="node1" presStyleIdx="5" presStyleCnt="6" custLinFactNeighborY="-4990">
        <dgm:presLayoutVars>
          <dgm:chMax val="0"/>
          <dgm:chPref val="0"/>
          <dgm:bulletEnabled val="1"/>
        </dgm:presLayoutVars>
      </dgm:prSet>
      <dgm:spPr/>
    </dgm:pt>
  </dgm:ptLst>
  <dgm:cxnLst>
    <dgm:cxn modelId="{2DD27600-7AF6-4BFB-9AFF-FF669042F5E8}" srcId="{A37E1D17-0AA5-4F1B-BF24-BD751BE30739}" destId="{82FBDC8D-8883-42E5-B558-E0527FCB3B39}" srcOrd="2" destOrd="0" parTransId="{56C2289B-1E2D-4D96-8421-4706635E7859}" sibTransId="{5A18F9B9-349E-449C-9CB7-B9752C06EEB9}"/>
    <dgm:cxn modelId="{9BF97F17-D3C1-48AC-9A72-444E11B21806}" srcId="{A37E1D17-0AA5-4F1B-BF24-BD751BE30739}" destId="{3F6334BF-53C4-4D2B-BB1A-012D74D15C06}" srcOrd="1" destOrd="0" parTransId="{835B1443-EB9B-48F3-A6B6-BB8E0506001E}" sibTransId="{68D34EF5-9F86-4947-A596-0B95FFA8513F}"/>
    <dgm:cxn modelId="{097F293F-9C59-4674-B87C-E31E800D76AE}" type="presOf" srcId="{3F6334BF-53C4-4D2B-BB1A-012D74D15C06}" destId="{21F14794-479D-4F29-B14D-B3D4046444C1}" srcOrd="0" destOrd="0" presId="urn:microsoft.com/office/officeart/2011/layout/HexagonRadial"/>
    <dgm:cxn modelId="{9D68D541-E053-4CA2-8901-C76659C21017}" srcId="{A37E1D17-0AA5-4F1B-BF24-BD751BE30739}" destId="{7C068418-DE13-4E9A-84E9-7FB03C5642F0}" srcOrd="6" destOrd="0" parTransId="{EA196103-0058-4FA6-A043-6E25864244F8}" sibTransId="{5602BF40-54B1-4C9D-AD57-B3D10CEC6CDA}"/>
    <dgm:cxn modelId="{198C4C6A-6CBA-4738-B4DC-5EC0BB10680F}" type="presOf" srcId="{82FBDC8D-8883-42E5-B558-E0527FCB3B39}" destId="{606B79A5-A404-44DB-AA99-73C6F0614985}" srcOrd="0" destOrd="0" presId="urn:microsoft.com/office/officeart/2011/layout/HexagonRadial"/>
    <dgm:cxn modelId="{61762F4C-315C-45BF-BF01-2501539D9C1E}" type="presOf" srcId="{A262807C-003D-4635-8C43-4A5D53A69CE9}" destId="{3EE64C96-6CAC-4D90-BBA8-B3960E4A03D8}" srcOrd="0" destOrd="0" presId="urn:microsoft.com/office/officeart/2011/layout/HexagonRadial"/>
    <dgm:cxn modelId="{215CEF76-15E2-4C05-A378-D3E0504FA75E}" srcId="{A37E1D17-0AA5-4F1B-BF24-BD751BE30739}" destId="{B7878767-CEAB-406F-8D9C-D721117813B7}" srcOrd="4" destOrd="0" parTransId="{37C16B6C-893F-45D7-B735-215F9CAAFF0F}" sibTransId="{629FBF3B-AAE2-4734-9A75-D4829ECB5D97}"/>
    <dgm:cxn modelId="{8EB4CD7D-E6FA-4A8B-B109-92D5C184C797}" srcId="{A37E1D17-0AA5-4F1B-BF24-BD751BE30739}" destId="{90A6C142-F30B-4318-B5D9-BAE2564DC9B4}" srcOrd="7" destOrd="0" parTransId="{0CD909A9-DA6A-4E54-9F8F-6A2708B3FAA2}" sibTransId="{E7A1524F-D175-4F09-82DD-985FFA52B9A5}"/>
    <dgm:cxn modelId="{0C724E83-FF35-4F81-8A68-6172BFEB1DA5}" type="presOf" srcId="{F4A1CB12-EC95-44B6-AAAE-44C8D13A5933}" destId="{7C724C3F-2BB2-4721-A6C9-E9B4A0703937}" srcOrd="0" destOrd="0" presId="urn:microsoft.com/office/officeart/2011/layout/HexagonRadial"/>
    <dgm:cxn modelId="{10C45FA8-E4FC-4117-9298-96281F1C7923}" srcId="{A262807C-003D-4635-8C43-4A5D53A69CE9}" destId="{A37E1D17-0AA5-4F1B-BF24-BD751BE30739}" srcOrd="0" destOrd="0" parTransId="{CD81D29D-9D3A-4A89-A858-ED4D381D7460}" sibTransId="{7C52416B-499E-41D2-890E-BA60274F130B}"/>
    <dgm:cxn modelId="{17B951AF-0A38-47B3-B075-BB36D5ED437F}" srcId="{A37E1D17-0AA5-4F1B-BF24-BD751BE30739}" destId="{7EC39A0B-47D4-4414-AB89-71D19E073187}" srcOrd="5" destOrd="0" parTransId="{36C53325-AF8D-4D07-B2E2-7AC2CEC0E42A}" sibTransId="{9779CE60-8F01-4832-A4F1-A020964B828F}"/>
    <dgm:cxn modelId="{087696D8-C5AE-4F23-8DA3-A2693F0C867B}" type="presOf" srcId="{7EC39A0B-47D4-4414-AB89-71D19E073187}" destId="{41268968-5D54-41AC-8806-DA221286C850}" srcOrd="0" destOrd="0" presId="urn:microsoft.com/office/officeart/2011/layout/HexagonRadial"/>
    <dgm:cxn modelId="{C33914DD-33C7-4CC4-AD75-29261BAF58A1}" type="presOf" srcId="{B7878767-CEAB-406F-8D9C-D721117813B7}" destId="{A09E7D19-A865-493D-B911-A60EF44F2CE5}" srcOrd="0" destOrd="0" presId="urn:microsoft.com/office/officeart/2011/layout/HexagonRadial"/>
    <dgm:cxn modelId="{FC0882DE-169C-4393-90FD-FB600285B289}" srcId="{A37E1D17-0AA5-4F1B-BF24-BD751BE30739}" destId="{F4A1CB12-EC95-44B6-AAAE-44C8D13A5933}" srcOrd="3" destOrd="0" parTransId="{AFF3F772-904E-485F-A2DD-E0142F743000}" sibTransId="{22F0BBD5-3A2F-4D62-9B87-6A748A6C250E}"/>
    <dgm:cxn modelId="{3C9A2CE3-7FF6-4A33-AF34-76E186D77F78}" type="presOf" srcId="{047E20E6-10BE-4C9D-AB75-CF368D3276E4}" destId="{2E30D6FE-797C-427B-8189-1ADC26A164B6}" srcOrd="0" destOrd="0" presId="urn:microsoft.com/office/officeart/2011/layout/HexagonRadial"/>
    <dgm:cxn modelId="{EF65CFE4-ED7E-471C-B891-204920A6BB8E}" srcId="{A37E1D17-0AA5-4F1B-BF24-BD751BE30739}" destId="{047E20E6-10BE-4C9D-AB75-CF368D3276E4}" srcOrd="0" destOrd="0" parTransId="{07ECBD63-3B84-47E4-9DA5-878557102E10}" sibTransId="{7FFF3BE6-24F2-499B-8E40-B773AEDC2D10}"/>
    <dgm:cxn modelId="{5311DFF2-FF11-4124-8F5E-049AD1BB7813}" type="presOf" srcId="{A37E1D17-0AA5-4F1B-BF24-BD751BE30739}" destId="{C4ED714C-2428-446F-9016-3F3A78001DE6}" srcOrd="0" destOrd="0" presId="urn:microsoft.com/office/officeart/2011/layout/HexagonRadial"/>
    <dgm:cxn modelId="{C40DECDD-BB32-4382-B2E9-E56A2AE80C78}" type="presParOf" srcId="{3EE64C96-6CAC-4D90-BBA8-B3960E4A03D8}" destId="{C4ED714C-2428-446F-9016-3F3A78001DE6}" srcOrd="0" destOrd="0" presId="urn:microsoft.com/office/officeart/2011/layout/HexagonRadial"/>
    <dgm:cxn modelId="{6524D377-4D5D-4002-8E75-13B71E436BB1}" type="presParOf" srcId="{3EE64C96-6CAC-4D90-BBA8-B3960E4A03D8}" destId="{2A643B13-EB3D-4001-ACEA-7CFA305558AC}" srcOrd="1" destOrd="0" presId="urn:microsoft.com/office/officeart/2011/layout/HexagonRadial"/>
    <dgm:cxn modelId="{F7FDD424-DE27-4EF0-BFFB-5EA14DA60119}" type="presParOf" srcId="{2A643B13-EB3D-4001-ACEA-7CFA305558AC}" destId="{0FA54384-43F8-4B4A-9771-83A5762A95FD}" srcOrd="0" destOrd="0" presId="urn:microsoft.com/office/officeart/2011/layout/HexagonRadial"/>
    <dgm:cxn modelId="{0C0B17AA-AA29-4BC8-A9C0-174B83C4600C}" type="presParOf" srcId="{3EE64C96-6CAC-4D90-BBA8-B3960E4A03D8}" destId="{2E30D6FE-797C-427B-8189-1ADC26A164B6}" srcOrd="2" destOrd="0" presId="urn:microsoft.com/office/officeart/2011/layout/HexagonRadial"/>
    <dgm:cxn modelId="{D3A075FC-F180-4966-8198-C5CF746CD6C0}" type="presParOf" srcId="{3EE64C96-6CAC-4D90-BBA8-B3960E4A03D8}" destId="{CBDC842D-A459-4BB2-9099-0894DEB1A43C}" srcOrd="3" destOrd="0" presId="urn:microsoft.com/office/officeart/2011/layout/HexagonRadial"/>
    <dgm:cxn modelId="{3DCBD9D0-EB8E-4F71-8DCA-1DF9DD5B6E71}" type="presParOf" srcId="{CBDC842D-A459-4BB2-9099-0894DEB1A43C}" destId="{D44522C1-AC0C-4522-8BD9-22ABD2705285}" srcOrd="0" destOrd="0" presId="urn:microsoft.com/office/officeart/2011/layout/HexagonRadial"/>
    <dgm:cxn modelId="{8E5F8133-8952-4DB0-B2B0-FCC9CF266AEB}" type="presParOf" srcId="{3EE64C96-6CAC-4D90-BBA8-B3960E4A03D8}" destId="{21F14794-479D-4F29-B14D-B3D4046444C1}" srcOrd="4" destOrd="0" presId="urn:microsoft.com/office/officeart/2011/layout/HexagonRadial"/>
    <dgm:cxn modelId="{75A164EE-5D95-42F0-BB48-EB806FAF81B9}" type="presParOf" srcId="{3EE64C96-6CAC-4D90-BBA8-B3960E4A03D8}" destId="{47D38398-F832-40D4-AD04-B96ACEE74809}" srcOrd="5" destOrd="0" presId="urn:microsoft.com/office/officeart/2011/layout/HexagonRadial"/>
    <dgm:cxn modelId="{91D03D54-1479-4839-B2A5-C070DFCBA355}" type="presParOf" srcId="{47D38398-F832-40D4-AD04-B96ACEE74809}" destId="{A215234D-6ABB-45E2-A07A-53A809F40A0F}" srcOrd="0" destOrd="0" presId="urn:microsoft.com/office/officeart/2011/layout/HexagonRadial"/>
    <dgm:cxn modelId="{0C79D3F6-A450-4FCB-8559-D325AB3A1430}" type="presParOf" srcId="{3EE64C96-6CAC-4D90-BBA8-B3960E4A03D8}" destId="{606B79A5-A404-44DB-AA99-73C6F0614985}" srcOrd="6" destOrd="0" presId="urn:microsoft.com/office/officeart/2011/layout/HexagonRadial"/>
    <dgm:cxn modelId="{45CB4698-E60D-4305-94BB-783425A95853}" type="presParOf" srcId="{3EE64C96-6CAC-4D90-BBA8-B3960E4A03D8}" destId="{D1FA9573-086A-4E86-8D0F-B4AF24CF4AC6}" srcOrd="7" destOrd="0" presId="urn:microsoft.com/office/officeart/2011/layout/HexagonRadial"/>
    <dgm:cxn modelId="{8257D8B6-D689-4B10-99A5-44729DEA2110}" type="presParOf" srcId="{D1FA9573-086A-4E86-8D0F-B4AF24CF4AC6}" destId="{C6BE67F4-B5AC-44CA-A70D-8AF81BEF42B5}" srcOrd="0" destOrd="0" presId="urn:microsoft.com/office/officeart/2011/layout/HexagonRadial"/>
    <dgm:cxn modelId="{BFA18A3D-8FCB-4A88-ACF1-8B348AF3BB7B}" type="presParOf" srcId="{3EE64C96-6CAC-4D90-BBA8-B3960E4A03D8}" destId="{7C724C3F-2BB2-4721-A6C9-E9B4A0703937}" srcOrd="8" destOrd="0" presId="urn:microsoft.com/office/officeart/2011/layout/HexagonRadial"/>
    <dgm:cxn modelId="{DB632AF2-DFB4-4BE4-81B8-09264EE7150F}" type="presParOf" srcId="{3EE64C96-6CAC-4D90-BBA8-B3960E4A03D8}" destId="{BD7CAE16-F344-48F3-9B81-47E72FF49EE4}" srcOrd="9" destOrd="0" presId="urn:microsoft.com/office/officeart/2011/layout/HexagonRadial"/>
    <dgm:cxn modelId="{92D281C9-B392-43BC-9B6F-564EB173C519}" type="presParOf" srcId="{BD7CAE16-F344-48F3-9B81-47E72FF49EE4}" destId="{BA97C8FD-DD38-4F6F-8A63-67CCE9A0AEE1}" srcOrd="0" destOrd="0" presId="urn:microsoft.com/office/officeart/2011/layout/HexagonRadial"/>
    <dgm:cxn modelId="{DB9BB6F0-DA99-4F3C-86C3-D4199AF8B58D}" type="presParOf" srcId="{3EE64C96-6CAC-4D90-BBA8-B3960E4A03D8}" destId="{A09E7D19-A865-493D-B911-A60EF44F2CE5}" srcOrd="10" destOrd="0" presId="urn:microsoft.com/office/officeart/2011/layout/HexagonRadial"/>
    <dgm:cxn modelId="{5DC3301D-99AB-460A-B48D-CA9B18B26A8E}" type="presParOf" srcId="{3EE64C96-6CAC-4D90-BBA8-B3960E4A03D8}" destId="{CD539802-09E0-4102-8333-92EF2CE82EE8}" srcOrd="11" destOrd="0" presId="urn:microsoft.com/office/officeart/2011/layout/HexagonRadial"/>
    <dgm:cxn modelId="{2947DCA9-A1B3-477C-B811-311A445985E8}" type="presParOf" srcId="{CD539802-09E0-4102-8333-92EF2CE82EE8}" destId="{6AA6D4C5-1EA2-47EF-A5FB-9C25E03A5CE9}" srcOrd="0" destOrd="0" presId="urn:microsoft.com/office/officeart/2011/layout/HexagonRadial"/>
    <dgm:cxn modelId="{72903F56-81F6-4DB9-895C-C2B8AA0D4A44}" type="presParOf" srcId="{3EE64C96-6CAC-4D90-BBA8-B3960E4A03D8}" destId="{41268968-5D54-41AC-8806-DA221286C850}" srcOrd="12" destOrd="0" presId="urn:microsoft.com/office/officeart/2011/layout/HexagonRadial"/>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ED714C-2428-446F-9016-3F3A78001DE6}">
      <dsp:nvSpPr>
        <dsp:cNvPr id="0" name=""/>
        <dsp:cNvSpPr/>
      </dsp:nvSpPr>
      <dsp:spPr>
        <a:xfrm>
          <a:off x="1818641" y="2220949"/>
          <a:ext cx="2677997" cy="231657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GB" sz="2000" kern="1200"/>
            <a:t>Key Objectives for 2022 / 2024</a:t>
          </a:r>
          <a:endParaRPr lang="en-US" sz="2000" kern="1200"/>
        </a:p>
      </dsp:txBody>
      <dsp:txXfrm>
        <a:off x="2262423" y="2604838"/>
        <a:ext cx="1790433" cy="1548798"/>
      </dsp:txXfrm>
    </dsp:sp>
    <dsp:sp modelId="{D44522C1-AC0C-4522-8BD9-22ABD2705285}">
      <dsp:nvSpPr>
        <dsp:cNvPr id="0" name=""/>
        <dsp:cNvSpPr/>
      </dsp:nvSpPr>
      <dsp:spPr>
        <a:xfrm>
          <a:off x="3452305" y="1047759"/>
          <a:ext cx="1010400" cy="870593"/>
        </a:xfrm>
        <a:prstGeom prst="hexagon">
          <a:avLst>
            <a:gd name="adj" fmla="val 28900"/>
            <a:gd name="vf" fmla="val 115470"/>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sp>
    <dsp:sp modelId="{2E30D6FE-797C-427B-8189-1ADC26A164B6}">
      <dsp:nvSpPr>
        <dsp:cNvPr id="0" name=""/>
        <dsp:cNvSpPr/>
      </dsp:nvSpPr>
      <dsp:spPr>
        <a:xfrm>
          <a:off x="2022047" y="49156"/>
          <a:ext cx="2194600" cy="189858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t>Ensure that recommendations from the research and the joint HMIP inspection are implemented</a:t>
          </a:r>
          <a:endParaRPr lang="en-US" sz="1200" kern="1200"/>
        </a:p>
      </dsp:txBody>
      <dsp:txXfrm>
        <a:off x="2385739" y="363792"/>
        <a:ext cx="1467216" cy="1269314"/>
      </dsp:txXfrm>
    </dsp:sp>
    <dsp:sp modelId="{A215234D-6ABB-45E2-A07A-53A809F40A0F}">
      <dsp:nvSpPr>
        <dsp:cNvPr id="0" name=""/>
        <dsp:cNvSpPr/>
      </dsp:nvSpPr>
      <dsp:spPr>
        <a:xfrm>
          <a:off x="4631521" y="2675306"/>
          <a:ext cx="1010400" cy="870593"/>
        </a:xfrm>
        <a:prstGeom prst="hexagon">
          <a:avLst>
            <a:gd name="adj" fmla="val 28900"/>
            <a:gd name="vf" fmla="val 115470"/>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sp>
    <dsp:sp modelId="{21F14794-479D-4F29-B14D-B3D4046444C1}">
      <dsp:nvSpPr>
        <dsp:cNvPr id="0" name=""/>
        <dsp:cNvSpPr/>
      </dsp:nvSpPr>
      <dsp:spPr>
        <a:xfrm>
          <a:off x="4034749" y="1216915"/>
          <a:ext cx="2194600" cy="189858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GB" sz="1050" kern="1200"/>
            <a:t>MAPPA continuous Improvement - disseminate all local &amp; national training material and all learning from Quality Assurance Audits</a:t>
          </a:r>
          <a:endParaRPr lang="en-US" sz="1050" kern="1200"/>
        </a:p>
      </dsp:txBody>
      <dsp:txXfrm>
        <a:off x="4398441" y="1531551"/>
        <a:ext cx="1467216" cy="1269314"/>
      </dsp:txXfrm>
    </dsp:sp>
    <dsp:sp modelId="{C6BE67F4-B5AC-44CA-A70D-8AF81BEF42B5}">
      <dsp:nvSpPr>
        <dsp:cNvPr id="0" name=""/>
        <dsp:cNvSpPr/>
      </dsp:nvSpPr>
      <dsp:spPr>
        <a:xfrm>
          <a:off x="3812362" y="4512501"/>
          <a:ext cx="1010400" cy="870593"/>
        </a:xfrm>
        <a:prstGeom prst="hexagon">
          <a:avLst>
            <a:gd name="adj" fmla="val 28900"/>
            <a:gd name="vf" fmla="val 115470"/>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sp>
    <dsp:sp modelId="{606B79A5-A404-44DB-AA99-73C6F0614985}">
      <dsp:nvSpPr>
        <dsp:cNvPr id="0" name=""/>
        <dsp:cNvSpPr/>
      </dsp:nvSpPr>
      <dsp:spPr>
        <a:xfrm>
          <a:off x="4034749" y="3512591"/>
          <a:ext cx="2194600" cy="189858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1" kern="1200"/>
            <a:t>Improve practice in relation to domestic abuse and MAPPA.</a:t>
          </a:r>
          <a:endParaRPr lang="en-US" sz="1000" b="1" kern="1200"/>
        </a:p>
        <a:p>
          <a:pPr marL="0" lvl="0" indent="0" algn="ctr" defTabSz="444500">
            <a:lnSpc>
              <a:spcPct val="90000"/>
            </a:lnSpc>
            <a:spcBef>
              <a:spcPct val="0"/>
            </a:spcBef>
            <a:spcAft>
              <a:spcPct val="35000"/>
            </a:spcAft>
            <a:buNone/>
          </a:pPr>
          <a:r>
            <a:rPr lang="en-GB" sz="1000" kern="1200"/>
            <a:t>All relevant RA &amp; DTC to be aware of MAPPA Guidance in relation to domestic abuse and stalking. </a:t>
          </a:r>
          <a:endParaRPr lang="en-US" sz="1000" kern="1200"/>
        </a:p>
      </dsp:txBody>
      <dsp:txXfrm>
        <a:off x="4398441" y="3827227"/>
        <a:ext cx="1467216" cy="1269314"/>
      </dsp:txXfrm>
    </dsp:sp>
    <dsp:sp modelId="{BA97C8FD-DD38-4F6F-8A63-67CCE9A0AEE1}">
      <dsp:nvSpPr>
        <dsp:cNvPr id="0" name=""/>
        <dsp:cNvSpPr/>
      </dsp:nvSpPr>
      <dsp:spPr>
        <a:xfrm>
          <a:off x="1780348" y="4703208"/>
          <a:ext cx="1010400" cy="870593"/>
        </a:xfrm>
        <a:prstGeom prst="hexagon">
          <a:avLst>
            <a:gd name="adj" fmla="val 28900"/>
            <a:gd name="vf" fmla="val 115470"/>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sp>
    <dsp:sp modelId="{7C724C3F-2BB2-4721-A6C9-E9B4A0703937}">
      <dsp:nvSpPr>
        <dsp:cNvPr id="0" name=""/>
        <dsp:cNvSpPr/>
      </dsp:nvSpPr>
      <dsp:spPr>
        <a:xfrm>
          <a:off x="1994746" y="4661189"/>
          <a:ext cx="2194600" cy="189858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t>Support ViSOR roll out in NPS working to national business model</a:t>
          </a:r>
          <a:endParaRPr lang="en-US" sz="1200" kern="1200"/>
        </a:p>
      </dsp:txBody>
      <dsp:txXfrm>
        <a:off x="2358438" y="4975825"/>
        <a:ext cx="1467216" cy="1269314"/>
      </dsp:txXfrm>
    </dsp:sp>
    <dsp:sp modelId="{6AA6D4C5-1EA2-47EF-A5FB-9C25E03A5CE9}">
      <dsp:nvSpPr>
        <dsp:cNvPr id="0" name=""/>
        <dsp:cNvSpPr/>
      </dsp:nvSpPr>
      <dsp:spPr>
        <a:xfrm>
          <a:off x="595471" y="3049022"/>
          <a:ext cx="1010400" cy="870593"/>
        </a:xfrm>
        <a:prstGeom prst="hexagon">
          <a:avLst>
            <a:gd name="adj" fmla="val 28900"/>
            <a:gd name="vf" fmla="val 115470"/>
          </a:avLst>
        </a:prstGeom>
        <a:solidFill>
          <a:schemeClr val="bg1">
            <a:lumMod val="65000"/>
          </a:schemeClr>
        </a:solidFill>
        <a:ln>
          <a:noFill/>
        </a:ln>
        <a:effectLst/>
      </dsp:spPr>
      <dsp:style>
        <a:lnRef idx="0">
          <a:scrgbClr r="0" g="0" b="0"/>
        </a:lnRef>
        <a:fillRef idx="1">
          <a:scrgbClr r="0" g="0" b="0"/>
        </a:fillRef>
        <a:effectRef idx="0">
          <a:scrgbClr r="0" g="0" b="0"/>
        </a:effectRef>
        <a:fontRef idx="minor"/>
      </dsp:style>
    </dsp:sp>
    <dsp:sp modelId="{A09E7D19-A865-493D-B911-A60EF44F2CE5}">
      <dsp:nvSpPr>
        <dsp:cNvPr id="0" name=""/>
        <dsp:cNvSpPr/>
      </dsp:nvSpPr>
      <dsp:spPr>
        <a:xfrm>
          <a:off x="0" y="3513898"/>
          <a:ext cx="2194600" cy="189858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t>Ensure the welfare of Children and Adults at Risk is embedded into MAPPA</a:t>
          </a:r>
        </a:p>
        <a:p>
          <a:pPr marL="0" lvl="0" indent="0" algn="ctr" defTabSz="533400">
            <a:lnSpc>
              <a:spcPct val="90000"/>
            </a:lnSpc>
            <a:spcBef>
              <a:spcPct val="0"/>
            </a:spcBef>
            <a:spcAft>
              <a:spcPct val="35000"/>
            </a:spcAft>
            <a:buNone/>
          </a:pPr>
          <a:endParaRPr lang="en-GB" sz="1200" kern="1200"/>
        </a:p>
      </dsp:txBody>
      <dsp:txXfrm>
        <a:off x="363692" y="3828534"/>
        <a:ext cx="1467216" cy="1269314"/>
      </dsp:txXfrm>
    </dsp:sp>
    <dsp:sp modelId="{41268968-5D54-41AC-8806-DA221286C850}">
      <dsp:nvSpPr>
        <dsp:cNvPr id="0" name=""/>
        <dsp:cNvSpPr/>
      </dsp:nvSpPr>
      <dsp:spPr>
        <a:xfrm>
          <a:off x="0" y="1119563"/>
          <a:ext cx="2194600" cy="1898586"/>
        </a:xfrm>
        <a:prstGeom prst="hexagon">
          <a:avLst>
            <a:gd name="adj" fmla="val 28570"/>
            <a:gd name="vf" fmla="val 11547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t>Promote the use of the MAPPA website  </a:t>
          </a:r>
          <a:r>
            <a:rPr lang="en-GB" sz="1000" b="1" kern="1200">
              <a:solidFill>
                <a:schemeClr val="bg1"/>
              </a:solidFill>
            </a:rPr>
            <a:t>https://mappa.justice.gov.uk</a:t>
          </a:r>
        </a:p>
      </dsp:txBody>
      <dsp:txXfrm>
        <a:off x="363692" y="1434199"/>
        <a:ext cx="1467216" cy="1269314"/>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3151</Words>
  <Characters>17556</Characters>
  <Application>Microsoft Office Word</Application>
  <DocSecurity>0</DocSecurity>
  <Lines>146</Lines>
  <Paragraphs>41</Paragraphs>
  <ScaleCrop>false</ScaleCrop>
  <Company/>
  <LinksUpToDate>false</LinksUpToDate>
  <CharactersWithSpaces>20666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76</cp:revision>
  <dcterms:created xsi:type="dcterms:W3CDTF">2023-10-06T08:51:00Z</dcterms:created>
  <dcterms:modified xsi:type="dcterms:W3CDTF">2023-10-23T11:23:00Z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