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3721227B" w:rsidR="003C0362" w:rsidRPr="00D5409B" w:rsidRDefault="00645721" w:rsidP="00D5409B">
      <w:pPr>
        <w:pStyle w:val="Heading1"/>
        <w:rPr>
          <w:rStyle w:val="IntenseReference"/>
          <w:b w:val="0"/>
          <w:bCs w:val="0"/>
          <w:smallCaps w:val="0"/>
          <w:color w:val="7030A0"/>
          <w:spacing w:val="0"/>
        </w:rPr>
      </w:pPr>
      <w:r>
        <w:rPr>
          <w:rStyle w:val="IntenseReference"/>
          <w:b w:val="0"/>
          <w:bCs w:val="0"/>
          <w:smallCaps w:val="0"/>
          <w:color w:val="7030A0"/>
          <w:spacing w:val="0"/>
        </w:rPr>
        <w:t xml:space="preserve">Wiltshire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74F42835"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FD6E86">
        <w:t xml:space="preserve"> 2022/23</w:t>
      </w:r>
    </w:p>
    <w:p w14:paraId="114EE9B3" w14:textId="5EF5FC05" w:rsidR="00332EE6" w:rsidRPr="00645721" w:rsidRDefault="00332EE6" w:rsidP="008D1CDE">
      <w:pPr>
        <w:pStyle w:val="Heading1"/>
        <w:jc w:val="left"/>
        <w:rPr>
          <w:sz w:val="36"/>
          <w:szCs w:val="36"/>
        </w:rPr>
      </w:pPr>
      <w:r w:rsidRPr="0069414D">
        <w:lastRenderedPageBreak/>
        <w:t>Intro</w:t>
      </w:r>
      <w:r w:rsidR="00645721">
        <w:t xml:space="preserve"> </w:t>
      </w:r>
    </w:p>
    <w:p w14:paraId="4B4636FD" w14:textId="77777777" w:rsidR="00332EE6" w:rsidRDefault="00332EE6" w:rsidP="00332EE6">
      <w:pPr>
        <w:pStyle w:val="Default"/>
        <w:rPr>
          <w:rFonts w:ascii="Arial" w:hAnsi="Arial" w:cs="Arial"/>
          <w:color w:val="FFFFFF"/>
          <w:sz w:val="16"/>
          <w:szCs w:val="16"/>
        </w:rPr>
      </w:pPr>
    </w:p>
    <w:p w14:paraId="41DD333A" w14:textId="77777777" w:rsidR="00645721" w:rsidRDefault="00645721" w:rsidP="00332EE6">
      <w:pPr>
        <w:pStyle w:val="Default"/>
        <w:rPr>
          <w:rFonts w:ascii="Arial" w:hAnsi="Arial" w:cs="Arial"/>
          <w:color w:val="FFFFFF"/>
          <w:sz w:val="16"/>
          <w:szCs w:val="16"/>
        </w:rPr>
      </w:pPr>
    </w:p>
    <w:p w14:paraId="72E22862" w14:textId="7563444D" w:rsidR="00016C50" w:rsidRDefault="00016C50" w:rsidP="00016C50">
      <w:pPr>
        <w:rPr>
          <w:rFonts w:ascii="Arial" w:hAnsi="Arial" w:cs="Arial"/>
        </w:rPr>
      </w:pPr>
      <w:r>
        <w:rPr>
          <w:rFonts w:ascii="Arial" w:hAnsi="Arial" w:cs="Arial"/>
        </w:rPr>
        <w:t xml:space="preserve">The </w:t>
      </w:r>
      <w:r w:rsidRPr="00016C50">
        <w:rPr>
          <w:rFonts w:ascii="Arial" w:hAnsi="Arial" w:cs="Arial"/>
        </w:rPr>
        <w:t>Wiltshire Multi Agency Public Protection Arrangements (MAPPA) Strategic Management Board is pleased to present this report to the residents of Wiltshire and Swindon.</w:t>
      </w:r>
    </w:p>
    <w:p w14:paraId="7C403089" w14:textId="77777777" w:rsidR="00016C50" w:rsidRPr="00016C50" w:rsidRDefault="00016C50" w:rsidP="00016C50">
      <w:pPr>
        <w:rPr>
          <w:rFonts w:ascii="Arial" w:hAnsi="Arial" w:cs="Arial"/>
        </w:rPr>
      </w:pPr>
    </w:p>
    <w:p w14:paraId="24C16FC3" w14:textId="4E34B594" w:rsidR="00016C50" w:rsidRDefault="00016C50" w:rsidP="00645721">
      <w:pPr>
        <w:rPr>
          <w:rFonts w:ascii="Arial" w:hAnsi="Arial" w:cs="Arial"/>
        </w:rPr>
      </w:pPr>
      <w:r w:rsidRPr="00016C50">
        <w:rPr>
          <w:rFonts w:ascii="Arial" w:hAnsi="Arial" w:cs="Arial"/>
        </w:rPr>
        <w:t xml:space="preserve">MAPPA is the process through which the Police, National Probation Service and Prison Service, known collectively as the Responsible Authority, work together with other agencies to manage the risks posed by violent and sexual offenders. MAPPA is not a statutory body, but a mechanism through which agencies can better discharge their statutory responsibilities and protect the public in a co-ordinated manner. The aim of this report is to provide an overview of MAPPA arrangements over the last year in order to provide assurances to the public that there are effective processes in place to manage the risk of serious harm that offenders pose within the local area. We will not comment on specific cases or work by individual agencies. The Responsible Authorities in Wiltshire are made up of Wiltshire Police, the National Probation Service and Her Majesty’s Prison Service. These agencies are supported by the following Duty to Cooperate Agencies: </w:t>
      </w:r>
    </w:p>
    <w:p w14:paraId="30CC99F7" w14:textId="77777777" w:rsidR="00016C50" w:rsidRDefault="00016C50" w:rsidP="00645721">
      <w:pPr>
        <w:rPr>
          <w:rFonts w:ascii="Arial" w:hAnsi="Arial" w:cs="Arial"/>
        </w:rPr>
      </w:pPr>
      <w:r w:rsidRPr="00016C50">
        <w:rPr>
          <w:rFonts w:ascii="Segoe UI Symbol" w:hAnsi="Segoe UI Symbol" w:cs="Segoe UI Symbol"/>
        </w:rPr>
        <w:t>➢</w:t>
      </w:r>
      <w:r w:rsidRPr="00016C50">
        <w:rPr>
          <w:rFonts w:ascii="Arial" w:hAnsi="Arial" w:cs="Arial"/>
        </w:rPr>
        <w:t xml:space="preserve"> Swindon Borough Council </w:t>
      </w:r>
    </w:p>
    <w:p w14:paraId="676ABF6D" w14:textId="77777777" w:rsidR="00016C50" w:rsidRDefault="00016C50" w:rsidP="00645721">
      <w:pPr>
        <w:rPr>
          <w:rFonts w:ascii="Arial" w:hAnsi="Arial" w:cs="Arial"/>
        </w:rPr>
      </w:pPr>
      <w:r w:rsidRPr="00016C50">
        <w:rPr>
          <w:rFonts w:ascii="Arial" w:hAnsi="Arial" w:cs="Arial"/>
        </w:rPr>
        <w:t>• Housing Department</w:t>
      </w:r>
    </w:p>
    <w:p w14:paraId="4DEBF431" w14:textId="77777777" w:rsidR="00016C50" w:rsidRDefault="00016C50" w:rsidP="00645721">
      <w:pPr>
        <w:rPr>
          <w:rFonts w:ascii="Arial" w:hAnsi="Arial" w:cs="Arial"/>
        </w:rPr>
      </w:pPr>
      <w:r w:rsidRPr="00016C50">
        <w:rPr>
          <w:rFonts w:ascii="Arial" w:hAnsi="Arial" w:cs="Arial"/>
        </w:rPr>
        <w:t xml:space="preserve"> • Children’s Services </w:t>
      </w:r>
    </w:p>
    <w:p w14:paraId="6160C122" w14:textId="77777777" w:rsidR="00016C50" w:rsidRDefault="00016C50" w:rsidP="00645721">
      <w:pPr>
        <w:rPr>
          <w:rFonts w:ascii="Arial" w:hAnsi="Arial" w:cs="Arial"/>
        </w:rPr>
      </w:pPr>
      <w:r w:rsidRPr="00016C50">
        <w:rPr>
          <w:rFonts w:ascii="Arial" w:hAnsi="Arial" w:cs="Arial"/>
        </w:rPr>
        <w:t xml:space="preserve">• Adult Social Care </w:t>
      </w:r>
    </w:p>
    <w:p w14:paraId="3D47E03F" w14:textId="77777777" w:rsidR="00016C50" w:rsidRDefault="00016C50" w:rsidP="00645721">
      <w:pPr>
        <w:rPr>
          <w:rFonts w:ascii="Arial" w:hAnsi="Arial" w:cs="Arial"/>
        </w:rPr>
      </w:pPr>
      <w:r w:rsidRPr="00016C50">
        <w:rPr>
          <w:rFonts w:ascii="Segoe UI Symbol" w:hAnsi="Segoe UI Symbol" w:cs="Segoe UI Symbol"/>
        </w:rPr>
        <w:t>➢</w:t>
      </w:r>
      <w:r w:rsidRPr="00016C50">
        <w:rPr>
          <w:rFonts w:ascii="Arial" w:hAnsi="Arial" w:cs="Arial"/>
        </w:rPr>
        <w:t xml:space="preserve"> Wiltshire Council</w:t>
      </w:r>
    </w:p>
    <w:p w14:paraId="0FA4CC64" w14:textId="77777777" w:rsidR="00016C50" w:rsidRDefault="00016C50" w:rsidP="00645721">
      <w:pPr>
        <w:rPr>
          <w:rFonts w:ascii="Arial" w:hAnsi="Arial" w:cs="Arial"/>
        </w:rPr>
      </w:pPr>
      <w:r w:rsidRPr="00016C50">
        <w:rPr>
          <w:rFonts w:ascii="Arial" w:hAnsi="Arial" w:cs="Arial"/>
        </w:rPr>
        <w:t xml:space="preserve"> • Housing Department </w:t>
      </w:r>
    </w:p>
    <w:p w14:paraId="137C753F" w14:textId="77777777" w:rsidR="00016C50" w:rsidRDefault="00016C50" w:rsidP="00645721">
      <w:pPr>
        <w:rPr>
          <w:rFonts w:ascii="Arial" w:hAnsi="Arial" w:cs="Arial"/>
        </w:rPr>
      </w:pPr>
      <w:r w:rsidRPr="00016C50">
        <w:rPr>
          <w:rFonts w:ascii="Arial" w:hAnsi="Arial" w:cs="Arial"/>
        </w:rPr>
        <w:t xml:space="preserve">•Children’s Services </w:t>
      </w:r>
    </w:p>
    <w:p w14:paraId="0D6C23D3" w14:textId="77777777" w:rsidR="00016C50" w:rsidRDefault="00016C50" w:rsidP="00645721">
      <w:pPr>
        <w:rPr>
          <w:rFonts w:ascii="Arial" w:hAnsi="Arial" w:cs="Arial"/>
        </w:rPr>
      </w:pPr>
      <w:r w:rsidRPr="00016C50">
        <w:rPr>
          <w:rFonts w:ascii="Arial" w:hAnsi="Arial" w:cs="Arial"/>
        </w:rPr>
        <w:t xml:space="preserve">• Adult Social Care </w:t>
      </w:r>
    </w:p>
    <w:p w14:paraId="0AC2AC6A" w14:textId="77777777" w:rsidR="00016C50" w:rsidRDefault="00016C50" w:rsidP="00645721">
      <w:pPr>
        <w:rPr>
          <w:rFonts w:ascii="Arial" w:hAnsi="Arial" w:cs="Arial"/>
        </w:rPr>
      </w:pPr>
      <w:r w:rsidRPr="00016C50">
        <w:rPr>
          <w:rFonts w:ascii="Segoe UI Symbol" w:hAnsi="Segoe UI Symbol" w:cs="Segoe UI Symbol"/>
        </w:rPr>
        <w:t>➢</w:t>
      </w:r>
      <w:r w:rsidRPr="00016C50">
        <w:rPr>
          <w:rFonts w:ascii="Arial" w:hAnsi="Arial" w:cs="Arial"/>
        </w:rPr>
        <w:t xml:space="preserve"> Swindon and Wiltshire Youth Offending Teams </w:t>
      </w:r>
    </w:p>
    <w:p w14:paraId="33201B5E" w14:textId="77777777" w:rsidR="00016C50" w:rsidRDefault="00016C50" w:rsidP="00645721">
      <w:pPr>
        <w:rPr>
          <w:rFonts w:ascii="Arial" w:hAnsi="Arial" w:cs="Arial"/>
        </w:rPr>
      </w:pPr>
      <w:r w:rsidRPr="00016C50">
        <w:rPr>
          <w:rFonts w:ascii="Segoe UI Symbol" w:hAnsi="Segoe UI Symbol" w:cs="Segoe UI Symbol"/>
        </w:rPr>
        <w:t>➢</w:t>
      </w:r>
      <w:r w:rsidRPr="00016C50">
        <w:rPr>
          <w:rFonts w:ascii="Arial" w:hAnsi="Arial" w:cs="Arial"/>
        </w:rPr>
        <w:t xml:space="preserve"> Avon &amp; Wiltshire Mental Health Partnership Trust</w:t>
      </w:r>
    </w:p>
    <w:p w14:paraId="6C8C1044" w14:textId="77777777" w:rsidR="00016C50" w:rsidRDefault="00016C50" w:rsidP="00645721">
      <w:pPr>
        <w:rPr>
          <w:rFonts w:ascii="Arial" w:hAnsi="Arial" w:cs="Arial"/>
        </w:rPr>
      </w:pPr>
      <w:r w:rsidRPr="00016C50">
        <w:rPr>
          <w:rFonts w:ascii="Arial" w:hAnsi="Arial" w:cs="Arial"/>
        </w:rPr>
        <w:t xml:space="preserve"> </w:t>
      </w:r>
      <w:r w:rsidRPr="00016C50">
        <w:rPr>
          <w:rFonts w:ascii="Segoe UI Symbol" w:hAnsi="Segoe UI Symbol" w:cs="Segoe UI Symbol"/>
        </w:rPr>
        <w:t>➢</w:t>
      </w:r>
      <w:r w:rsidRPr="00016C50">
        <w:rPr>
          <w:rFonts w:ascii="Arial" w:hAnsi="Arial" w:cs="Arial"/>
        </w:rPr>
        <w:t xml:space="preserve"> The Department of Works &amp; Pensions </w:t>
      </w:r>
    </w:p>
    <w:p w14:paraId="74316549" w14:textId="77777777" w:rsidR="00016C50" w:rsidRDefault="00016C50" w:rsidP="00645721">
      <w:pPr>
        <w:rPr>
          <w:rFonts w:ascii="Arial" w:hAnsi="Arial" w:cs="Arial"/>
        </w:rPr>
      </w:pPr>
      <w:r w:rsidRPr="00016C50">
        <w:rPr>
          <w:rFonts w:ascii="Segoe UI Symbol" w:hAnsi="Segoe UI Symbol" w:cs="Segoe UI Symbol"/>
        </w:rPr>
        <w:t>➢</w:t>
      </w:r>
      <w:r w:rsidRPr="00016C50">
        <w:rPr>
          <w:rFonts w:ascii="Arial" w:hAnsi="Arial" w:cs="Arial"/>
        </w:rPr>
        <w:t xml:space="preserve"> NHS Bath and North East Somerset, Swindon and Wiltshire Clinical Commissioning Group (BSW CCG) </w:t>
      </w:r>
    </w:p>
    <w:p w14:paraId="0CF0F219" w14:textId="77777777" w:rsidR="00016C50" w:rsidRDefault="00016C50" w:rsidP="00645721">
      <w:pPr>
        <w:rPr>
          <w:rFonts w:ascii="Arial" w:hAnsi="Arial" w:cs="Arial"/>
        </w:rPr>
      </w:pPr>
    </w:p>
    <w:p w14:paraId="7D9A2C31" w14:textId="4592EDA2" w:rsidR="00016C50" w:rsidRDefault="00016C50" w:rsidP="00645721">
      <w:pPr>
        <w:rPr>
          <w:rFonts w:ascii="Arial" w:hAnsi="Arial" w:cs="Arial"/>
        </w:rPr>
      </w:pPr>
      <w:r w:rsidRPr="00016C50">
        <w:rPr>
          <w:rFonts w:ascii="Arial" w:hAnsi="Arial" w:cs="Arial"/>
        </w:rPr>
        <w:t>The Strategic Management Board (SMB) is responsible for monitoring the effectiveness of MAPPA processes by reviewing its quality and effectiveness and implementing any necessary changes in response to local initiatives and priorities.</w:t>
      </w:r>
    </w:p>
    <w:p w14:paraId="30B32F0D" w14:textId="77777777" w:rsidR="00016C50" w:rsidRDefault="00016C50" w:rsidP="00645721">
      <w:pPr>
        <w:rPr>
          <w:rFonts w:ascii="Arial" w:hAnsi="Arial" w:cs="Arial"/>
        </w:rPr>
      </w:pPr>
    </w:p>
    <w:p w14:paraId="0BADD71D" w14:textId="77777777" w:rsidR="00016C50" w:rsidRDefault="00016C50" w:rsidP="00645721">
      <w:pPr>
        <w:rPr>
          <w:rFonts w:ascii="Arial" w:hAnsi="Arial" w:cs="Arial"/>
        </w:rPr>
      </w:pPr>
      <w:r w:rsidRPr="00016C50">
        <w:rPr>
          <w:rFonts w:ascii="Arial" w:hAnsi="Arial" w:cs="Arial"/>
        </w:rPr>
        <w:t xml:space="preserve">MAPPA procedures are arranged by the MAPPA Coordinator who is supported by the MAPPA Administrator. These procedures are then reviewed in-line with auditing processes which are attended by representations from the Responsible Authorities and Duty to Refer agencies. Our Lay Advisors play a vital role in ensuring that the board is held to account and provides a “critical friend” to ensure the practice is evaluated and in line with guidance. </w:t>
      </w:r>
    </w:p>
    <w:p w14:paraId="464D138A" w14:textId="77777777" w:rsidR="00016C50" w:rsidRDefault="00016C50" w:rsidP="00645721">
      <w:pPr>
        <w:rPr>
          <w:rFonts w:ascii="Arial" w:hAnsi="Arial" w:cs="Arial"/>
        </w:rPr>
      </w:pPr>
      <w:r w:rsidRPr="00016C50">
        <w:rPr>
          <w:rFonts w:ascii="Arial" w:hAnsi="Arial" w:cs="Arial"/>
        </w:rPr>
        <w:t>As a MAPPA team, we continue to be adaptable and flexible to</w:t>
      </w:r>
      <w:r>
        <w:rPr>
          <w:rFonts w:ascii="Arial" w:hAnsi="Arial" w:cs="Arial"/>
        </w:rPr>
        <w:t xml:space="preserve"> the transition from Covid practices and continue to promote accountability and transparency behind our areas work. </w:t>
      </w:r>
      <w:r w:rsidRPr="00016C50">
        <w:rPr>
          <w:rFonts w:ascii="Arial" w:hAnsi="Arial" w:cs="Arial"/>
        </w:rPr>
        <w:t xml:space="preserve"> </w:t>
      </w:r>
    </w:p>
    <w:p w14:paraId="36821D4E" w14:textId="77777777" w:rsidR="00016C50" w:rsidRDefault="00016C50" w:rsidP="00645721">
      <w:pPr>
        <w:rPr>
          <w:rFonts w:ascii="Arial" w:hAnsi="Arial" w:cs="Arial"/>
        </w:rPr>
      </w:pPr>
    </w:p>
    <w:p w14:paraId="30ABF5F3" w14:textId="29107A23" w:rsidR="00016C50" w:rsidRPr="00105467" w:rsidRDefault="003F4170" w:rsidP="00645721">
      <w:pPr>
        <w:rPr>
          <w:rFonts w:ascii="Arial" w:hAnsi="Arial" w:cs="Arial"/>
          <w:color w:val="7030A0"/>
          <w:sz w:val="32"/>
          <w:szCs w:val="32"/>
          <w:u w:val="single"/>
        </w:rPr>
      </w:pPr>
      <w:r w:rsidRPr="00105467">
        <w:rPr>
          <w:rFonts w:ascii="Arial" w:hAnsi="Arial" w:cs="Arial"/>
          <w:color w:val="7030A0"/>
          <w:sz w:val="32"/>
          <w:szCs w:val="32"/>
          <w:u w:val="single"/>
        </w:rPr>
        <w:t xml:space="preserve">Introduction from Assistant Chief Constable Smith, SMB Chair </w:t>
      </w:r>
    </w:p>
    <w:p w14:paraId="782A6694" w14:textId="77777777" w:rsidR="00105467" w:rsidRDefault="00105467" w:rsidP="00645721">
      <w:pPr>
        <w:rPr>
          <w:rFonts w:ascii="Arial" w:hAnsi="Arial" w:cs="Arial"/>
        </w:rPr>
      </w:pPr>
    </w:p>
    <w:p w14:paraId="7A91ED3E" w14:textId="679AF2AA" w:rsidR="00645721" w:rsidRDefault="00645721" w:rsidP="00645721">
      <w:pPr>
        <w:rPr>
          <w:rFonts w:ascii="Arial" w:hAnsi="Arial" w:cs="Arial"/>
          <w:sz w:val="22"/>
          <w:szCs w:val="22"/>
        </w:rPr>
      </w:pPr>
      <w:r w:rsidRPr="00645721">
        <w:rPr>
          <w:rFonts w:ascii="Arial" w:hAnsi="Arial" w:cs="Arial"/>
        </w:rPr>
        <w:t>This annual report reflects the contributions made by all of the agencies involved in MAPPA across Swindon and Wiltshire and sets out our commitment to continue to develop strong partnerships to work together to protect the public from serious harm</w:t>
      </w:r>
      <w:r w:rsidR="00105467">
        <w:rPr>
          <w:rFonts w:ascii="Arial" w:hAnsi="Arial" w:cs="Arial"/>
          <w:sz w:val="22"/>
          <w:szCs w:val="22"/>
        </w:rPr>
        <w:t>.</w:t>
      </w:r>
    </w:p>
    <w:p w14:paraId="3E5C4B3C" w14:textId="77777777" w:rsidR="00105467" w:rsidRPr="00105467" w:rsidRDefault="00105467" w:rsidP="00645721">
      <w:pPr>
        <w:rPr>
          <w:rFonts w:ascii="Arial" w:hAnsi="Arial" w:cs="Arial"/>
          <w:sz w:val="22"/>
          <w:szCs w:val="22"/>
        </w:rPr>
      </w:pPr>
    </w:p>
    <w:p w14:paraId="4B47562A" w14:textId="3FD39661" w:rsidR="00645721" w:rsidRDefault="00645721" w:rsidP="00645721">
      <w:pPr>
        <w:rPr>
          <w:rFonts w:ascii="Arial" w:hAnsi="Arial" w:cs="Arial"/>
        </w:rPr>
      </w:pPr>
      <w:r w:rsidRPr="00645721">
        <w:rPr>
          <w:rFonts w:ascii="Arial" w:hAnsi="Arial" w:cs="Arial"/>
        </w:rPr>
        <w:t xml:space="preserve">As chair of the SMB, I would like to take this opportunity to thank staff from all agencies for their commitment, professionalism, and achievements in working in this often very challenging area of </w:t>
      </w:r>
      <w:r w:rsidRPr="00645721">
        <w:rPr>
          <w:rFonts w:ascii="Arial" w:hAnsi="Arial" w:cs="Arial"/>
        </w:rPr>
        <w:lastRenderedPageBreak/>
        <w:t>public protection. I hope this annual report helps to illustrate the work undertaken by all agencies in our area which has contributed to making our communities safer</w:t>
      </w:r>
      <w:r>
        <w:rPr>
          <w:rFonts w:ascii="Arial" w:hAnsi="Arial" w:cs="Arial"/>
        </w:rPr>
        <w:t>.</w:t>
      </w:r>
    </w:p>
    <w:p w14:paraId="333CE619" w14:textId="42542546" w:rsidR="00353D9C" w:rsidRDefault="00353D9C" w:rsidP="00645721">
      <w:pPr>
        <w:rPr>
          <w:rFonts w:ascii="Arial" w:hAnsi="Arial" w:cs="Arial"/>
        </w:rPr>
      </w:pPr>
    </w:p>
    <w:p w14:paraId="0AC15FCE" w14:textId="77777777" w:rsidR="00645721" w:rsidRPr="00353D9C" w:rsidRDefault="00645721" w:rsidP="00645721">
      <w:pPr>
        <w:rPr>
          <w:rFonts w:ascii="Arial" w:hAnsi="Arial" w:cs="Arial"/>
          <w:i/>
          <w:iCs/>
        </w:rPr>
      </w:pPr>
    </w:p>
    <w:p w14:paraId="0B3FA0A4" w14:textId="5E035B94" w:rsidR="00645721" w:rsidRPr="00353D9C" w:rsidRDefault="00645721" w:rsidP="00332EE6">
      <w:pPr>
        <w:pStyle w:val="Default"/>
        <w:rPr>
          <w:rFonts w:ascii="Arial" w:hAnsi="Arial" w:cs="Arial"/>
          <w:color w:val="FFFFFF"/>
          <w:sz w:val="20"/>
          <w:szCs w:val="20"/>
        </w:rPr>
        <w:sectPr w:rsidR="00645721" w:rsidRPr="00353D9C" w:rsidSect="00867C9E">
          <w:footerReference w:type="first" r:id="rId16"/>
          <w:pgSz w:w="11905" w:h="16837" w:code="9"/>
          <w:pgMar w:top="720" w:right="720" w:bottom="720" w:left="720" w:header="720" w:footer="567" w:gutter="0"/>
          <w:pgNumType w:start="1"/>
          <w:cols w:space="720"/>
          <w:noEndnote/>
          <w:titlePg/>
        </w:sectPr>
      </w:pPr>
    </w:p>
    <w:p w14:paraId="62B4C59B" w14:textId="059801E2" w:rsidR="00645721" w:rsidRPr="00353D9C" w:rsidRDefault="00645721" w:rsidP="00645721">
      <w:pPr>
        <w:pStyle w:val="Style1"/>
        <w:rPr>
          <w:rFonts w:cs="Arial"/>
        </w:rPr>
        <w:sectPr w:rsidR="00645721" w:rsidRPr="00353D9C" w:rsidSect="00867C9E">
          <w:type w:val="continuous"/>
          <w:pgSz w:w="11905" w:h="16837" w:code="9"/>
          <w:pgMar w:top="720" w:right="720" w:bottom="720" w:left="720" w:header="720" w:footer="567" w:gutter="0"/>
          <w:cols w:num="2" w:space="720"/>
          <w:noEndnote/>
          <w:rtlGutter/>
        </w:sectPr>
      </w:pPr>
    </w:p>
    <w:p w14:paraId="47D7F72D" w14:textId="370BEC10" w:rsidR="00332EE6" w:rsidRPr="00645721" w:rsidRDefault="00332EE6" w:rsidP="00332EE6">
      <w:pPr>
        <w:pStyle w:val="Default"/>
        <w:rPr>
          <w:rFonts w:ascii="Arial" w:hAnsi="Arial" w:cs="Arial"/>
          <w:color w:val="auto"/>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B356B4"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51991E99" w:rsidR="00B356B4" w:rsidRPr="00523CF4" w:rsidRDefault="00B356B4" w:rsidP="00B356B4">
            <w:pPr>
              <w:pStyle w:val="MAPPA-Tabletext"/>
              <w:rPr>
                <w:b w:val="0"/>
                <w:bCs w:val="0"/>
                <w:sz w:val="24"/>
                <w:szCs w:val="24"/>
                <w:lang w:val="en-GB"/>
              </w:rPr>
            </w:pPr>
            <w:r>
              <w:t>Level 1</w:t>
            </w:r>
          </w:p>
        </w:tc>
        <w:tc>
          <w:tcPr>
            <w:tcW w:w="2185" w:type="dxa"/>
          </w:tcPr>
          <w:p w14:paraId="58BE43B8" w14:textId="7A37AEC4"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759</w:t>
            </w:r>
          </w:p>
        </w:tc>
        <w:tc>
          <w:tcPr>
            <w:tcW w:w="2186" w:type="dxa"/>
          </w:tcPr>
          <w:p w14:paraId="1638E0FC" w14:textId="45389794"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150</w:t>
            </w:r>
          </w:p>
        </w:tc>
        <w:tc>
          <w:tcPr>
            <w:tcW w:w="2186" w:type="dxa"/>
          </w:tcPr>
          <w:p w14:paraId="1F1BCFAF" w14:textId="271BE4B4"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7421A25B"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909</w:t>
            </w:r>
          </w:p>
        </w:tc>
      </w:tr>
      <w:tr w:rsidR="00B356B4"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48DB8661" w:rsidR="00B356B4" w:rsidRPr="00523CF4" w:rsidRDefault="00B356B4" w:rsidP="00B356B4">
            <w:pPr>
              <w:pStyle w:val="MAPPA-Tabletext"/>
              <w:rPr>
                <w:b w:val="0"/>
                <w:bCs w:val="0"/>
                <w:sz w:val="24"/>
                <w:szCs w:val="24"/>
                <w:lang w:val="en-GB"/>
              </w:rPr>
            </w:pPr>
            <w:r>
              <w:t>Level 2</w:t>
            </w:r>
          </w:p>
        </w:tc>
        <w:tc>
          <w:tcPr>
            <w:tcW w:w="2185" w:type="dxa"/>
          </w:tcPr>
          <w:p w14:paraId="23BFD270" w14:textId="28BF1A72"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10F8D0CE" w14:textId="46664DC6"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346F3891" w14:textId="5DC26DE9"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29D9E254" w14:textId="06FF5A57"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r>
      <w:tr w:rsidR="00B356B4"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0501FD3" w:rsidR="00B356B4" w:rsidRPr="00523CF4" w:rsidRDefault="00B356B4" w:rsidP="00B356B4">
            <w:pPr>
              <w:pStyle w:val="MAPPA-Tabletext"/>
              <w:rPr>
                <w:b w:val="0"/>
                <w:bCs w:val="0"/>
                <w:sz w:val="24"/>
                <w:szCs w:val="24"/>
                <w:lang w:val="en-GB"/>
              </w:rPr>
            </w:pPr>
            <w:r>
              <w:t>Level 3</w:t>
            </w:r>
          </w:p>
        </w:tc>
        <w:tc>
          <w:tcPr>
            <w:tcW w:w="2185" w:type="dxa"/>
          </w:tcPr>
          <w:p w14:paraId="48775E9A" w14:textId="4CE1C681"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6751848" w14:textId="0C892F96"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05F3567A"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FD44C20" w14:textId="634936A6"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r>
      <w:tr w:rsidR="00B356B4"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5DA52AA3" w:rsidR="00B356B4" w:rsidRPr="00523CF4" w:rsidRDefault="00B356B4" w:rsidP="00B356B4">
            <w:pPr>
              <w:pStyle w:val="MAPPA-Tabletext"/>
              <w:rPr>
                <w:b w:val="0"/>
                <w:bCs w:val="0"/>
                <w:sz w:val="24"/>
                <w:szCs w:val="24"/>
                <w:lang w:val="en-GB"/>
              </w:rPr>
            </w:pPr>
            <w:r>
              <w:t>Total</w:t>
            </w:r>
          </w:p>
        </w:tc>
        <w:tc>
          <w:tcPr>
            <w:tcW w:w="2185" w:type="dxa"/>
          </w:tcPr>
          <w:p w14:paraId="5425DA3C" w14:textId="24619412"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762</w:t>
            </w:r>
          </w:p>
        </w:tc>
        <w:tc>
          <w:tcPr>
            <w:tcW w:w="2186" w:type="dxa"/>
          </w:tcPr>
          <w:p w14:paraId="4B320A3C" w14:textId="4E7A3CBF"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151</w:t>
            </w:r>
          </w:p>
        </w:tc>
        <w:tc>
          <w:tcPr>
            <w:tcW w:w="2186" w:type="dxa"/>
          </w:tcPr>
          <w:p w14:paraId="59BF82DA" w14:textId="42794CCB"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230BC3FB" w14:textId="4283E6AE"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921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B356B4"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246E9793" w:rsidR="00B356B4" w:rsidRPr="00523CF4" w:rsidRDefault="00B356B4" w:rsidP="00B356B4">
            <w:pPr>
              <w:pStyle w:val="MAPPA-Tabletext"/>
              <w:rPr>
                <w:b w:val="0"/>
                <w:bCs w:val="0"/>
                <w:sz w:val="24"/>
                <w:szCs w:val="24"/>
                <w:lang w:val="en-GB"/>
              </w:rPr>
            </w:pPr>
            <w:r>
              <w:t>Level 2</w:t>
            </w:r>
          </w:p>
        </w:tc>
        <w:tc>
          <w:tcPr>
            <w:tcW w:w="2185" w:type="dxa"/>
          </w:tcPr>
          <w:p w14:paraId="1F693B88" w14:textId="41B99C52"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tcW w:w="2186" w:type="dxa"/>
          </w:tcPr>
          <w:p w14:paraId="231D96FE" w14:textId="08AEDF4B"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w:t>
            </w:r>
          </w:p>
        </w:tc>
        <w:tc>
          <w:tcPr>
            <w:tcW w:w="2186" w:type="dxa"/>
          </w:tcPr>
          <w:p w14:paraId="413645CC" w14:textId="37B8EA22"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c>
          <w:tcPr>
            <w:tcW w:w="2186" w:type="dxa"/>
          </w:tcPr>
          <w:p w14:paraId="5A206D70" w14:textId="4BFAE26F"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w:t>
            </w:r>
          </w:p>
        </w:tc>
      </w:tr>
      <w:tr w:rsidR="00B356B4"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52856C42" w:rsidR="00B356B4" w:rsidRPr="00523CF4" w:rsidRDefault="00B356B4" w:rsidP="00B356B4">
            <w:pPr>
              <w:pStyle w:val="MAPPA-Tabletext"/>
              <w:rPr>
                <w:b w:val="0"/>
                <w:bCs w:val="0"/>
                <w:sz w:val="24"/>
                <w:szCs w:val="24"/>
                <w:lang w:val="en-GB"/>
              </w:rPr>
            </w:pPr>
            <w:r>
              <w:t>Level 3</w:t>
            </w:r>
          </w:p>
        </w:tc>
        <w:tc>
          <w:tcPr>
            <w:tcW w:w="2185" w:type="dxa"/>
          </w:tcPr>
          <w:p w14:paraId="3001AA60" w14:textId="63970880"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4AF1F0B4" w14:textId="342DFF40"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3EABFC56" w14:textId="63A6118A"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66FC4C00" w14:textId="74FBCC6C"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r>
      <w:tr w:rsidR="00B356B4"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3AEFF13B" w:rsidR="00B356B4" w:rsidRPr="00523CF4" w:rsidRDefault="00B356B4" w:rsidP="00B356B4">
            <w:pPr>
              <w:pStyle w:val="MAPPA-Tabletext"/>
              <w:rPr>
                <w:b w:val="0"/>
                <w:bCs w:val="0"/>
                <w:sz w:val="24"/>
                <w:szCs w:val="24"/>
                <w:lang w:val="en-GB"/>
              </w:rPr>
            </w:pPr>
            <w:r>
              <w:t>Total</w:t>
            </w:r>
          </w:p>
        </w:tc>
        <w:tc>
          <w:tcPr>
            <w:tcW w:w="2185" w:type="dxa"/>
          </w:tcPr>
          <w:p w14:paraId="2B2248EB" w14:textId="22063BE1"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c>
          <w:tcPr>
            <w:tcW w:w="2186" w:type="dxa"/>
          </w:tcPr>
          <w:p w14:paraId="5D543B3B" w14:textId="6433D93D"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w:t>
            </w:r>
          </w:p>
        </w:tc>
        <w:tc>
          <w:tcPr>
            <w:tcW w:w="2186" w:type="dxa"/>
          </w:tcPr>
          <w:p w14:paraId="03713ACD" w14:textId="3421E356"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tcPr>
          <w:p w14:paraId="29E98152" w14:textId="131B1C7B" w:rsidR="00B356B4" w:rsidRPr="00523CF4" w:rsidRDefault="00B356B4" w:rsidP="00B356B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58</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DF744F7" w:rsidR="00332EE6" w:rsidRPr="00523CF4" w:rsidRDefault="00B356B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21DADBD" w:rsidR="00332EE6" w:rsidRPr="00523CF4" w:rsidRDefault="00B356B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0DE298C" w:rsidR="00A231D9" w:rsidRPr="00523CF4" w:rsidRDefault="00B356B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5ECAF82" w:rsidR="00A231D9" w:rsidRPr="00523CF4" w:rsidRDefault="00B356B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415EB49" w:rsidR="00A231D9" w:rsidRPr="00523CF4" w:rsidRDefault="00B356B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007164BB" w:rsidR="00332EE6" w:rsidRPr="00523CF4" w:rsidRDefault="00AE489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E4893"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662415B9" w:rsidR="00AE4893" w:rsidRPr="00523CF4" w:rsidRDefault="00AE4893" w:rsidP="00AE4893">
            <w:pPr>
              <w:pStyle w:val="MAPPA-Tabletext"/>
              <w:rPr>
                <w:b w:val="0"/>
                <w:bCs w:val="0"/>
                <w:sz w:val="24"/>
                <w:szCs w:val="24"/>
                <w:lang w:val="en-GB"/>
              </w:rPr>
            </w:pPr>
            <w:r>
              <w:t>Level 2</w:t>
            </w:r>
          </w:p>
        </w:tc>
        <w:tc>
          <w:tcPr>
            <w:tcW w:w="2185" w:type="dxa"/>
          </w:tcPr>
          <w:p w14:paraId="2AA5C817" w14:textId="11623626" w:rsidR="00AE4893" w:rsidRPr="00523CF4" w:rsidRDefault="00AE4893" w:rsidP="00AE489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34F9E68F" w14:textId="7FC3FE68" w:rsidR="00AE4893" w:rsidRPr="00523CF4" w:rsidRDefault="00AE4893" w:rsidP="00AE489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720ECB5F" w14:textId="1D03DB3D" w:rsidR="00AE4893" w:rsidRPr="00523CF4" w:rsidRDefault="00AE4893" w:rsidP="00AE489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7FE6596" w:rsidR="00AE4893" w:rsidRPr="00523CF4" w:rsidRDefault="00AE4893" w:rsidP="00AE4893">
            <w:pPr>
              <w:pStyle w:val="MAPPA-Tabletext"/>
              <w:jc w:val="right"/>
              <w:rPr>
                <w:b w:val="0"/>
                <w:bCs w:val="0"/>
                <w:sz w:val="24"/>
                <w:szCs w:val="24"/>
                <w:lang w:val="en-GB"/>
              </w:rPr>
            </w:pPr>
            <w:r>
              <w:rPr>
                <w:noProof/>
              </w:rPr>
              <w:t>13</w:t>
            </w:r>
          </w:p>
        </w:tc>
      </w:tr>
      <w:tr w:rsidR="00AE4893"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591CAF62" w:rsidR="00AE4893" w:rsidRPr="00523CF4" w:rsidRDefault="00AE4893" w:rsidP="00AE4893">
            <w:pPr>
              <w:pStyle w:val="MAPPA-Tabletext"/>
              <w:rPr>
                <w:b w:val="0"/>
                <w:bCs w:val="0"/>
                <w:sz w:val="24"/>
                <w:szCs w:val="24"/>
                <w:lang w:val="en-GB"/>
              </w:rPr>
            </w:pPr>
            <w:r>
              <w:lastRenderedPageBreak/>
              <w:t>Level 3</w:t>
            </w:r>
          </w:p>
        </w:tc>
        <w:tc>
          <w:tcPr>
            <w:tcW w:w="2185" w:type="dxa"/>
          </w:tcPr>
          <w:p w14:paraId="19A6985D" w14:textId="3C8131F2" w:rsidR="00AE4893" w:rsidRPr="00523CF4" w:rsidRDefault="00AE4893" w:rsidP="00AE489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272FF4F7" w14:textId="4365E79B" w:rsidR="00AE4893" w:rsidRPr="00523CF4" w:rsidRDefault="00AE4893" w:rsidP="00AE489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D55EA6" w14:textId="37730538" w:rsidR="00AE4893" w:rsidRPr="00523CF4" w:rsidRDefault="00AE4893" w:rsidP="00AE489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29BFC00" w:rsidR="00AE4893" w:rsidRPr="00523CF4" w:rsidRDefault="00AE4893" w:rsidP="00AE4893">
            <w:pPr>
              <w:pStyle w:val="MAPPA-Tabletext"/>
              <w:jc w:val="right"/>
              <w:rPr>
                <w:b w:val="0"/>
                <w:bCs w:val="0"/>
                <w:sz w:val="24"/>
                <w:szCs w:val="24"/>
                <w:lang w:val="en-GB"/>
              </w:rPr>
            </w:pPr>
            <w:r>
              <w:rPr>
                <w:noProof/>
              </w:rPr>
              <w:t>4</w:t>
            </w:r>
          </w:p>
        </w:tc>
      </w:tr>
      <w:tr w:rsidR="00AE4893"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623947C4" w:rsidR="00AE4893" w:rsidRPr="00523CF4" w:rsidRDefault="00AE4893" w:rsidP="00AE4893">
            <w:pPr>
              <w:pStyle w:val="MAPPA-Tabletext"/>
              <w:rPr>
                <w:b w:val="0"/>
                <w:bCs w:val="0"/>
                <w:sz w:val="24"/>
                <w:szCs w:val="24"/>
                <w:lang w:val="en-GB"/>
              </w:rPr>
            </w:pPr>
            <w:r>
              <w:t>Total</w:t>
            </w:r>
          </w:p>
        </w:tc>
        <w:tc>
          <w:tcPr>
            <w:tcW w:w="2185" w:type="dxa"/>
          </w:tcPr>
          <w:p w14:paraId="553CCAF1" w14:textId="4A830B9C" w:rsidR="00AE4893" w:rsidRPr="00523CF4" w:rsidRDefault="00AE4893" w:rsidP="00AE4893">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6</w:t>
            </w:r>
            <w:r>
              <w:fldChar w:fldCharType="end"/>
            </w:r>
          </w:p>
        </w:tc>
        <w:tc>
          <w:tcPr>
            <w:tcW w:w="2186" w:type="dxa"/>
          </w:tcPr>
          <w:p w14:paraId="184256C5" w14:textId="20613E9C" w:rsidR="00AE4893" w:rsidRPr="00523CF4" w:rsidRDefault="00AE4893" w:rsidP="00AE4893">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w:t>
            </w:r>
            <w:r>
              <w:fldChar w:fldCharType="end"/>
            </w:r>
          </w:p>
        </w:tc>
        <w:tc>
          <w:tcPr>
            <w:tcW w:w="2186" w:type="dxa"/>
          </w:tcPr>
          <w:p w14:paraId="44078787" w14:textId="4DAB9F78" w:rsidR="00AE4893" w:rsidRPr="00523CF4" w:rsidRDefault="00AE4893" w:rsidP="00AE4893">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9</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C118C4B" w:rsidR="00AE4893" w:rsidRPr="00523CF4" w:rsidRDefault="00AE4893" w:rsidP="00AE4893">
            <w:pPr>
              <w:pStyle w:val="MAPPA-Tabletext"/>
              <w:jc w:val="right"/>
              <w:rPr>
                <w:b w:val="0"/>
                <w:bCs w:val="0"/>
                <w:sz w:val="24"/>
                <w:szCs w:val="24"/>
                <w:lang w:val="en-GB"/>
              </w:rPr>
            </w:pPr>
            <w:r>
              <w:rPr>
                <w:noProof/>
              </w:rPr>
              <w:t>17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7D6C5B8" w:rsidR="00FA3513" w:rsidRPr="00523CF4" w:rsidRDefault="00AE4893"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56C05DA" w:rsidR="00FA3513" w:rsidRPr="00523CF4" w:rsidRDefault="00AE4893"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C294626" w:rsidR="00FA3513" w:rsidRPr="00523CF4" w:rsidRDefault="00AE4893"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8714688" w:rsidR="00332EE6" w:rsidRPr="004265C9" w:rsidRDefault="00AE489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115</w:t>
            </w:r>
          </w:p>
        </w:tc>
      </w:tr>
    </w:tbl>
    <w:p w14:paraId="07E10B6F" w14:textId="77777777" w:rsidR="00332EE6" w:rsidRPr="001F3FB5" w:rsidRDefault="00332EE6" w:rsidP="00332EE6">
      <w:pPr>
        <w:rPr>
          <w:rFonts w:ascii="Arial" w:hAnsi="Arial" w:cs="Arial"/>
          <w:sz w:val="20"/>
          <w:szCs w:val="20"/>
        </w:rPr>
      </w:pPr>
    </w:p>
    <w:p w14:paraId="2AD7CA80" w14:textId="77777777" w:rsidR="006B4EA5" w:rsidRDefault="00332EE6" w:rsidP="006B4EA5">
      <w:pPr>
        <w:rPr>
          <w:rFonts w:ascii="Arial" w:hAnsi="Arial" w:cs="Arial"/>
          <w:sz w:val="20"/>
          <w:szCs w:val="20"/>
        </w:rPr>
      </w:pPr>
      <w:r w:rsidRPr="00B0446D">
        <w:rPr>
          <w:rFonts w:ascii="Arial" w:hAnsi="Arial" w:cs="Arial"/>
          <w:sz w:val="20"/>
          <w:szCs w:val="20"/>
        </w:rPr>
        <w:t xml:space="preserve">This figure has been calculated using </w:t>
      </w:r>
      <w:r w:rsidR="006B4EA5">
        <w:rPr>
          <w:rFonts w:ascii="Arial" w:hAnsi="Arial" w:cs="Arial"/>
          <w:sz w:val="20"/>
          <w:szCs w:val="20"/>
        </w:rPr>
        <w:t xml:space="preserve">This figure has been calculated using the mid-2021 estimated resident population, published by the Office for National Statistics (ONS) on 21 December 2022, excluding those aged less than ten years of age. </w:t>
      </w:r>
    </w:p>
    <w:p w14:paraId="33804EB1" w14:textId="77777777" w:rsidR="006B4EA5" w:rsidRDefault="006B4EA5" w:rsidP="006B4EA5">
      <w:pPr>
        <w:rPr>
          <w:rFonts w:ascii="Arial" w:hAnsi="Arial" w:cs="Arial"/>
          <w:sz w:val="20"/>
          <w:szCs w:val="20"/>
        </w:rPr>
      </w:pPr>
    </w:p>
    <w:p w14:paraId="5C57ACFF" w14:textId="77777777" w:rsidR="006B4EA5" w:rsidRDefault="006B4EA5" w:rsidP="006B4EA5">
      <w:pPr>
        <w:rPr>
          <w:rFonts w:ascii="Arial" w:hAnsi="Arial" w:cs="Arial"/>
          <w:sz w:val="20"/>
          <w:szCs w:val="20"/>
        </w:rPr>
      </w:pPr>
      <w:r>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4A94B593" w14:textId="2A94A488" w:rsidR="00332EE6" w:rsidRPr="00B0446D" w:rsidRDefault="00332EE6" w:rsidP="00281FCC">
      <w:pPr>
        <w:rPr>
          <w:rFonts w:ascii="Arial" w:hAnsi="Arial" w:cs="Arial"/>
          <w:sz w:val="20"/>
          <w:szCs w:val="20"/>
        </w:rPr>
      </w:pPr>
      <w:r w:rsidRPr="00B0446D">
        <w:rPr>
          <w:rFonts w:ascii="Arial" w:hAnsi="Arial" w:cs="Arial"/>
          <w:sz w:val="20"/>
          <w:szCs w:val="20"/>
        </w:rPr>
        <w:t>Mid-20</w:t>
      </w:r>
      <w:r w:rsidR="00F762D0" w:rsidRPr="00B0446D">
        <w:rPr>
          <w:rFonts w:ascii="Arial" w:hAnsi="Arial" w:cs="Arial"/>
          <w:sz w:val="20"/>
          <w:szCs w:val="20"/>
        </w:rPr>
        <w:t>2</w:t>
      </w:r>
      <w:r w:rsidR="00866E1A">
        <w:rPr>
          <w:rFonts w:ascii="Arial" w:hAnsi="Arial" w:cs="Arial"/>
          <w:sz w:val="20"/>
          <w:szCs w:val="20"/>
        </w:rPr>
        <w:t>2</w:t>
      </w:r>
      <w:r w:rsidRPr="00B0446D">
        <w:rPr>
          <w:rFonts w:ascii="Arial" w:hAnsi="Arial" w:cs="Arial"/>
          <w:sz w:val="20"/>
          <w:szCs w:val="20"/>
        </w:rPr>
        <w:t xml:space="preserve"> Population Estimates: Single year of age and sex for Police Areas in England and Wales; estimated resident population, published by the Office for National Statistics, excluding those aged less than ten years of age.</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A070EE0" w14:textId="77777777" w:rsidR="00F7341F" w:rsidRDefault="00332EE6" w:rsidP="00B510E5">
      <w:pPr>
        <w:autoSpaceDE w:val="0"/>
        <w:autoSpaceDN w:val="0"/>
        <w:adjustRightInd w:val="0"/>
        <w:spacing w:after="240" w:line="260" w:lineRule="exact"/>
        <w:rPr>
          <w:rFonts w:ascii="Arial" w:hAnsi="Arial" w:cs="Arial"/>
          <w:color w:val="000000"/>
        </w:rPr>
        <w:sectPr w:rsidR="00F7341F" w:rsidSect="00867C9E">
          <w:type w:val="continuous"/>
          <w:pgSz w:w="11905" w:h="16837" w:code="9"/>
          <w:pgMar w:top="720" w:right="720" w:bottom="720" w:left="720" w:header="720" w:footer="567" w:gutter="0"/>
          <w:cols w:num="2" w:space="720"/>
          <w:noEndnote/>
        </w:sect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F7341F">
          <w:pgSz w:w="11905" w:h="16837" w:code="9"/>
          <w:pgMar w:top="720" w:right="720" w:bottom="720" w:left="720" w:header="720" w:footer="567" w:gutter="0"/>
          <w:cols w:space="720"/>
          <w:noEndnote/>
        </w:sectPr>
      </w:pPr>
    </w:p>
    <w:p w14:paraId="0CC58636" w14:textId="77777777" w:rsidR="0098253D" w:rsidRDefault="00332EE6" w:rsidP="0098253D">
      <w:pPr>
        <w:pStyle w:val="Heading1"/>
        <w:jc w:val="left"/>
      </w:pPr>
      <w:r w:rsidRPr="0069414D">
        <w:lastRenderedPageBreak/>
        <w:t>Local pag</w:t>
      </w:r>
      <w:r w:rsidR="00645721">
        <w:t>e</w:t>
      </w:r>
    </w:p>
    <w:p w14:paraId="5F48426C" w14:textId="77777777" w:rsidR="0098253D" w:rsidRDefault="0098253D" w:rsidP="0098253D">
      <w:pPr>
        <w:pStyle w:val="Heading1"/>
        <w:jc w:val="left"/>
      </w:pPr>
    </w:p>
    <w:p w14:paraId="41B59689" w14:textId="77777777" w:rsidR="0054329C" w:rsidRPr="0054329C" w:rsidRDefault="0054329C" w:rsidP="00CA44D2">
      <w:pPr>
        <w:pStyle w:val="Heading1"/>
        <w:jc w:val="both"/>
        <w:rPr>
          <w:color w:val="000000" w:themeColor="text1"/>
          <w:sz w:val="24"/>
          <w:szCs w:val="24"/>
          <w:u w:val="single"/>
        </w:rPr>
      </w:pPr>
      <w:r w:rsidRPr="0054329C">
        <w:rPr>
          <w:color w:val="000000" w:themeColor="text1"/>
          <w:sz w:val="24"/>
          <w:szCs w:val="24"/>
          <w:u w:val="single"/>
        </w:rPr>
        <w:t xml:space="preserve">Performance </w:t>
      </w:r>
    </w:p>
    <w:p w14:paraId="6315365E" w14:textId="52527DEC" w:rsidR="00353D9C" w:rsidRDefault="00645721" w:rsidP="00CA44D2">
      <w:pPr>
        <w:pStyle w:val="Heading1"/>
        <w:jc w:val="both"/>
        <w:rPr>
          <w:color w:val="000000" w:themeColor="text1"/>
          <w:sz w:val="24"/>
          <w:szCs w:val="24"/>
        </w:rPr>
      </w:pPr>
      <w:r w:rsidRPr="00645721">
        <w:rPr>
          <w:color w:val="000000" w:themeColor="text1"/>
          <w:sz w:val="24"/>
          <w:szCs w:val="24"/>
        </w:rPr>
        <w:t xml:space="preserve">Performance has continued to be monitored throughout the last year through Key Performance Indicators (KPIs). Within Wiltshire 100% of all level 2 cases were reviewed within the 16-week KPI and 100% of level 3 cases were reviewed within the 8-week KPI. All level 2 meetings are chaired by </w:t>
      </w:r>
      <w:r w:rsidR="00353D9C">
        <w:rPr>
          <w:color w:val="000000" w:themeColor="text1"/>
          <w:sz w:val="24"/>
          <w:szCs w:val="24"/>
        </w:rPr>
        <w:t xml:space="preserve">the </w:t>
      </w:r>
      <w:r w:rsidRPr="00645721">
        <w:rPr>
          <w:color w:val="000000" w:themeColor="text1"/>
          <w:sz w:val="24"/>
          <w:szCs w:val="24"/>
        </w:rPr>
        <w:t>MAPPA Co-ordinator</w:t>
      </w:r>
      <w:r w:rsidR="0098253D">
        <w:rPr>
          <w:color w:val="000000" w:themeColor="text1"/>
          <w:sz w:val="24"/>
          <w:szCs w:val="24"/>
        </w:rPr>
        <w:t xml:space="preserve"> to</w:t>
      </w:r>
      <w:r w:rsidRPr="00645721">
        <w:rPr>
          <w:color w:val="000000" w:themeColor="text1"/>
          <w:sz w:val="24"/>
          <w:szCs w:val="24"/>
        </w:rPr>
        <w:t xml:space="preserve"> ensure consistency within the meetings and is attended by all agencies relevant to the case. </w:t>
      </w:r>
    </w:p>
    <w:p w14:paraId="11B40691" w14:textId="77932591" w:rsidR="00332EE6" w:rsidRPr="00645721" w:rsidRDefault="00645721" w:rsidP="00CA44D2">
      <w:pPr>
        <w:pStyle w:val="Heading1"/>
        <w:jc w:val="both"/>
        <w:rPr>
          <w:color w:val="000000" w:themeColor="text1"/>
          <w:sz w:val="24"/>
          <w:szCs w:val="24"/>
        </w:rPr>
      </w:pPr>
      <w:r w:rsidRPr="00645721">
        <w:rPr>
          <w:color w:val="000000" w:themeColor="text1"/>
          <w:sz w:val="24"/>
          <w:szCs w:val="24"/>
        </w:rPr>
        <w:t>Level 3 meetings are either chaired by the Head of the Probation Delivery Unit for Swindon and Wiltshire, or the Detective Superintendent for Wiltshire Police. Attendance at level 3 involves heads of service or senior managers which has been maintained this year. Attendance by agencies at level 2 and 3 meetings is monitored</w:t>
      </w:r>
      <w:r w:rsidR="0098253D">
        <w:rPr>
          <w:color w:val="000000" w:themeColor="text1"/>
          <w:sz w:val="24"/>
          <w:szCs w:val="24"/>
        </w:rPr>
        <w:t xml:space="preserve"> at every meeting</w:t>
      </w:r>
      <w:r w:rsidRPr="00645721">
        <w:rPr>
          <w:color w:val="000000" w:themeColor="text1"/>
          <w:sz w:val="24"/>
          <w:szCs w:val="24"/>
        </w:rPr>
        <w:t xml:space="preserve"> and </w:t>
      </w:r>
      <w:r w:rsidR="0098253D">
        <w:rPr>
          <w:color w:val="000000" w:themeColor="text1"/>
          <w:sz w:val="24"/>
          <w:szCs w:val="24"/>
        </w:rPr>
        <w:t xml:space="preserve">positively </w:t>
      </w:r>
      <w:r w:rsidRPr="00645721">
        <w:rPr>
          <w:color w:val="000000" w:themeColor="text1"/>
          <w:sz w:val="24"/>
          <w:szCs w:val="24"/>
        </w:rPr>
        <w:t xml:space="preserve">has </w:t>
      </w:r>
      <w:r>
        <w:rPr>
          <w:color w:val="000000" w:themeColor="text1"/>
          <w:sz w:val="24"/>
        </w:rPr>
        <w:t xml:space="preserve">shown improvement on last years figures. This is a testament to the hard work and dedication </w:t>
      </w:r>
      <w:r w:rsidR="0098253D">
        <w:rPr>
          <w:color w:val="000000" w:themeColor="text1"/>
          <w:sz w:val="24"/>
        </w:rPr>
        <w:t>o</w:t>
      </w:r>
      <w:r>
        <w:rPr>
          <w:color w:val="000000" w:themeColor="text1"/>
          <w:sz w:val="24"/>
        </w:rPr>
        <w:t xml:space="preserve">f our </w:t>
      </w:r>
      <w:r w:rsidR="0098253D">
        <w:rPr>
          <w:color w:val="000000" w:themeColor="text1"/>
          <w:sz w:val="24"/>
        </w:rPr>
        <w:t>partner</w:t>
      </w:r>
      <w:r>
        <w:rPr>
          <w:color w:val="000000" w:themeColor="text1"/>
          <w:sz w:val="24"/>
        </w:rPr>
        <w:t xml:space="preserve"> agencies for their continued commitment</w:t>
      </w:r>
      <w:r w:rsidRPr="00645721">
        <w:rPr>
          <w:color w:val="000000" w:themeColor="text1"/>
          <w:sz w:val="24"/>
          <w:szCs w:val="24"/>
        </w:rPr>
        <w:t xml:space="preserve">. These meetings ensure that effective information sharing is facilitated, risk is accurately assessed, and robust Risk </w:t>
      </w:r>
      <w:r w:rsidR="00CA44D2">
        <w:rPr>
          <w:color w:val="000000" w:themeColor="text1"/>
          <w:sz w:val="24"/>
          <w:szCs w:val="24"/>
        </w:rPr>
        <w:t>M</w:t>
      </w:r>
      <w:r w:rsidRPr="00645721">
        <w:rPr>
          <w:color w:val="000000" w:themeColor="text1"/>
          <w:sz w:val="24"/>
          <w:szCs w:val="24"/>
        </w:rPr>
        <w:t xml:space="preserve">anagement </w:t>
      </w:r>
      <w:r w:rsidR="00CA44D2">
        <w:rPr>
          <w:color w:val="000000" w:themeColor="text1"/>
          <w:sz w:val="24"/>
          <w:szCs w:val="24"/>
        </w:rPr>
        <w:t>P</w:t>
      </w:r>
      <w:r w:rsidRPr="00645721">
        <w:rPr>
          <w:color w:val="000000" w:themeColor="text1"/>
          <w:sz w:val="24"/>
          <w:szCs w:val="24"/>
        </w:rPr>
        <w:t>lans are developed. Meetings are audited twice a year to ensure that effective standards are maintained.</w:t>
      </w:r>
      <w:r w:rsidR="00CA44D2">
        <w:rPr>
          <w:color w:val="000000" w:themeColor="text1"/>
          <w:sz w:val="24"/>
          <w:szCs w:val="24"/>
        </w:rPr>
        <w:t xml:space="preserve"> </w:t>
      </w:r>
      <w:r w:rsidR="0098253D">
        <w:rPr>
          <w:color w:val="000000" w:themeColor="text1"/>
          <w:sz w:val="24"/>
        </w:rPr>
        <w:t xml:space="preserve">This year saw a further successful audit, with Wiltshire’s overall ratings confirmed as </w:t>
      </w:r>
      <w:r w:rsidR="00CA44D2">
        <w:rPr>
          <w:color w:val="000000" w:themeColor="text1"/>
          <w:sz w:val="24"/>
        </w:rPr>
        <w:t>‘</w:t>
      </w:r>
      <w:r w:rsidR="0098253D">
        <w:rPr>
          <w:color w:val="000000" w:themeColor="text1"/>
          <w:sz w:val="24"/>
        </w:rPr>
        <w:t>managed well</w:t>
      </w:r>
      <w:r w:rsidR="00CA44D2">
        <w:rPr>
          <w:color w:val="000000" w:themeColor="text1"/>
          <w:sz w:val="24"/>
        </w:rPr>
        <w:t>’</w:t>
      </w:r>
      <w:r w:rsidR="0098253D">
        <w:rPr>
          <w:color w:val="000000" w:themeColor="text1"/>
          <w:sz w:val="24"/>
        </w:rPr>
        <w:t xml:space="preserve">.  </w:t>
      </w:r>
      <w:r w:rsidRPr="00645721">
        <w:rPr>
          <w:color w:val="000000" w:themeColor="text1"/>
          <w:sz w:val="24"/>
          <w:szCs w:val="24"/>
        </w:rPr>
        <w:t>Within Wiltshire we have a well-established auditing process which involves partners agencies attendance to enable a collective responsibility to ensure MAPPA processes are effective within the area.</w:t>
      </w:r>
      <w:r w:rsidR="0098253D">
        <w:rPr>
          <w:color w:val="000000" w:themeColor="text1"/>
          <w:sz w:val="24"/>
        </w:rPr>
        <w:t xml:space="preserve"> Next year will see a change to the way in which MAPPA is audited and we look forward to the next period to ensure we are constantly evolving and improving our practice.</w:t>
      </w:r>
    </w:p>
    <w:p w14:paraId="671A6CA5" w14:textId="1DBA7CE5" w:rsidR="00F7341F" w:rsidRDefault="00F7341F" w:rsidP="0098253D">
      <w:pPr>
        <w:pStyle w:val="MAPPA-HeadingPara"/>
        <w:rPr>
          <w:color w:val="000000" w:themeColor="text1"/>
          <w:sz w:val="24"/>
          <w:lang w:val="en-GB"/>
        </w:rPr>
      </w:pPr>
    </w:p>
    <w:p w14:paraId="16562ABF" w14:textId="02B294CB" w:rsidR="0054329C" w:rsidRDefault="0054329C" w:rsidP="0098253D">
      <w:pPr>
        <w:pStyle w:val="MAPPA-HeadingPara"/>
        <w:rPr>
          <w:color w:val="000000" w:themeColor="text1"/>
          <w:sz w:val="24"/>
          <w:lang w:val="en-GB"/>
        </w:rPr>
      </w:pPr>
    </w:p>
    <w:p w14:paraId="75B8B6B8" w14:textId="7163E7FE" w:rsidR="0054329C" w:rsidRPr="0054329C" w:rsidRDefault="0054329C" w:rsidP="0098253D">
      <w:pPr>
        <w:pStyle w:val="MAPPA-HeadingPara"/>
        <w:rPr>
          <w:color w:val="000000" w:themeColor="text1"/>
          <w:sz w:val="24"/>
          <w:u w:val="single"/>
          <w:lang w:val="en-GB"/>
        </w:rPr>
      </w:pPr>
      <w:r w:rsidRPr="0054329C">
        <w:rPr>
          <w:color w:val="000000" w:themeColor="text1"/>
          <w:sz w:val="24"/>
          <w:u w:val="single"/>
          <w:lang w:val="en-GB"/>
        </w:rPr>
        <w:t xml:space="preserve">Business Plan </w:t>
      </w:r>
    </w:p>
    <w:p w14:paraId="70DF9EB8" w14:textId="4E1A3641" w:rsidR="0054329C" w:rsidRDefault="0054329C" w:rsidP="0054329C">
      <w:pPr>
        <w:pStyle w:val="MAPPA-HeadingPara"/>
        <w:rPr>
          <w:color w:val="000000" w:themeColor="text1"/>
          <w:sz w:val="24"/>
          <w:lang w:val="en-GB"/>
        </w:rPr>
      </w:pPr>
      <w:r>
        <w:rPr>
          <w:color w:val="000000" w:themeColor="text1"/>
          <w:sz w:val="24"/>
          <w:lang w:val="en-GB"/>
        </w:rPr>
        <w:t xml:space="preserve">The 2022 – 2025 Business Plan is now live. Our objectives are focused on ensuring that the public and victims are better protected by agencies working together to assess and manage the risks posed by MAPPA Offenders. </w:t>
      </w:r>
    </w:p>
    <w:p w14:paraId="55F813A9" w14:textId="7FCF6ECA" w:rsidR="0054329C" w:rsidRDefault="0054329C" w:rsidP="0054329C">
      <w:pPr>
        <w:pStyle w:val="MAPPA-HeadingPara"/>
        <w:rPr>
          <w:color w:val="000000" w:themeColor="text1"/>
          <w:sz w:val="24"/>
          <w:lang w:val="en-GB"/>
        </w:rPr>
      </w:pPr>
      <w:r>
        <w:rPr>
          <w:color w:val="000000" w:themeColor="text1"/>
          <w:sz w:val="24"/>
          <w:lang w:val="en-GB"/>
        </w:rPr>
        <w:t xml:space="preserve">We continue to review local and national practice to ensure that MAPPA develops in response to learning to ensure that a culture of continuous development prevails. </w:t>
      </w:r>
    </w:p>
    <w:p w14:paraId="53DA3DD5" w14:textId="0C55B523" w:rsidR="0054329C" w:rsidRDefault="0054329C" w:rsidP="0054329C">
      <w:pPr>
        <w:pStyle w:val="MAPPA-HeadingPara"/>
        <w:rPr>
          <w:color w:val="000000" w:themeColor="text1"/>
          <w:sz w:val="24"/>
          <w:lang w:val="en-GB"/>
        </w:rPr>
      </w:pPr>
      <w:r>
        <w:rPr>
          <w:color w:val="000000" w:themeColor="text1"/>
          <w:sz w:val="24"/>
          <w:lang w:val="en-GB"/>
        </w:rPr>
        <w:t xml:space="preserve">All MAPPA offenders will continue to be properly assessed and managed according to MAPPA guidance and active multi agency management will be applied to the most complex and risky cases. </w:t>
      </w:r>
    </w:p>
    <w:p w14:paraId="71599CB9" w14:textId="5ABF1D9B" w:rsidR="00F7341F" w:rsidRDefault="00F7341F" w:rsidP="0054329C">
      <w:pPr>
        <w:pStyle w:val="MAPPA-HeadingPara"/>
        <w:rPr>
          <w:color w:val="000000" w:themeColor="text1"/>
          <w:sz w:val="24"/>
          <w:lang w:val="en-GB"/>
        </w:rPr>
      </w:pPr>
      <w:r>
        <w:rPr>
          <w:noProof/>
        </w:rPr>
        <w:lastRenderedPageBreak/>
        <w:drawing>
          <wp:inline distT="0" distB="0" distL="0" distR="0" wp14:anchorId="53721177" wp14:editId="178A567F">
            <wp:extent cx="4638675" cy="4638675"/>
            <wp:effectExtent l="0" t="0" r="9525" b="9525"/>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21"/>
                    <a:srcRect l="20783" t="21916" r="63020" b="20490"/>
                    <a:stretch/>
                  </pic:blipFill>
                  <pic:spPr bwMode="auto">
                    <a:xfrm>
                      <a:off x="0" y="0"/>
                      <a:ext cx="4638675" cy="4638675"/>
                    </a:xfrm>
                    <a:prstGeom prst="rect">
                      <a:avLst/>
                    </a:prstGeom>
                    <a:ln>
                      <a:noFill/>
                    </a:ln>
                    <a:extLst>
                      <a:ext uri="{53640926-AAD7-44D8-BBD7-CCE9431645EC}">
                        <a14:shadowObscured xmlns:a14="http://schemas.microsoft.com/office/drawing/2010/main"/>
                      </a:ext>
                    </a:extLst>
                  </pic:spPr>
                </pic:pic>
              </a:graphicData>
            </a:graphic>
          </wp:inline>
        </w:drawing>
      </w:r>
    </w:p>
    <w:p w14:paraId="1588588C" w14:textId="77777777" w:rsidR="00F7341F" w:rsidRDefault="00F7341F" w:rsidP="0098253D">
      <w:pPr>
        <w:pStyle w:val="MAPPA-HeadingPara"/>
        <w:rPr>
          <w:color w:val="000000" w:themeColor="text1"/>
          <w:sz w:val="24"/>
          <w:lang w:val="en-GB"/>
        </w:r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Pr="00B01E0C" w:rsidRDefault="006B4EA5"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43643367" w:rsidR="00DE3907" w:rsidRPr="006954C2" w:rsidRDefault="0052760C" w:rsidP="005A1B9A">
      <w:pPr>
        <w:jc w:val="center"/>
        <w:rPr>
          <w:rFonts w:ascii="Arial" w:hAnsi="Arial" w:cs="Arial"/>
          <w:b/>
          <w:bCs/>
          <w:color w:val="7030A0"/>
        </w:rPr>
      </w:pPr>
      <w:r w:rsidRPr="006954C2">
        <w:rPr>
          <w:rFonts w:ascii="Arial" w:hAnsi="Arial" w:cs="Arial"/>
          <w:b/>
          <w:bCs/>
          <w:color w:val="7030A0"/>
        </w:rPr>
        <w:t>Insert Police logo here</w:t>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7B533" w14:textId="77777777" w:rsidR="00481605" w:rsidRDefault="00481605" w:rsidP="001A5708">
      <w:pPr>
        <w:pStyle w:val="MAPPA-Bodytext"/>
      </w:pPr>
      <w:r>
        <w:separator/>
      </w:r>
    </w:p>
  </w:endnote>
  <w:endnote w:type="continuationSeparator" w:id="0">
    <w:p w14:paraId="6EE73EEB" w14:textId="77777777" w:rsidR="00481605" w:rsidRDefault="00481605" w:rsidP="001A5708">
      <w:pPr>
        <w:pStyle w:val="MAPPA-Bodytext"/>
      </w:pPr>
      <w:r>
        <w:continuationSeparator/>
      </w:r>
    </w:p>
  </w:endnote>
  <w:endnote w:type="continuationNotice" w:id="1">
    <w:p w14:paraId="32C1BB2B" w14:textId="77777777" w:rsidR="00481605" w:rsidRDefault="00481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118E" w14:textId="77777777" w:rsidR="00481605" w:rsidRDefault="00481605" w:rsidP="001A5708">
      <w:pPr>
        <w:pStyle w:val="MAPPA-Bodytext"/>
      </w:pPr>
      <w:r>
        <w:separator/>
      </w:r>
    </w:p>
  </w:footnote>
  <w:footnote w:type="continuationSeparator" w:id="0">
    <w:p w14:paraId="3040E845" w14:textId="77777777" w:rsidR="00481605" w:rsidRDefault="00481605" w:rsidP="001A5708">
      <w:pPr>
        <w:pStyle w:val="MAPPA-Bodytext"/>
      </w:pPr>
      <w:r>
        <w:continuationSeparator/>
      </w:r>
    </w:p>
  </w:footnote>
  <w:footnote w:type="continuationNotice" w:id="1">
    <w:p w14:paraId="456282D9" w14:textId="77777777" w:rsidR="00481605" w:rsidRDefault="004816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6C50"/>
    <w:rsid w:val="00017F96"/>
    <w:rsid w:val="000206AF"/>
    <w:rsid w:val="00021CBE"/>
    <w:rsid w:val="00033165"/>
    <w:rsid w:val="00036426"/>
    <w:rsid w:val="00051C64"/>
    <w:rsid w:val="000536B2"/>
    <w:rsid w:val="000575B1"/>
    <w:rsid w:val="000576D6"/>
    <w:rsid w:val="00062F55"/>
    <w:rsid w:val="000739BA"/>
    <w:rsid w:val="00073E28"/>
    <w:rsid w:val="000809B8"/>
    <w:rsid w:val="0009323B"/>
    <w:rsid w:val="000A6775"/>
    <w:rsid w:val="000E3453"/>
    <w:rsid w:val="000F355B"/>
    <w:rsid w:val="000F65BF"/>
    <w:rsid w:val="00105344"/>
    <w:rsid w:val="00105467"/>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3D9C"/>
    <w:rsid w:val="003554C4"/>
    <w:rsid w:val="003668BB"/>
    <w:rsid w:val="00391BEB"/>
    <w:rsid w:val="00395ED3"/>
    <w:rsid w:val="00396101"/>
    <w:rsid w:val="00397110"/>
    <w:rsid w:val="003A385F"/>
    <w:rsid w:val="003B6695"/>
    <w:rsid w:val="003C0362"/>
    <w:rsid w:val="003C36DD"/>
    <w:rsid w:val="003D3D7F"/>
    <w:rsid w:val="003E0965"/>
    <w:rsid w:val="003F03F6"/>
    <w:rsid w:val="003F4170"/>
    <w:rsid w:val="00410720"/>
    <w:rsid w:val="00416B8E"/>
    <w:rsid w:val="00421553"/>
    <w:rsid w:val="004265C9"/>
    <w:rsid w:val="0043417E"/>
    <w:rsid w:val="00441138"/>
    <w:rsid w:val="00441413"/>
    <w:rsid w:val="0044659C"/>
    <w:rsid w:val="00447974"/>
    <w:rsid w:val="004602E7"/>
    <w:rsid w:val="0046416B"/>
    <w:rsid w:val="00476A59"/>
    <w:rsid w:val="00481605"/>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4329C"/>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E3202"/>
    <w:rsid w:val="005F006A"/>
    <w:rsid w:val="005F4133"/>
    <w:rsid w:val="006231D6"/>
    <w:rsid w:val="00645721"/>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4EA5"/>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53D"/>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893"/>
    <w:rsid w:val="00AE4C19"/>
    <w:rsid w:val="00AE535B"/>
    <w:rsid w:val="00AF7C22"/>
    <w:rsid w:val="00B01E0C"/>
    <w:rsid w:val="00B0446D"/>
    <w:rsid w:val="00B06F75"/>
    <w:rsid w:val="00B163F4"/>
    <w:rsid w:val="00B23C80"/>
    <w:rsid w:val="00B24A02"/>
    <w:rsid w:val="00B27C0E"/>
    <w:rsid w:val="00B31964"/>
    <w:rsid w:val="00B33112"/>
    <w:rsid w:val="00B356B4"/>
    <w:rsid w:val="00B35A3E"/>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44D2"/>
    <w:rsid w:val="00CA696D"/>
    <w:rsid w:val="00CC1C96"/>
    <w:rsid w:val="00CD65F2"/>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341F"/>
    <w:rsid w:val="00F762D0"/>
    <w:rsid w:val="00F83EB4"/>
    <w:rsid w:val="00F967D7"/>
    <w:rsid w:val="00FA3513"/>
    <w:rsid w:val="00FA54A1"/>
    <w:rsid w:val="00FA7018"/>
    <w:rsid w:val="00FB3B49"/>
    <w:rsid w:val="00FC5883"/>
    <w:rsid w:val="00FD3AE1"/>
    <w:rsid w:val="00FD5A6F"/>
    <w:rsid w:val="00FD6B53"/>
    <w:rsid w:val="00FD6E86"/>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4F0A90"/>
  <w15:docId w15:val="{79417DF6-01A4-4969-B9F5-A405EAF1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21208207">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21672149">
      <w:bodyDiv w:val="1"/>
      <w:marLeft w:val="0"/>
      <w:marRight w:val="0"/>
      <w:marTop w:val="0"/>
      <w:marBottom w:val="0"/>
      <w:divBdr>
        <w:top w:val="none" w:sz="0" w:space="0" w:color="auto"/>
        <w:left w:val="none" w:sz="0" w:space="0" w:color="auto"/>
        <w:bottom w:val="none" w:sz="0" w:space="0" w:color="auto"/>
        <w:right w:val="none" w:sz="0" w:space="0" w:color="auto"/>
      </w:divBdr>
      <w:divsChild>
        <w:div w:id="797649337">
          <w:marLeft w:val="547"/>
          <w:marRight w:val="0"/>
          <w:marTop w:val="0"/>
          <w:marBottom w:val="0"/>
          <w:divBdr>
            <w:top w:val="none" w:sz="0" w:space="0" w:color="auto"/>
            <w:left w:val="none" w:sz="0" w:space="0" w:color="auto"/>
            <w:bottom w:val="none" w:sz="0" w:space="0" w:color="auto"/>
            <w:right w:val="none" w:sz="0" w:space="0" w:color="auto"/>
          </w:divBdr>
        </w:div>
        <w:div w:id="366416123">
          <w:marLeft w:val="1166"/>
          <w:marRight w:val="0"/>
          <w:marTop w:val="0"/>
          <w:marBottom w:val="0"/>
          <w:divBdr>
            <w:top w:val="none" w:sz="0" w:space="0" w:color="auto"/>
            <w:left w:val="none" w:sz="0" w:space="0" w:color="auto"/>
            <w:bottom w:val="none" w:sz="0" w:space="0" w:color="auto"/>
            <w:right w:val="none" w:sz="0" w:space="0" w:color="auto"/>
          </w:divBdr>
        </w:div>
        <w:div w:id="1896240332">
          <w:marLeft w:val="1166"/>
          <w:marRight w:val="0"/>
          <w:marTop w:val="0"/>
          <w:marBottom w:val="0"/>
          <w:divBdr>
            <w:top w:val="none" w:sz="0" w:space="0" w:color="auto"/>
            <w:left w:val="none" w:sz="0" w:space="0" w:color="auto"/>
            <w:bottom w:val="none" w:sz="0" w:space="0" w:color="auto"/>
            <w:right w:val="none" w:sz="0" w:space="0" w:color="auto"/>
          </w:divBdr>
        </w:div>
        <w:div w:id="121701105">
          <w:marLeft w:val="1166"/>
          <w:marRight w:val="0"/>
          <w:marTop w:val="0"/>
          <w:marBottom w:val="0"/>
          <w:divBdr>
            <w:top w:val="none" w:sz="0" w:space="0" w:color="auto"/>
            <w:left w:val="none" w:sz="0" w:space="0" w:color="auto"/>
            <w:bottom w:val="none" w:sz="0" w:space="0" w:color="auto"/>
            <w:right w:val="none" w:sz="0" w:space="0" w:color="auto"/>
          </w:divBdr>
        </w:div>
        <w:div w:id="1314482540">
          <w:marLeft w:val="1166"/>
          <w:marRight w:val="0"/>
          <w:marTop w:val="0"/>
          <w:marBottom w:val="0"/>
          <w:divBdr>
            <w:top w:val="none" w:sz="0" w:space="0" w:color="auto"/>
            <w:left w:val="none" w:sz="0" w:space="0" w:color="auto"/>
            <w:bottom w:val="none" w:sz="0" w:space="0" w:color="auto"/>
            <w:right w:val="none" w:sz="0" w:space="0" w:color="auto"/>
          </w:divBdr>
        </w:div>
      </w:divsChild>
    </w:div>
    <w:div w:id="195586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3103</Words>
  <Characters>17010</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2023-10-23T10:36:00Z</dcterms:created>
  <dcterms:modified xsi:type="dcterms:W3CDTF">2023-10-23T11:44:00Z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