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5AA8A151" w:rsidR="003C0362" w:rsidRPr="00017BDE" w:rsidRDefault="00017BDE" w:rsidP="00D5409B">
      <w:pPr>
        <w:pStyle w:val="Heading1"/>
        <w:rPr>
          <w:rStyle w:val="IntenseReference"/>
          <w:b w:val="0"/>
          <w:bCs w:val="0"/>
          <w:smallCaps w:val="0"/>
          <w:color w:val="7030A0"/>
          <w:spacing w:val="0"/>
        </w:rPr>
      </w:pPr>
      <w:r w:rsidRPr="00017BDE">
        <w:rPr>
          <w:rStyle w:val="IntenseReference"/>
          <w:b w:val="0"/>
          <w:bCs w:val="0"/>
          <w:smallCaps w:val="0"/>
          <w:color w:val="7030A0"/>
          <w:spacing w:val="0"/>
        </w:rPr>
        <w:t xml:space="preserve">West Yorkshire </w:t>
      </w:r>
    </w:p>
    <w:p w14:paraId="3BD9C663" w14:textId="5447F899" w:rsidR="009311B4" w:rsidRPr="0069414D" w:rsidRDefault="003C0362" w:rsidP="00017BDE">
      <w:pPr>
        <w:pStyle w:val="Default"/>
        <w:ind w:left="284" w:firstLine="283"/>
        <w:rPr>
          <w:rFonts w:ascii="Arial" w:hAnsi="Arial" w:cs="Arial"/>
          <w:color w:val="7030A0"/>
          <w:sz w:val="68"/>
          <w:szCs w:val="68"/>
        </w:rPr>
      </w:pPr>
      <w:r w:rsidRPr="0069414D">
        <w:rPr>
          <w:noProof/>
          <w:color w:val="7030A0"/>
        </w:rPr>
        <w:drawing>
          <wp:inline distT="0" distB="0" distL="0" distR="0" wp14:anchorId="5042E0A7" wp14:editId="04A05A9D">
            <wp:extent cx="6733439" cy="4970780"/>
            <wp:effectExtent l="57150" t="0" r="48895" b="11557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82247" cy="5006811"/>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0970624" w14:textId="77777777" w:rsidR="00017BDE" w:rsidRDefault="00017BDE" w:rsidP="008D1CDE">
      <w:pPr>
        <w:pStyle w:val="Heading1"/>
      </w:pPr>
      <w:r>
        <w:t>2024-2025</w:t>
      </w:r>
    </w:p>
    <w:p w14:paraId="33C8252F" w14:textId="55EAED1B"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4349EC" w:rsidRDefault="00332EE6" w:rsidP="008D1CDE">
      <w:pPr>
        <w:pStyle w:val="Heading1"/>
        <w:jc w:val="left"/>
        <w:rPr>
          <w:sz w:val="72"/>
          <w:szCs w:val="72"/>
        </w:rPr>
      </w:pPr>
      <w:r w:rsidRPr="004349EC">
        <w:rPr>
          <w:sz w:val="96"/>
          <w:szCs w:val="96"/>
        </w:rPr>
        <w:lastRenderedPageBreak/>
        <w:t>Intro</w:t>
      </w:r>
      <w:r w:rsidR="00687BD5" w:rsidRPr="004349EC">
        <w:rPr>
          <w:sz w:val="96"/>
          <w:szCs w:val="96"/>
        </w:rPr>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096466ED" w14:textId="77777777" w:rsidR="00850A58" w:rsidRDefault="00850A58" w:rsidP="00850A58">
      <w:pPr>
        <w:pStyle w:val="Default"/>
        <w:rPr>
          <w:rFonts w:ascii="Arial" w:hAnsi="Arial" w:cs="Arial"/>
          <w:color w:val="FFFFFF"/>
          <w:sz w:val="20"/>
          <w:szCs w:val="20"/>
        </w:rPr>
      </w:pPr>
      <w:r>
        <w:rPr>
          <w:noProof/>
        </w:rPr>
        <w:drawing>
          <wp:anchor distT="0" distB="0" distL="114300" distR="114300" simplePos="0" relativeHeight="251660288" behindDoc="0" locked="0" layoutInCell="1" allowOverlap="1" wp14:anchorId="6AE68FCE" wp14:editId="484A2919">
            <wp:simplePos x="0" y="0"/>
            <wp:positionH relativeFrom="margin">
              <wp:align>left</wp:align>
            </wp:positionH>
            <wp:positionV relativeFrom="paragraph">
              <wp:posOffset>95250</wp:posOffset>
            </wp:positionV>
            <wp:extent cx="1750695" cy="2438400"/>
            <wp:effectExtent l="0" t="0" r="1905" b="0"/>
            <wp:wrapSquare wrapText="bothSides"/>
            <wp:docPr id="16217085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08561" name="Picture 1">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0695" cy="2438400"/>
                    </a:xfrm>
                    <a:prstGeom prst="rect">
                      <a:avLst/>
                    </a:prstGeom>
                    <a:noFill/>
                  </pic:spPr>
                </pic:pic>
              </a:graphicData>
            </a:graphic>
            <wp14:sizeRelV relativeFrom="margin">
              <wp14:pctHeight>0</wp14:pctHeight>
            </wp14:sizeRelV>
          </wp:anchor>
        </w:drawing>
      </w:r>
    </w:p>
    <w:p w14:paraId="6BCD5442" w14:textId="77777777" w:rsidR="00850A58" w:rsidRPr="006A45B8" w:rsidRDefault="00850A58" w:rsidP="00850A58">
      <w:pPr>
        <w:pStyle w:val="MAPPA-Bodytext"/>
        <w:rPr>
          <w:lang w:val="en-GB"/>
        </w:rPr>
      </w:pPr>
      <w:r w:rsidRPr="006A45B8">
        <w:rPr>
          <w:lang w:val="en-GB"/>
        </w:rPr>
        <w:br w:type="column"/>
      </w:r>
    </w:p>
    <w:p w14:paraId="3F2650BA" w14:textId="77777777" w:rsidR="00850A58" w:rsidRPr="006A45B8" w:rsidRDefault="00850A58" w:rsidP="00850A58">
      <w:pPr>
        <w:pStyle w:val="MAPPA-Bodytext"/>
        <w:rPr>
          <w:lang w:val="en-GB"/>
        </w:rPr>
      </w:pPr>
    </w:p>
    <w:p w14:paraId="3BF3C703" w14:textId="77777777" w:rsidR="00850A58" w:rsidRDefault="00850A58" w:rsidP="00850A58">
      <w:pPr>
        <w:pStyle w:val="Default"/>
        <w:rPr>
          <w:rFonts w:ascii="Arial" w:hAnsi="Arial" w:cs="Arial"/>
          <w:color w:val="FFFFFF"/>
          <w:sz w:val="20"/>
          <w:szCs w:val="20"/>
        </w:rPr>
      </w:pPr>
    </w:p>
    <w:p w14:paraId="122696F5" w14:textId="77777777" w:rsidR="00850A58" w:rsidRDefault="00850A58" w:rsidP="00850A58">
      <w:pPr>
        <w:pStyle w:val="Default"/>
        <w:rPr>
          <w:rFonts w:ascii="Arial" w:hAnsi="Arial" w:cs="Arial"/>
          <w:color w:val="FFFFFF"/>
          <w:sz w:val="20"/>
          <w:szCs w:val="20"/>
        </w:rPr>
        <w:sectPr w:rsidR="00850A58" w:rsidSect="00850A58">
          <w:footerReference w:type="first" r:id="rId19"/>
          <w:type w:val="continuous"/>
          <w:pgSz w:w="11905" w:h="16837" w:code="9"/>
          <w:pgMar w:top="720" w:right="720" w:bottom="720" w:left="720" w:header="720" w:footer="567" w:gutter="0"/>
          <w:cols w:num="2" w:space="720"/>
          <w:noEndnote/>
          <w:rtlGutter/>
        </w:sectPr>
      </w:pPr>
    </w:p>
    <w:p w14:paraId="6D79F8D0" w14:textId="77777777" w:rsidR="00850A58" w:rsidRDefault="00850A58" w:rsidP="00850A58">
      <w:pPr>
        <w:pStyle w:val="Default"/>
        <w:rPr>
          <w:rFonts w:ascii="Arial" w:hAnsi="Arial" w:cs="Arial"/>
          <w:color w:val="FFFFFF"/>
          <w:sz w:val="20"/>
          <w:szCs w:val="20"/>
        </w:rPr>
      </w:pPr>
    </w:p>
    <w:p w14:paraId="7B4B2C29" w14:textId="77777777" w:rsidR="00850A58" w:rsidRPr="007C7106" w:rsidRDefault="00850A58" w:rsidP="00850A58">
      <w:pPr>
        <w:pStyle w:val="Default"/>
        <w:rPr>
          <w:rFonts w:ascii="Arial" w:hAnsi="Arial" w:cs="Arial"/>
          <w:color w:val="FFFFFF"/>
          <w:sz w:val="20"/>
          <w:szCs w:val="20"/>
        </w:rPr>
      </w:pPr>
    </w:p>
    <w:p w14:paraId="0DEA109E" w14:textId="77777777" w:rsidR="00850A58" w:rsidRDefault="00850A58" w:rsidP="00850A58"/>
    <w:p w14:paraId="678C2A47" w14:textId="77777777" w:rsidR="00850A58" w:rsidRDefault="00850A58" w:rsidP="00850A58"/>
    <w:p w14:paraId="073EDE6E" w14:textId="77777777" w:rsidR="00850A58" w:rsidRDefault="00850A58" w:rsidP="00850A58">
      <w:pPr>
        <w:rPr>
          <w:rFonts w:cs="Arial"/>
          <w:b/>
          <w:bCs/>
        </w:rPr>
      </w:pPr>
    </w:p>
    <w:p w14:paraId="11E7E660" w14:textId="77777777" w:rsidR="00850A58" w:rsidRDefault="00850A58" w:rsidP="00850A58">
      <w:pPr>
        <w:rPr>
          <w:rFonts w:cs="Arial"/>
          <w:b/>
          <w:bCs/>
        </w:rPr>
      </w:pPr>
    </w:p>
    <w:p w14:paraId="7FB6DEDE" w14:textId="77777777" w:rsidR="00554C9B" w:rsidRDefault="00554C9B" w:rsidP="00850A58">
      <w:pPr>
        <w:rPr>
          <w:rFonts w:cs="Arial"/>
          <w:b/>
          <w:bCs/>
        </w:rPr>
      </w:pPr>
    </w:p>
    <w:p w14:paraId="6322B49C" w14:textId="60177A2C" w:rsidR="00850A58" w:rsidRPr="00B80A6D" w:rsidRDefault="00850A58" w:rsidP="00850A58">
      <w:pPr>
        <w:rPr>
          <w:rFonts w:cs="Arial"/>
          <w:b/>
          <w:bCs/>
        </w:rPr>
      </w:pPr>
      <w:r w:rsidRPr="00B80A6D">
        <w:rPr>
          <w:rFonts w:cs="Arial"/>
          <w:b/>
          <w:bCs/>
        </w:rPr>
        <w:t>MAPPA SMB Chair – Assistant Chief Constable Damien Miller.</w:t>
      </w:r>
    </w:p>
    <w:p w14:paraId="4577C087" w14:textId="77777777" w:rsidR="00850A58" w:rsidRPr="001E3461" w:rsidRDefault="00850A58" w:rsidP="00850A58">
      <w:pPr>
        <w:jc w:val="both"/>
        <w:rPr>
          <w:rFonts w:cs="Arial"/>
        </w:rPr>
      </w:pPr>
      <w:r w:rsidRPr="001E3461">
        <w:rPr>
          <w:rFonts w:cs="Arial"/>
        </w:rPr>
        <w:t>On behalf of the Multi-Agency Public Protection Arrangements (MAPPA) Strategic Management Board (SMB) I am pleased to present the 202</w:t>
      </w:r>
      <w:r>
        <w:rPr>
          <w:rFonts w:cs="Arial"/>
        </w:rPr>
        <w:t>4</w:t>
      </w:r>
      <w:r w:rsidRPr="001E3461">
        <w:rPr>
          <w:rFonts w:cs="Arial"/>
        </w:rPr>
        <w:t>-202</w:t>
      </w:r>
      <w:r>
        <w:rPr>
          <w:rFonts w:cs="Arial"/>
        </w:rPr>
        <w:t>5</w:t>
      </w:r>
      <w:r w:rsidRPr="001E3461">
        <w:rPr>
          <w:rFonts w:cs="Arial"/>
        </w:rPr>
        <w:t xml:space="preserve"> annual report. This is intended to provide an insight into the MAPPA arrangements across West Yorkshire and highlight the hard work across the partnership to protect and safeguard our communities.</w:t>
      </w:r>
    </w:p>
    <w:p w14:paraId="1E21DE8D" w14:textId="77777777" w:rsidR="00850A58" w:rsidRPr="001E3461" w:rsidRDefault="00850A58" w:rsidP="00850A58">
      <w:pPr>
        <w:jc w:val="both"/>
        <w:rPr>
          <w:rFonts w:cs="Arial"/>
        </w:rPr>
      </w:pPr>
      <w:r w:rsidRPr="001E3461">
        <w:rPr>
          <w:rFonts w:cs="Arial"/>
        </w:rPr>
        <w:t>Established under the Criminal Justice Act 2003</w:t>
      </w:r>
      <w:r>
        <w:rPr>
          <w:rFonts w:cs="Arial"/>
        </w:rPr>
        <w:t>,</w:t>
      </w:r>
      <w:r w:rsidRPr="001E3461">
        <w:rPr>
          <w:rFonts w:cs="Arial"/>
        </w:rPr>
        <w:t xml:space="preserve"> MAPPA creates a statutory responsibility and legislative framework to ensure the robust management of sexual, violent or other dangerous offenders. The Police, Prisons and Probation work closely together as the Responsible Authority (RA) and are supported by the expertise and resources of the Duty to Co-operate agencies including Housing, Social Care, Health, Youth Justice, Electronic Monitoring Services, Home Office immigration, DWP and Education.</w:t>
      </w:r>
    </w:p>
    <w:p w14:paraId="14638318" w14:textId="77777777" w:rsidR="00850A58" w:rsidRPr="001E3461" w:rsidRDefault="00850A58" w:rsidP="00850A58">
      <w:pPr>
        <w:jc w:val="both"/>
        <w:rPr>
          <w:rFonts w:cs="Arial"/>
        </w:rPr>
      </w:pPr>
      <w:r w:rsidRPr="001E3461">
        <w:rPr>
          <w:rFonts w:cs="Arial"/>
        </w:rPr>
        <w:t>As a partnership we are committed to the sharing of information to appropriately assess and manage those individuals who pose the greatest risk of harm to our communities. Each agency contributes effectively to an environment where professional challenge is encouraged, and accountability is embedded. This culture challenges each agency, and the SMB, to strive for continuous improvement resulting in more effective supervision and better public protection. I would like to thank all partner agencies involved with MAPPA for their professionalism, hard work and dedication with what is a complex and difficult task.</w:t>
      </w:r>
    </w:p>
    <w:p w14:paraId="1F9E71FD" w14:textId="77777777" w:rsidR="004349EC" w:rsidRDefault="00850A58" w:rsidP="00850A58">
      <w:pPr>
        <w:jc w:val="both"/>
        <w:rPr>
          <w:rFonts w:cs="Arial"/>
        </w:rPr>
      </w:pPr>
      <w:r>
        <w:rPr>
          <w:rFonts w:cs="Arial"/>
        </w:rPr>
        <w:t>My time as MAPPA SMB Chair is shortly coming to an end, and as of January 2026 the responsibility will be passed to the Probation Service with Anja Woods taking up the role. On behalf of myself and West Yorkshire Police, I would like to take this opportunity to thank all members and partner agencies involved in the SMB meetings for the support I have received over the last two years in my capacity as Chair, and I would like to especially thank Detective Chief Inspector Wayne Horner, who after 34 years of service with West Yorkshire Police, retired in October 2025. Wayne has been instrumental in the delivery of the MAPPA SMB since 2017, and I thank him for his years of hard work and dedication to maintaining and improving MAPPA arrangements across West Yorkshire. I would like to extend a warm welcome to Detective Chief Inspector Stephanie Fox who has now taken up this position and I am confident that she will continue to build on the fantastic work that Wayne has completed to date.</w:t>
      </w:r>
      <w:r w:rsidR="004349EC">
        <w:rPr>
          <w:rFonts w:cs="Arial"/>
        </w:rPr>
        <w:t xml:space="preserve"> </w:t>
      </w:r>
    </w:p>
    <w:p w14:paraId="12E15E2D" w14:textId="2BFCE308" w:rsidR="00850A58" w:rsidRDefault="00850A58" w:rsidP="00850A58">
      <w:pPr>
        <w:jc w:val="both"/>
        <w:rPr>
          <w:rFonts w:cs="Arial"/>
        </w:rPr>
      </w:pPr>
      <w:r w:rsidRPr="001E3461">
        <w:rPr>
          <w:rFonts w:cs="Arial"/>
        </w:rPr>
        <w:t>The SMB will continue to take everything we have learnt through this period of delivery to develop even stronger working practices and approaches to MAPPA throughout the coming year,</w:t>
      </w:r>
      <w:r>
        <w:rPr>
          <w:rFonts w:cs="Arial"/>
        </w:rPr>
        <w:t xml:space="preserve"> and I wish Anja every success in taking up the role of MAPPA SMB Chair going forward. </w:t>
      </w:r>
    </w:p>
    <w:p w14:paraId="433255E2" w14:textId="1C87C6B6" w:rsidR="00332EE6" w:rsidRPr="0069414D" w:rsidRDefault="00332EE6" w:rsidP="008D1CDE">
      <w:pPr>
        <w:pStyle w:val="Heading1"/>
        <w:jc w:val="left"/>
      </w:pP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4349EC">
          <w:type w:val="continuous"/>
          <w:pgSz w:w="11905" w:h="16837" w:code="9"/>
          <w:pgMar w:top="720" w:right="720" w:bottom="284" w:left="720" w:header="720" w:footer="0"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lastRenderedPageBreak/>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554C9B" w14:paraId="24F5454D" w14:textId="77777777" w:rsidTr="00D84A02">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554C9B" w:rsidRPr="00523CF4" w:rsidRDefault="00554C9B" w:rsidP="00554C9B">
            <w:pPr>
              <w:pStyle w:val="MAPPA-Tabletext"/>
              <w:rPr>
                <w:b w:val="0"/>
                <w:bCs w:val="0"/>
                <w:sz w:val="24"/>
                <w:szCs w:val="24"/>
                <w:lang w:val="en-GB"/>
              </w:rPr>
            </w:pPr>
            <w:r w:rsidRPr="00523CF4">
              <w:rPr>
                <w:b w:val="0"/>
                <w:bCs w:val="0"/>
                <w:sz w:val="24"/>
                <w:szCs w:val="24"/>
                <w:lang w:val="en-GB"/>
              </w:rPr>
              <w:t>Level 1</w:t>
            </w:r>
          </w:p>
        </w:tc>
        <w:tc>
          <w:tcPr>
            <w:tcW w:w="2185" w:type="dxa"/>
            <w:shd w:val="clear" w:color="auto" w:fill="auto"/>
          </w:tcPr>
          <w:p w14:paraId="58BE43B8" w14:textId="745930C9"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3486</w:t>
            </w:r>
          </w:p>
        </w:tc>
        <w:tc>
          <w:tcPr>
            <w:tcW w:w="2186" w:type="dxa"/>
            <w:shd w:val="clear" w:color="auto" w:fill="auto"/>
          </w:tcPr>
          <w:p w14:paraId="1638E0FC" w14:textId="1CB18316"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1182</w:t>
            </w:r>
          </w:p>
        </w:tc>
        <w:tc>
          <w:tcPr>
            <w:tcW w:w="2186" w:type="dxa"/>
            <w:shd w:val="clear" w:color="auto" w:fill="auto"/>
          </w:tcPr>
          <w:p w14:paraId="1F1BCFAF" w14:textId="60FEA467"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sz w:val="24"/>
                <w:szCs w:val="24"/>
              </w:rPr>
              <w:t>-</w:t>
            </w:r>
          </w:p>
        </w:tc>
        <w:tc>
          <w:tcPr>
            <w:tcW w:w="2186" w:type="dxa"/>
            <w:shd w:val="clear" w:color="auto" w:fill="auto"/>
          </w:tcPr>
          <w:p w14:paraId="08FB1F87" w14:textId="23F5F337"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4668</w:t>
            </w:r>
          </w:p>
        </w:tc>
      </w:tr>
      <w:tr w:rsidR="00554C9B" w14:paraId="26CC6737" w14:textId="77777777" w:rsidTr="00D84A02">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554C9B" w:rsidRPr="00523CF4" w:rsidRDefault="00554C9B" w:rsidP="00554C9B">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3BFD270" w14:textId="2D8038C2"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45</w:t>
            </w:r>
          </w:p>
        </w:tc>
        <w:tc>
          <w:tcPr>
            <w:tcW w:w="2186" w:type="dxa"/>
            <w:shd w:val="clear" w:color="auto" w:fill="auto"/>
          </w:tcPr>
          <w:p w14:paraId="10F8D0CE" w14:textId="2B0E31A9"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41</w:t>
            </w:r>
          </w:p>
        </w:tc>
        <w:tc>
          <w:tcPr>
            <w:tcW w:w="2186" w:type="dxa"/>
            <w:shd w:val="clear" w:color="auto" w:fill="auto"/>
          </w:tcPr>
          <w:p w14:paraId="346F3891" w14:textId="5A93E94C"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25</w:t>
            </w:r>
          </w:p>
        </w:tc>
        <w:tc>
          <w:tcPr>
            <w:tcW w:w="2186" w:type="dxa"/>
            <w:shd w:val="clear" w:color="auto" w:fill="auto"/>
          </w:tcPr>
          <w:p w14:paraId="29D9E254" w14:textId="7769FEB1"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111</w:t>
            </w:r>
          </w:p>
        </w:tc>
      </w:tr>
      <w:tr w:rsidR="00554C9B" w14:paraId="0E7972C5" w14:textId="77777777" w:rsidTr="00D84A02">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554C9B" w:rsidRPr="00523CF4" w:rsidRDefault="00554C9B" w:rsidP="00554C9B">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48775E9A" w14:textId="385CD6B2"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w:t>
            </w:r>
          </w:p>
        </w:tc>
        <w:tc>
          <w:tcPr>
            <w:tcW w:w="2186" w:type="dxa"/>
            <w:shd w:val="clear" w:color="auto" w:fill="auto"/>
          </w:tcPr>
          <w:p w14:paraId="26751848" w14:textId="5CA53105"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2</w:t>
            </w:r>
          </w:p>
        </w:tc>
        <w:tc>
          <w:tcPr>
            <w:tcW w:w="2186" w:type="dxa"/>
            <w:shd w:val="clear" w:color="auto" w:fill="auto"/>
          </w:tcPr>
          <w:p w14:paraId="75314FEE" w14:textId="48567C29"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w:t>
            </w:r>
          </w:p>
        </w:tc>
        <w:tc>
          <w:tcPr>
            <w:tcW w:w="2186" w:type="dxa"/>
            <w:shd w:val="clear" w:color="auto" w:fill="auto"/>
          </w:tcPr>
          <w:p w14:paraId="7FD44C20" w14:textId="38E60796"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4</w:t>
            </w:r>
          </w:p>
        </w:tc>
      </w:tr>
      <w:tr w:rsidR="00554C9B" w14:paraId="156A4569" w14:textId="77777777" w:rsidTr="00D84A02">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554C9B" w:rsidRPr="00523CF4" w:rsidRDefault="00554C9B" w:rsidP="00554C9B">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425DA3C" w14:textId="6BBDE566"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3532</w:t>
            </w:r>
          </w:p>
        </w:tc>
        <w:tc>
          <w:tcPr>
            <w:tcW w:w="2186" w:type="dxa"/>
            <w:shd w:val="clear" w:color="auto" w:fill="auto"/>
          </w:tcPr>
          <w:p w14:paraId="4B320A3C" w14:textId="6F166713"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1225</w:t>
            </w:r>
          </w:p>
        </w:tc>
        <w:tc>
          <w:tcPr>
            <w:tcW w:w="2186" w:type="dxa"/>
            <w:shd w:val="clear" w:color="auto" w:fill="auto"/>
          </w:tcPr>
          <w:p w14:paraId="59BF82DA" w14:textId="497D28D5"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26</w:t>
            </w:r>
          </w:p>
        </w:tc>
        <w:tc>
          <w:tcPr>
            <w:tcW w:w="2186" w:type="dxa"/>
            <w:shd w:val="clear" w:color="auto" w:fill="auto"/>
          </w:tcPr>
          <w:p w14:paraId="230BC3FB" w14:textId="619440A1" w:rsidR="00554C9B" w:rsidRPr="00A962A1" w:rsidRDefault="00554C9B" w:rsidP="00554C9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4783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962A1" w14:paraId="291342B9" w14:textId="77777777" w:rsidTr="00984F79">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962A1" w:rsidRPr="00523CF4" w:rsidRDefault="00A962A1" w:rsidP="00A962A1">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0E2F9B08"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54</w:t>
            </w:r>
          </w:p>
        </w:tc>
        <w:tc>
          <w:tcPr>
            <w:tcW w:w="2186" w:type="dxa"/>
            <w:shd w:val="clear" w:color="auto" w:fill="auto"/>
          </w:tcPr>
          <w:p w14:paraId="231D96FE" w14:textId="535B40FF"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100</w:t>
            </w:r>
          </w:p>
        </w:tc>
        <w:tc>
          <w:tcPr>
            <w:tcW w:w="2186" w:type="dxa"/>
            <w:shd w:val="clear" w:color="auto" w:fill="auto"/>
          </w:tcPr>
          <w:p w14:paraId="413645CC" w14:textId="6ED94E3A"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39</w:t>
            </w:r>
          </w:p>
        </w:tc>
        <w:tc>
          <w:tcPr>
            <w:tcW w:w="2186" w:type="dxa"/>
            <w:shd w:val="clear" w:color="auto" w:fill="auto"/>
          </w:tcPr>
          <w:p w14:paraId="5A206D70" w14:textId="219AEDE0"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193</w:t>
            </w:r>
          </w:p>
        </w:tc>
      </w:tr>
      <w:tr w:rsidR="00A962A1" w14:paraId="77FC9741" w14:textId="77777777" w:rsidTr="00984F79">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962A1" w:rsidRPr="00523CF4" w:rsidRDefault="00A962A1" w:rsidP="00A962A1">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4FA465F1"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10</w:t>
            </w:r>
          </w:p>
        </w:tc>
        <w:tc>
          <w:tcPr>
            <w:tcW w:w="2186" w:type="dxa"/>
            <w:shd w:val="clear" w:color="auto" w:fill="auto"/>
          </w:tcPr>
          <w:p w14:paraId="4AF1F0B4" w14:textId="70E7B7E6"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11</w:t>
            </w:r>
          </w:p>
        </w:tc>
        <w:tc>
          <w:tcPr>
            <w:tcW w:w="2186" w:type="dxa"/>
            <w:shd w:val="clear" w:color="auto" w:fill="auto"/>
          </w:tcPr>
          <w:p w14:paraId="3EABFC56" w14:textId="0486DB3C"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8</w:t>
            </w:r>
          </w:p>
        </w:tc>
        <w:tc>
          <w:tcPr>
            <w:tcW w:w="2186" w:type="dxa"/>
            <w:shd w:val="clear" w:color="auto" w:fill="auto"/>
          </w:tcPr>
          <w:p w14:paraId="66FC4C00" w14:textId="449536D5"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29</w:t>
            </w:r>
          </w:p>
        </w:tc>
      </w:tr>
      <w:tr w:rsidR="00A962A1" w14:paraId="7E12FF20" w14:textId="77777777" w:rsidTr="00984F79">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962A1" w:rsidRPr="00523CF4" w:rsidRDefault="00A962A1" w:rsidP="00A962A1">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2B655F66"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64</w:t>
            </w:r>
          </w:p>
        </w:tc>
        <w:tc>
          <w:tcPr>
            <w:tcW w:w="2186" w:type="dxa"/>
            <w:shd w:val="clear" w:color="auto" w:fill="auto"/>
          </w:tcPr>
          <w:p w14:paraId="5D543B3B" w14:textId="6B09939C"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111</w:t>
            </w:r>
          </w:p>
        </w:tc>
        <w:tc>
          <w:tcPr>
            <w:tcW w:w="2186" w:type="dxa"/>
            <w:shd w:val="clear" w:color="auto" w:fill="auto"/>
          </w:tcPr>
          <w:p w14:paraId="03713ACD" w14:textId="6970B36B"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47</w:t>
            </w:r>
          </w:p>
        </w:tc>
        <w:tc>
          <w:tcPr>
            <w:tcW w:w="2186" w:type="dxa"/>
            <w:shd w:val="clear" w:color="auto" w:fill="auto"/>
          </w:tcPr>
          <w:p w14:paraId="29E98152" w14:textId="239FF181"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Cs/>
                <w:sz w:val="24"/>
                <w:szCs w:val="24"/>
              </w:rPr>
              <w:fldChar w:fldCharType="begin"/>
            </w:r>
            <w:r w:rsidRPr="00A962A1">
              <w:rPr>
                <w:b w:val="0"/>
                <w:bCs/>
                <w:sz w:val="24"/>
                <w:szCs w:val="24"/>
              </w:rPr>
              <w:instrText xml:space="preserve"> =Sum(ABOVE) </w:instrText>
            </w:r>
            <w:r w:rsidRPr="00A962A1">
              <w:rPr>
                <w:bCs/>
                <w:sz w:val="24"/>
                <w:szCs w:val="24"/>
              </w:rPr>
              <w:fldChar w:fldCharType="separate"/>
            </w:r>
            <w:r w:rsidRPr="00A962A1">
              <w:rPr>
                <w:b w:val="0"/>
                <w:bCs/>
                <w:noProof/>
                <w:sz w:val="24"/>
                <w:szCs w:val="24"/>
              </w:rPr>
              <w:t>222</w:t>
            </w:r>
            <w:r w:rsidRPr="00A962A1">
              <w:rPr>
                <w:bCs/>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bookmarkStart w:id="0" w:name="_Hlk212041848"/>
            <w:bookmarkStart w:id="1" w:name="_Hlk212041877"/>
            <w:r>
              <w:t>Category 1</w:t>
            </w:r>
            <w:r w:rsidR="00332EE6" w:rsidRPr="00523CF4">
              <w:t xml:space="preserve"> cautioned for breach of notification requirements</w:t>
            </w:r>
          </w:p>
        </w:tc>
        <w:tc>
          <w:tcPr>
            <w:tcW w:w="2086" w:type="dxa"/>
          </w:tcPr>
          <w:p w14:paraId="764C61A1" w14:textId="214F461D" w:rsidR="00332EE6" w:rsidRPr="00523CF4" w:rsidRDefault="000F06E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54</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42A226F1" w:rsidR="00052623" w:rsidRPr="00523CF4" w:rsidRDefault="000F06E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115</w:t>
            </w:r>
          </w:p>
        </w:tc>
      </w:tr>
      <w:bookmarkEnd w:id="0"/>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bookmarkEnd w:id="1"/>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66815BD7" w:rsidR="00332EE6" w:rsidRPr="00523CF4" w:rsidRDefault="000F06E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242778E7" w14:textId="2CD4D5A1" w:rsidR="00332EE6" w:rsidRDefault="00332EE6" w:rsidP="00332EE6">
      <w:pPr>
        <w:pStyle w:val="MAPPA-Bodytext"/>
        <w:rPr>
          <w:szCs w:val="28"/>
          <w:lang w:val="en-GB"/>
        </w:rPr>
      </w:pPr>
    </w:p>
    <w:p w14:paraId="47F9C646" w14:textId="77777777" w:rsidR="004349EC" w:rsidRDefault="004349EC" w:rsidP="00332EE6">
      <w:pPr>
        <w:pStyle w:val="MAPPA-Bodytext"/>
        <w:rPr>
          <w:szCs w:val="28"/>
          <w:lang w:val="en-GB"/>
        </w:rPr>
      </w:pPr>
    </w:p>
    <w:p w14:paraId="10024001" w14:textId="77777777" w:rsidR="004349EC" w:rsidRDefault="004349EC" w:rsidP="00332EE6">
      <w:pPr>
        <w:pStyle w:val="MAPPA-Bodytext"/>
        <w:rPr>
          <w:szCs w:val="28"/>
          <w:lang w:val="en-GB"/>
        </w:rPr>
      </w:pPr>
    </w:p>
    <w:p w14:paraId="5595D64C" w14:textId="77777777" w:rsidR="004349EC" w:rsidRDefault="004349EC" w:rsidP="00332EE6">
      <w:pPr>
        <w:pStyle w:val="MAPPA-Bodytext"/>
        <w:rPr>
          <w:szCs w:val="28"/>
          <w:lang w:val="en-GB"/>
        </w:rPr>
      </w:pPr>
    </w:p>
    <w:p w14:paraId="7C14497E" w14:textId="68A97074" w:rsidR="00845D34" w:rsidRPr="00845D34" w:rsidRDefault="00845D34" w:rsidP="003F01A6">
      <w:pPr>
        <w:pStyle w:val="Style2"/>
        <w:rPr>
          <w:szCs w:val="28"/>
        </w:rPr>
      </w:pPr>
      <w:r w:rsidRPr="00845D34">
        <w:lastRenderedPageBreak/>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853AAF5" w:rsidR="00A231D9" w:rsidRPr="00523CF4" w:rsidRDefault="00A962A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354</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CD22D3B" w:rsidR="00A231D9" w:rsidRPr="00523CF4" w:rsidRDefault="00A962A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7356B5A" w:rsidR="00A231D9" w:rsidRPr="00523CF4" w:rsidRDefault="00A962A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5764541B" w:rsidR="00332EE6" w:rsidRPr="00523CF4" w:rsidRDefault="00A962A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962A1" w14:paraId="6ACB0BBF" w14:textId="77777777" w:rsidTr="00761F0A">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962A1" w:rsidRPr="00523CF4" w:rsidRDefault="00A962A1" w:rsidP="00A962A1">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0537E90C"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14</w:t>
            </w:r>
          </w:p>
        </w:tc>
        <w:tc>
          <w:tcPr>
            <w:tcW w:w="2186" w:type="dxa"/>
            <w:shd w:val="clear" w:color="auto" w:fill="auto"/>
          </w:tcPr>
          <w:p w14:paraId="34F9E68F" w14:textId="4CF41819"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20</w:t>
            </w:r>
          </w:p>
        </w:tc>
        <w:tc>
          <w:tcPr>
            <w:tcW w:w="2186" w:type="dxa"/>
            <w:shd w:val="clear" w:color="auto" w:fill="auto"/>
          </w:tcPr>
          <w:p w14:paraId="720ECB5F" w14:textId="4B4D4D66"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16</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6F9F257B" w:rsidR="00A962A1" w:rsidRPr="00A962A1" w:rsidRDefault="00A962A1" w:rsidP="00A962A1">
            <w:pPr>
              <w:pStyle w:val="MAPPA-Tabletext"/>
              <w:jc w:val="right"/>
              <w:rPr>
                <w:b w:val="0"/>
                <w:sz w:val="24"/>
                <w:szCs w:val="24"/>
                <w:lang w:val="en-GB"/>
              </w:rPr>
            </w:pPr>
            <w:r w:rsidRPr="00A962A1">
              <w:rPr>
                <w:b w:val="0"/>
                <w:noProof/>
                <w:sz w:val="24"/>
                <w:szCs w:val="24"/>
              </w:rPr>
              <w:t>50</w:t>
            </w:r>
          </w:p>
        </w:tc>
      </w:tr>
      <w:tr w:rsidR="00A962A1" w14:paraId="44E15175" w14:textId="77777777" w:rsidTr="00761F0A">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962A1" w:rsidRPr="00523CF4" w:rsidRDefault="00A962A1" w:rsidP="00A962A1">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19A6985D" w14:textId="476DE14F"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w:t>
            </w:r>
          </w:p>
        </w:tc>
        <w:tc>
          <w:tcPr>
            <w:tcW w:w="2186" w:type="dxa"/>
            <w:shd w:val="clear" w:color="auto" w:fill="auto"/>
          </w:tcPr>
          <w:p w14:paraId="272FF4F7" w14:textId="5D6976D4"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1</w:t>
            </w:r>
          </w:p>
        </w:tc>
        <w:tc>
          <w:tcPr>
            <w:tcW w:w="2186" w:type="dxa"/>
            <w:shd w:val="clear" w:color="auto" w:fill="auto"/>
          </w:tcPr>
          <w:p w14:paraId="75D55EA6" w14:textId="320088C5" w:rsidR="00A962A1" w:rsidRPr="00A962A1" w:rsidRDefault="00A962A1" w:rsidP="00A962A1">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62A1">
              <w:rPr>
                <w:b w:val="0"/>
                <w:bCs/>
                <w:noProof/>
                <w:sz w:val="24"/>
                <w:szCs w:val="24"/>
              </w:rPr>
              <w:t>3</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598BBAAB" w:rsidR="00A962A1" w:rsidRPr="00A962A1" w:rsidRDefault="00A962A1" w:rsidP="00A962A1">
            <w:pPr>
              <w:pStyle w:val="MAPPA-Tabletext"/>
              <w:jc w:val="right"/>
              <w:rPr>
                <w:b w:val="0"/>
                <w:sz w:val="24"/>
                <w:szCs w:val="24"/>
                <w:lang w:val="en-GB"/>
              </w:rPr>
            </w:pPr>
            <w:r w:rsidRPr="00A962A1">
              <w:rPr>
                <w:b w:val="0"/>
                <w:noProof/>
                <w:sz w:val="24"/>
                <w:szCs w:val="24"/>
              </w:rPr>
              <w:t>5</w:t>
            </w:r>
          </w:p>
        </w:tc>
      </w:tr>
      <w:tr w:rsidR="00A962A1" w14:paraId="0F4C2376" w14:textId="77777777" w:rsidTr="00761F0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962A1" w:rsidRPr="00523CF4" w:rsidRDefault="00A962A1" w:rsidP="00A962A1">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60850870" w:rsidR="00A962A1" w:rsidRPr="00A962A1" w:rsidRDefault="00A962A1" w:rsidP="00A962A1">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A962A1">
              <w:rPr>
                <w:sz w:val="24"/>
                <w:szCs w:val="24"/>
              </w:rPr>
              <w:fldChar w:fldCharType="begin"/>
            </w:r>
            <w:r w:rsidRPr="00A962A1">
              <w:rPr>
                <w:b w:val="0"/>
                <w:sz w:val="24"/>
                <w:szCs w:val="24"/>
              </w:rPr>
              <w:instrText xml:space="preserve"> =SUM(ABOVE) </w:instrText>
            </w:r>
            <w:r w:rsidRPr="00A962A1">
              <w:rPr>
                <w:sz w:val="24"/>
                <w:szCs w:val="24"/>
              </w:rPr>
              <w:fldChar w:fldCharType="separate"/>
            </w:r>
            <w:r w:rsidRPr="00A962A1">
              <w:rPr>
                <w:b w:val="0"/>
                <w:noProof/>
                <w:sz w:val="24"/>
                <w:szCs w:val="24"/>
              </w:rPr>
              <w:t>15</w:t>
            </w:r>
            <w:r w:rsidRPr="00A962A1">
              <w:rPr>
                <w:sz w:val="24"/>
                <w:szCs w:val="24"/>
              </w:rPr>
              <w:fldChar w:fldCharType="end"/>
            </w:r>
          </w:p>
        </w:tc>
        <w:tc>
          <w:tcPr>
            <w:tcW w:w="2186" w:type="dxa"/>
            <w:shd w:val="clear" w:color="auto" w:fill="auto"/>
          </w:tcPr>
          <w:p w14:paraId="184256C5" w14:textId="6AA1941D" w:rsidR="00A962A1" w:rsidRPr="00A962A1" w:rsidRDefault="00A962A1" w:rsidP="00A962A1">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A962A1">
              <w:rPr>
                <w:sz w:val="24"/>
                <w:szCs w:val="24"/>
              </w:rPr>
              <w:fldChar w:fldCharType="begin"/>
            </w:r>
            <w:r w:rsidRPr="00A962A1">
              <w:rPr>
                <w:b w:val="0"/>
                <w:sz w:val="24"/>
                <w:szCs w:val="24"/>
              </w:rPr>
              <w:instrText xml:space="preserve"> =SUM(ABOVE) </w:instrText>
            </w:r>
            <w:r w:rsidRPr="00A962A1">
              <w:rPr>
                <w:sz w:val="24"/>
                <w:szCs w:val="24"/>
              </w:rPr>
              <w:fldChar w:fldCharType="separate"/>
            </w:r>
            <w:r w:rsidRPr="00A962A1">
              <w:rPr>
                <w:b w:val="0"/>
                <w:noProof/>
                <w:sz w:val="24"/>
                <w:szCs w:val="24"/>
              </w:rPr>
              <w:t>21</w:t>
            </w:r>
            <w:r w:rsidRPr="00A962A1">
              <w:rPr>
                <w:sz w:val="24"/>
                <w:szCs w:val="24"/>
              </w:rPr>
              <w:fldChar w:fldCharType="end"/>
            </w:r>
          </w:p>
        </w:tc>
        <w:tc>
          <w:tcPr>
            <w:tcW w:w="2186" w:type="dxa"/>
            <w:shd w:val="clear" w:color="auto" w:fill="auto"/>
          </w:tcPr>
          <w:p w14:paraId="44078787" w14:textId="53BC1E29" w:rsidR="00A962A1" w:rsidRPr="00A962A1" w:rsidRDefault="00A962A1" w:rsidP="00A962A1">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A962A1">
              <w:rPr>
                <w:sz w:val="24"/>
                <w:szCs w:val="24"/>
              </w:rPr>
              <w:fldChar w:fldCharType="begin"/>
            </w:r>
            <w:r w:rsidRPr="00A962A1">
              <w:rPr>
                <w:b w:val="0"/>
                <w:sz w:val="24"/>
                <w:szCs w:val="24"/>
              </w:rPr>
              <w:instrText xml:space="preserve"> =SUM(ABOVE) </w:instrText>
            </w:r>
            <w:r w:rsidRPr="00A962A1">
              <w:rPr>
                <w:sz w:val="24"/>
                <w:szCs w:val="24"/>
              </w:rPr>
              <w:fldChar w:fldCharType="separate"/>
            </w:r>
            <w:r w:rsidRPr="00A962A1">
              <w:rPr>
                <w:b w:val="0"/>
                <w:noProof/>
                <w:sz w:val="24"/>
                <w:szCs w:val="24"/>
              </w:rPr>
              <w:t>19</w:t>
            </w:r>
            <w:r w:rsidRPr="00A962A1">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72DDEDDF" w:rsidR="00A962A1" w:rsidRPr="00A962A1" w:rsidRDefault="00A962A1" w:rsidP="00A962A1">
            <w:pPr>
              <w:pStyle w:val="MAPPA-Tabletext"/>
              <w:jc w:val="right"/>
              <w:rPr>
                <w:b w:val="0"/>
                <w:sz w:val="24"/>
                <w:szCs w:val="24"/>
                <w:lang w:val="en-GB"/>
              </w:rPr>
            </w:pPr>
            <w:r w:rsidRPr="00A962A1">
              <w:rPr>
                <w:b w:val="0"/>
                <w:noProof/>
                <w:sz w:val="24"/>
                <w:szCs w:val="24"/>
              </w:rPr>
              <w:t>55</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CBA3745" w:rsidR="00FA3513" w:rsidRPr="00523CF4" w:rsidRDefault="000F06EB" w:rsidP="00316362">
            <w:pPr>
              <w:pStyle w:val="MAPPA-Tabletext"/>
              <w:jc w:val="right"/>
              <w:rPr>
                <w:b w:val="0"/>
                <w:bCs w:val="0"/>
                <w:sz w:val="24"/>
                <w:szCs w:val="24"/>
                <w:lang w:val="en-GB"/>
              </w:rPr>
            </w:pPr>
            <w:r>
              <w:rPr>
                <w:b w:val="0"/>
                <w:bCs w:val="0"/>
                <w:sz w:val="24"/>
                <w:szCs w:val="24"/>
                <w:lang w:val="en-GB"/>
              </w:rPr>
              <w:t>4</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7B93234" w:rsidR="00FA3513" w:rsidRPr="00523CF4" w:rsidRDefault="000F06EB"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6C7C54A" w:rsidR="00FA3513" w:rsidRPr="00523CF4" w:rsidRDefault="000F06EB" w:rsidP="00316362">
            <w:pPr>
              <w:pStyle w:val="MAPPA-Tabletext"/>
              <w:jc w:val="right"/>
              <w:rPr>
                <w:b w:val="0"/>
                <w:bCs w:val="0"/>
                <w:sz w:val="24"/>
                <w:szCs w:val="24"/>
                <w:lang w:val="en-GB"/>
              </w:rPr>
            </w:pPr>
            <w:r>
              <w:rPr>
                <w:b w:val="0"/>
                <w:bCs w:val="0"/>
                <w:sz w:val="24"/>
                <w:szCs w:val="24"/>
                <w:lang w:val="en-GB"/>
              </w:rPr>
              <w:t>4</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0A27E3B5" w:rsidR="00332EE6" w:rsidRPr="004265C9" w:rsidRDefault="000F06E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165</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19669D46" w:rsidR="00332EE6" w:rsidRPr="0069414D" w:rsidRDefault="00D8591F" w:rsidP="00296A85">
      <w:pPr>
        <w:pStyle w:val="Heading1"/>
        <w:jc w:val="left"/>
      </w:pPr>
      <w:r>
        <w:lastRenderedPageBreak/>
        <w:t xml:space="preserve">MAPPA 25 </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19F4AFE2" w14:textId="77777777" w:rsidR="004349EC" w:rsidRDefault="004349EC" w:rsidP="00D8591F">
      <w:pPr>
        <w:pStyle w:val="NormalWeb"/>
        <w:shd w:val="clear" w:color="auto" w:fill="FFFFFF"/>
        <w:spacing w:before="0" w:beforeAutospacing="0" w:after="0" w:afterAutospacing="0"/>
        <w:rPr>
          <w:rFonts w:ascii="Arial" w:hAnsi="Arial" w:cs="Arial"/>
        </w:rPr>
      </w:pPr>
    </w:p>
    <w:p w14:paraId="798C8533" w14:textId="583C3CC8" w:rsidR="00D8591F" w:rsidRDefault="00D8591F" w:rsidP="00F06D67">
      <w:pPr>
        <w:pStyle w:val="NormalWeb"/>
        <w:shd w:val="clear" w:color="auto" w:fill="FFFFFF"/>
        <w:spacing w:before="0" w:beforeAutospacing="0" w:after="0" w:afterAutospacing="0"/>
        <w:jc w:val="both"/>
        <w:rPr>
          <w:rFonts w:ascii="Arial" w:hAnsi="Arial" w:cs="Arial"/>
        </w:rPr>
      </w:pPr>
      <w:r w:rsidRPr="00D8591F">
        <w:rPr>
          <w:rFonts w:ascii="Arial" w:hAnsi="Arial" w:cs="Arial"/>
        </w:rPr>
        <w:t>Bradford and Calderdale Public Protection Unit (PDU) proudly hosted an “All Things MAPPA” briefing in celebration of 25 years of the Multi-Agency Public Protection Arrangements</w:t>
      </w:r>
      <w:r>
        <w:rPr>
          <w:rFonts w:ascii="Arial" w:hAnsi="Arial" w:cs="Arial"/>
        </w:rPr>
        <w:t xml:space="preserve">. </w:t>
      </w:r>
      <w:r w:rsidRPr="00D8591F">
        <w:rPr>
          <w:rFonts w:ascii="Arial" w:hAnsi="Arial" w:cs="Arial"/>
        </w:rPr>
        <w:t>This joint training event brought together Responsible Authorities and Duty to Cooperate Agencies from across both Bradford and Calderdale local authorities.</w:t>
      </w:r>
    </w:p>
    <w:p w14:paraId="41E50640" w14:textId="77777777" w:rsidR="00D8591F" w:rsidRPr="00D8591F" w:rsidRDefault="00D8591F" w:rsidP="00F06D67">
      <w:pPr>
        <w:pStyle w:val="NormalWeb"/>
        <w:shd w:val="clear" w:color="auto" w:fill="FFFFFF"/>
        <w:spacing w:before="0" w:beforeAutospacing="0" w:after="0" w:afterAutospacing="0"/>
        <w:jc w:val="both"/>
        <w:rPr>
          <w:rFonts w:ascii="Arial" w:hAnsi="Arial" w:cs="Arial"/>
        </w:rPr>
      </w:pPr>
    </w:p>
    <w:p w14:paraId="1EDEF4E8" w14:textId="77777777" w:rsidR="00D8591F" w:rsidRPr="00D8591F" w:rsidRDefault="00D8591F" w:rsidP="00F06D67">
      <w:pPr>
        <w:pStyle w:val="NormalWeb"/>
        <w:shd w:val="clear" w:color="auto" w:fill="FFFFFF"/>
        <w:spacing w:before="0" w:beforeAutospacing="0" w:after="0" w:afterAutospacing="0"/>
        <w:jc w:val="both"/>
        <w:rPr>
          <w:rFonts w:ascii="Arial" w:hAnsi="Arial" w:cs="Arial"/>
        </w:rPr>
      </w:pPr>
      <w:r w:rsidRPr="00D8591F">
        <w:rPr>
          <w:rFonts w:ascii="Arial" w:hAnsi="Arial" w:cs="Arial"/>
        </w:rPr>
        <w:t>The event was well attended by representatives from key partner agencies, including West Yorkshire Police, HM Prison Service, Housing, Mental Health Services, the Department for Work and Pensions, the Fire Service, the Victim Liaison Unit, and the Youth Offending Team.</w:t>
      </w:r>
    </w:p>
    <w:p w14:paraId="6A663A07" w14:textId="77777777" w:rsidR="00D8591F" w:rsidRPr="00D8591F" w:rsidRDefault="00D8591F" w:rsidP="00F06D67">
      <w:pPr>
        <w:pStyle w:val="NormalWeb"/>
        <w:shd w:val="clear" w:color="auto" w:fill="FFFFFF"/>
        <w:spacing w:before="0" w:beforeAutospacing="0" w:after="0" w:afterAutospacing="0"/>
        <w:jc w:val="both"/>
        <w:rPr>
          <w:rFonts w:ascii="Arial" w:hAnsi="Arial" w:cs="Arial"/>
        </w:rPr>
      </w:pPr>
      <w:r w:rsidRPr="00D8591F">
        <w:rPr>
          <w:rFonts w:ascii="Arial" w:hAnsi="Arial" w:cs="Arial"/>
        </w:rPr>
        <w:t> </w:t>
      </w:r>
    </w:p>
    <w:p w14:paraId="6ECCFEE6" w14:textId="0A3ABC00" w:rsidR="00D8591F" w:rsidRDefault="00D8591F" w:rsidP="00F06D67">
      <w:pPr>
        <w:pStyle w:val="NormalWeb"/>
        <w:shd w:val="clear" w:color="auto" w:fill="FFFFFF"/>
        <w:spacing w:before="0" w:beforeAutospacing="0" w:after="0" w:afterAutospacing="0"/>
        <w:jc w:val="both"/>
        <w:rPr>
          <w:rFonts w:ascii="Arial" w:hAnsi="Arial" w:cs="Arial"/>
        </w:rPr>
      </w:pPr>
      <w:r w:rsidRPr="00D8591F">
        <w:rPr>
          <w:rFonts w:ascii="Arial" w:hAnsi="Arial" w:cs="Arial"/>
        </w:rPr>
        <w:t>Throughout the session, agencies shared valuable insights into how collaborative working under the MAPPA framework has strengthened workforce development, enhanced information sharing, supported joint decision making and facilitated the creation of robust joint risk management plans. These efforts have played a vital role in protecting the public and supporting the resettlement of individuals within our communities.</w:t>
      </w:r>
    </w:p>
    <w:p w14:paraId="4CBB7A1D" w14:textId="77777777" w:rsidR="00C872FA" w:rsidRDefault="00C872FA" w:rsidP="00F06D67">
      <w:pPr>
        <w:pStyle w:val="NormalWeb"/>
        <w:shd w:val="clear" w:color="auto" w:fill="FFFFFF"/>
        <w:spacing w:before="0" w:beforeAutospacing="0" w:after="0" w:afterAutospacing="0"/>
        <w:jc w:val="both"/>
        <w:rPr>
          <w:rFonts w:ascii="Arial" w:hAnsi="Arial" w:cs="Arial"/>
        </w:rPr>
      </w:pPr>
    </w:p>
    <w:p w14:paraId="2F09136B" w14:textId="31215371" w:rsidR="00C872FA" w:rsidRDefault="00C872FA" w:rsidP="00F06D67">
      <w:pPr>
        <w:pStyle w:val="NormalWeb"/>
        <w:shd w:val="clear" w:color="auto" w:fill="FFFFFF"/>
        <w:spacing w:before="0" w:beforeAutospacing="0" w:after="0" w:afterAutospacing="0"/>
        <w:jc w:val="both"/>
        <w:rPr>
          <w:rFonts w:ascii="Arial" w:hAnsi="Arial" w:cs="Arial"/>
        </w:rPr>
      </w:pPr>
      <w:r w:rsidRPr="00C872FA">
        <w:rPr>
          <w:rFonts w:ascii="Arial" w:hAnsi="Arial" w:cs="Arial"/>
        </w:rPr>
        <w:t xml:space="preserve">The following </w:t>
      </w:r>
      <w:r w:rsidR="00F06D67">
        <w:rPr>
          <w:rFonts w:ascii="Arial" w:hAnsi="Arial" w:cs="Arial"/>
        </w:rPr>
        <w:t xml:space="preserve">are </w:t>
      </w:r>
      <w:r w:rsidR="00F06D67" w:rsidRPr="00F06D67">
        <w:rPr>
          <w:rFonts w:ascii="Arial" w:hAnsi="Arial" w:cs="Arial"/>
        </w:rPr>
        <w:t>reflections shared by</w:t>
      </w:r>
      <w:r w:rsidRPr="00C872FA">
        <w:rPr>
          <w:rFonts w:ascii="Arial" w:hAnsi="Arial" w:cs="Arial"/>
        </w:rPr>
        <w:t xml:space="preserve"> </w:t>
      </w:r>
      <w:r>
        <w:rPr>
          <w:rFonts w:ascii="Arial" w:hAnsi="Arial" w:cs="Arial"/>
        </w:rPr>
        <w:t xml:space="preserve">stakeholders </w:t>
      </w:r>
      <w:r w:rsidRPr="00C872FA">
        <w:rPr>
          <w:rFonts w:ascii="Arial" w:hAnsi="Arial" w:cs="Arial"/>
        </w:rPr>
        <w:t>involved in MAPPA coordination</w:t>
      </w:r>
      <w:r>
        <w:rPr>
          <w:rFonts w:ascii="Arial" w:hAnsi="Arial" w:cs="Arial"/>
        </w:rPr>
        <w:t>:</w:t>
      </w:r>
    </w:p>
    <w:p w14:paraId="08B5A725" w14:textId="77777777" w:rsidR="00D8591F" w:rsidRDefault="00D8591F" w:rsidP="00F06D67">
      <w:pPr>
        <w:pStyle w:val="NormalWeb"/>
        <w:shd w:val="clear" w:color="auto" w:fill="FFFFFF"/>
        <w:spacing w:before="0" w:beforeAutospacing="0" w:after="0" w:afterAutospacing="0"/>
        <w:jc w:val="both"/>
        <w:rPr>
          <w:rFonts w:ascii="Arial" w:hAnsi="Arial" w:cs="Arial"/>
        </w:rPr>
      </w:pPr>
    </w:p>
    <w:p w14:paraId="495BAE06" w14:textId="74BF2F5F"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V</w:t>
      </w:r>
      <w:r>
        <w:rPr>
          <w:rFonts w:cs="Arial"/>
          <w:b/>
          <w:bCs/>
          <w:color w:val="auto"/>
        </w:rPr>
        <w:t xml:space="preserve">ictim </w:t>
      </w:r>
      <w:r w:rsidRPr="00D8591F">
        <w:rPr>
          <w:rFonts w:cs="Arial"/>
          <w:b/>
          <w:bCs/>
          <w:color w:val="auto"/>
        </w:rPr>
        <w:t>L</w:t>
      </w:r>
      <w:r>
        <w:rPr>
          <w:rFonts w:cs="Arial"/>
          <w:b/>
          <w:bCs/>
          <w:color w:val="auto"/>
        </w:rPr>
        <w:t xml:space="preserve">iaison </w:t>
      </w:r>
      <w:r w:rsidRPr="00D8591F">
        <w:rPr>
          <w:rFonts w:cs="Arial"/>
          <w:b/>
          <w:bCs/>
          <w:color w:val="auto"/>
        </w:rPr>
        <w:t>O</w:t>
      </w:r>
      <w:r>
        <w:rPr>
          <w:rFonts w:cs="Arial"/>
          <w:b/>
          <w:bCs/>
          <w:color w:val="auto"/>
        </w:rPr>
        <w:t>fficer</w:t>
      </w:r>
      <w:r w:rsidRPr="00D8591F">
        <w:rPr>
          <w:rFonts w:cs="Arial"/>
          <w:b/>
          <w:bCs/>
          <w:color w:val="auto"/>
        </w:rPr>
        <w:t xml:space="preserve"> – Catherine Pickles</w:t>
      </w:r>
    </w:p>
    <w:p w14:paraId="5D2FE861" w14:textId="337D4C83" w:rsidR="00D8591F" w:rsidRPr="00F45181" w:rsidRDefault="00F45181" w:rsidP="00F06D67">
      <w:pPr>
        <w:shd w:val="clear" w:color="auto" w:fill="FFFFFF"/>
        <w:spacing w:after="0" w:line="240" w:lineRule="auto"/>
        <w:jc w:val="both"/>
        <w:rPr>
          <w:rFonts w:cs="Arial"/>
          <w:i/>
          <w:iCs/>
          <w:color w:val="auto"/>
        </w:rPr>
      </w:pPr>
      <w:r>
        <w:rPr>
          <w:rFonts w:cs="Arial"/>
          <w:i/>
          <w:iCs/>
          <w:color w:val="auto"/>
        </w:rPr>
        <w:t>‘</w:t>
      </w:r>
      <w:r w:rsidR="00D8591F" w:rsidRPr="00F45181">
        <w:rPr>
          <w:rFonts w:cs="Arial"/>
          <w:i/>
          <w:iCs/>
          <w:color w:val="auto"/>
        </w:rPr>
        <w:t>I recently managed a particularly sensitive and emotionally challenging case involving a victim who requested the removal of a restraining order imposed on her son, the offender. The victim, an elderly woman, expressed a strong desire to explore the possibility of Restorative Justice, hoping to rebuild a relationship with her son before it was too late.</w:t>
      </w:r>
    </w:p>
    <w:p w14:paraId="11F2C707" w14:textId="77777777" w:rsidR="00D8591F" w:rsidRPr="00F45181" w:rsidRDefault="00D8591F" w:rsidP="00F06D67">
      <w:pPr>
        <w:shd w:val="clear" w:color="auto" w:fill="FFFFFF"/>
        <w:spacing w:after="0" w:line="240" w:lineRule="auto"/>
        <w:jc w:val="both"/>
        <w:rPr>
          <w:rFonts w:cs="Arial"/>
          <w:i/>
          <w:iCs/>
          <w:color w:val="auto"/>
        </w:rPr>
      </w:pPr>
      <w:r w:rsidRPr="00F45181">
        <w:rPr>
          <w:rFonts w:cs="Arial"/>
          <w:i/>
          <w:iCs/>
          <w:color w:val="auto"/>
        </w:rPr>
        <w:t>This case was deeply emotive and highlighted the complexities of balancing compassion with public protection. Discussing the case within the MAPPA framework, with input from all relevant agencies, was invaluable. It allowed for a comprehensive assessment of the wider safeguarding concerns and potential risks.</w:t>
      </w:r>
    </w:p>
    <w:p w14:paraId="29CA1FB3" w14:textId="3AAEC442" w:rsidR="00D8591F" w:rsidRPr="00F45181" w:rsidRDefault="00D8591F" w:rsidP="00F06D67">
      <w:pPr>
        <w:shd w:val="clear" w:color="auto" w:fill="FFFFFF"/>
        <w:spacing w:after="0" w:line="240" w:lineRule="auto"/>
        <w:jc w:val="both"/>
        <w:rPr>
          <w:rFonts w:cs="Arial"/>
          <w:i/>
          <w:iCs/>
          <w:color w:val="auto"/>
        </w:rPr>
      </w:pPr>
      <w:r w:rsidRPr="00F45181">
        <w:rPr>
          <w:rFonts w:cs="Arial"/>
          <w:i/>
          <w:iCs/>
          <w:color w:val="auto"/>
        </w:rPr>
        <w:t>While I was empathetic to the victim’s wishes and keen to support her in reconnecting with her son, the collaborative MAPPA discussion enabled us to view the situation through a public protection lens. This multi-agency perspective brought together separate concerns which, when considered collectively, made it clear that the risks to the victim were too significant to proceed with her request.</w:t>
      </w:r>
      <w:r w:rsidR="00F45181">
        <w:rPr>
          <w:rFonts w:cs="Arial"/>
          <w:i/>
          <w:iCs/>
          <w:color w:val="auto"/>
        </w:rPr>
        <w:t>’</w:t>
      </w:r>
    </w:p>
    <w:p w14:paraId="4A2EECCB" w14:textId="77777777"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Having MAPPA oversight in such cases provides a vital support structure. It ensures that safeguarding decisions are not made in isolation and allows for informed, professional dialogue among a team of experts. This collaborative approach not only strengthens decision making but also helps practitioners feel supported in managing complex and high-risk cases</w:t>
      </w:r>
      <w:r w:rsidRPr="00D8591F">
        <w:rPr>
          <w:rFonts w:cs="Arial"/>
          <w:color w:val="auto"/>
        </w:rPr>
        <w:t>.</w:t>
      </w:r>
    </w:p>
    <w:p w14:paraId="053F0EA0" w14:textId="77777777"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 </w:t>
      </w:r>
    </w:p>
    <w:p w14:paraId="5F20D2A9" w14:textId="52577839"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 xml:space="preserve">Vickie </w:t>
      </w:r>
      <w:proofErr w:type="spellStart"/>
      <w:r w:rsidRPr="00D8591F">
        <w:rPr>
          <w:rFonts w:cs="Arial"/>
          <w:b/>
          <w:bCs/>
          <w:color w:val="auto"/>
        </w:rPr>
        <w:t>Mazurke</w:t>
      </w:r>
      <w:proofErr w:type="spellEnd"/>
      <w:r w:rsidRPr="00D8591F">
        <w:rPr>
          <w:rFonts w:cs="Arial"/>
          <w:b/>
          <w:bCs/>
          <w:color w:val="auto"/>
        </w:rPr>
        <w:t xml:space="preserve"> </w:t>
      </w:r>
      <w:r>
        <w:rPr>
          <w:rFonts w:cs="Arial"/>
          <w:b/>
          <w:bCs/>
          <w:color w:val="auto"/>
        </w:rPr>
        <w:t>–</w:t>
      </w:r>
      <w:r w:rsidR="00C872FA" w:rsidRPr="00C872FA">
        <w:rPr>
          <w:rFonts w:cs="Arial"/>
          <w:b/>
          <w:bCs/>
          <w:color w:val="auto"/>
        </w:rPr>
        <w:t xml:space="preserve">Mental Health Standing Panel Member </w:t>
      </w:r>
    </w:p>
    <w:p w14:paraId="1CBC6459" w14:textId="77777777" w:rsidR="00F06D67" w:rsidRPr="00D8591F" w:rsidRDefault="00F06D67" w:rsidP="00F06D67">
      <w:pPr>
        <w:shd w:val="clear" w:color="auto" w:fill="FFFFFF"/>
        <w:spacing w:after="0" w:line="240" w:lineRule="auto"/>
        <w:jc w:val="both"/>
        <w:rPr>
          <w:rFonts w:cs="Arial"/>
          <w:color w:val="auto"/>
        </w:rPr>
      </w:pPr>
      <w:r w:rsidRPr="00D8591F">
        <w:rPr>
          <w:rFonts w:cs="Arial"/>
          <w:b/>
          <w:bCs/>
          <w:color w:val="auto"/>
        </w:rPr>
        <w:t xml:space="preserve">MAPPA </w:t>
      </w:r>
      <w:r>
        <w:rPr>
          <w:rFonts w:cs="Arial"/>
          <w:b/>
          <w:bCs/>
          <w:color w:val="auto"/>
        </w:rPr>
        <w:t>m</w:t>
      </w:r>
      <w:r w:rsidRPr="00D8591F">
        <w:rPr>
          <w:rFonts w:cs="Arial"/>
          <w:b/>
          <w:bCs/>
          <w:color w:val="auto"/>
        </w:rPr>
        <w:t>ulti-</w:t>
      </w:r>
      <w:r>
        <w:rPr>
          <w:rFonts w:cs="Arial"/>
          <w:b/>
          <w:bCs/>
          <w:color w:val="auto"/>
        </w:rPr>
        <w:t>a</w:t>
      </w:r>
      <w:r w:rsidRPr="00D8591F">
        <w:rPr>
          <w:rFonts w:cs="Arial"/>
          <w:b/>
          <w:bCs/>
          <w:color w:val="auto"/>
        </w:rPr>
        <w:t xml:space="preserve">gency </w:t>
      </w:r>
      <w:r>
        <w:rPr>
          <w:rFonts w:cs="Arial"/>
          <w:b/>
          <w:bCs/>
          <w:color w:val="auto"/>
        </w:rPr>
        <w:t>c</w:t>
      </w:r>
      <w:r w:rsidRPr="00D8591F">
        <w:rPr>
          <w:rFonts w:cs="Arial"/>
          <w:b/>
          <w:bCs/>
          <w:color w:val="auto"/>
        </w:rPr>
        <w:t xml:space="preserve">ollaboration </w:t>
      </w:r>
      <w:r>
        <w:rPr>
          <w:rFonts w:cs="Arial"/>
          <w:b/>
          <w:bCs/>
          <w:color w:val="auto"/>
        </w:rPr>
        <w:t>f</w:t>
      </w:r>
      <w:r w:rsidRPr="00D8591F">
        <w:rPr>
          <w:rFonts w:cs="Arial"/>
          <w:b/>
          <w:bCs/>
          <w:color w:val="auto"/>
        </w:rPr>
        <w:t xml:space="preserve">acilitates </w:t>
      </w:r>
      <w:r>
        <w:rPr>
          <w:rFonts w:cs="Arial"/>
          <w:b/>
          <w:bCs/>
          <w:color w:val="auto"/>
        </w:rPr>
        <w:t>t</w:t>
      </w:r>
      <w:r w:rsidRPr="00D8591F">
        <w:rPr>
          <w:rFonts w:cs="Arial"/>
          <w:b/>
          <w:bCs/>
          <w:color w:val="auto"/>
        </w:rPr>
        <w:t xml:space="preserve">imely </w:t>
      </w:r>
      <w:r>
        <w:rPr>
          <w:rFonts w:cs="Arial"/>
          <w:b/>
          <w:bCs/>
          <w:color w:val="auto"/>
        </w:rPr>
        <w:t>m</w:t>
      </w:r>
      <w:r w:rsidRPr="00D8591F">
        <w:rPr>
          <w:rFonts w:cs="Arial"/>
          <w:b/>
          <w:bCs/>
          <w:color w:val="auto"/>
        </w:rPr>
        <w:t xml:space="preserve">ental </w:t>
      </w:r>
      <w:r>
        <w:rPr>
          <w:rFonts w:cs="Arial"/>
          <w:b/>
          <w:bCs/>
          <w:color w:val="auto"/>
        </w:rPr>
        <w:t>h</w:t>
      </w:r>
      <w:r w:rsidRPr="00D8591F">
        <w:rPr>
          <w:rFonts w:cs="Arial"/>
          <w:b/>
          <w:bCs/>
          <w:color w:val="auto"/>
        </w:rPr>
        <w:t xml:space="preserve">ealth </w:t>
      </w:r>
      <w:r>
        <w:rPr>
          <w:rFonts w:cs="Arial"/>
          <w:b/>
          <w:bCs/>
          <w:color w:val="auto"/>
        </w:rPr>
        <w:t>i</w:t>
      </w:r>
      <w:r w:rsidRPr="00D8591F">
        <w:rPr>
          <w:rFonts w:cs="Arial"/>
          <w:b/>
          <w:bCs/>
          <w:color w:val="auto"/>
        </w:rPr>
        <w:t>ntervention</w:t>
      </w:r>
      <w:r>
        <w:rPr>
          <w:rFonts w:cs="Arial"/>
          <w:b/>
          <w:bCs/>
          <w:color w:val="auto"/>
        </w:rPr>
        <w:t>.</w:t>
      </w:r>
    </w:p>
    <w:p w14:paraId="3E25F6D0" w14:textId="12F3B023" w:rsidR="00D8591F" w:rsidRPr="00F45181" w:rsidRDefault="00F45181" w:rsidP="00F06D67">
      <w:pPr>
        <w:shd w:val="clear" w:color="auto" w:fill="FFFFFF"/>
        <w:spacing w:after="0" w:line="240" w:lineRule="auto"/>
        <w:jc w:val="both"/>
        <w:rPr>
          <w:rFonts w:cs="Arial"/>
          <w:i/>
          <w:iCs/>
          <w:color w:val="auto"/>
        </w:rPr>
      </w:pPr>
      <w:r>
        <w:rPr>
          <w:rFonts w:cs="Arial"/>
          <w:i/>
          <w:iCs/>
          <w:color w:val="auto"/>
        </w:rPr>
        <w:t>‘</w:t>
      </w:r>
      <w:r w:rsidR="00D8591F" w:rsidRPr="00F45181">
        <w:rPr>
          <w:rFonts w:cs="Arial"/>
          <w:i/>
          <w:iCs/>
          <w:color w:val="auto"/>
        </w:rPr>
        <w:t>A current MAPPA Level 3 case, now approaching its fourth meeting, exemplifies the value of persistent and coordinated multi-agency working in managing complex individuals.</w:t>
      </w:r>
    </w:p>
    <w:p w14:paraId="517A565D" w14:textId="77777777" w:rsidR="00D8591F" w:rsidRPr="00F45181" w:rsidRDefault="00D8591F" w:rsidP="00F06D67">
      <w:pPr>
        <w:shd w:val="clear" w:color="auto" w:fill="FFFFFF"/>
        <w:spacing w:after="0" w:line="240" w:lineRule="auto"/>
        <w:jc w:val="both"/>
        <w:rPr>
          <w:rFonts w:cs="Arial"/>
          <w:i/>
          <w:iCs/>
          <w:color w:val="auto"/>
        </w:rPr>
      </w:pPr>
      <w:r w:rsidRPr="00F45181">
        <w:rPr>
          <w:rFonts w:cs="Arial"/>
          <w:i/>
          <w:iCs/>
          <w:color w:val="auto"/>
        </w:rPr>
        <w:t>The individual is currently in custody and awaiting admission to Newton Lodge following a successful assessment by Regional Secure Mental Health Services. This case has presented significant challenges due to its complexity and the initial reluctance from the prison service to acknowledge and act on mental health concerns.</w:t>
      </w:r>
    </w:p>
    <w:p w14:paraId="5D500E97" w14:textId="7DA61129" w:rsidR="00D8591F" w:rsidRPr="00F45181" w:rsidRDefault="00D8591F" w:rsidP="00F06D67">
      <w:pPr>
        <w:shd w:val="clear" w:color="auto" w:fill="FFFFFF"/>
        <w:spacing w:after="0" w:line="240" w:lineRule="auto"/>
        <w:jc w:val="both"/>
        <w:rPr>
          <w:rFonts w:cs="Arial"/>
          <w:i/>
          <w:iCs/>
          <w:color w:val="auto"/>
        </w:rPr>
      </w:pPr>
      <w:r w:rsidRPr="00F45181">
        <w:rPr>
          <w:rFonts w:cs="Arial"/>
          <w:i/>
          <w:iCs/>
          <w:color w:val="auto"/>
        </w:rPr>
        <w:t xml:space="preserve">Through determined joint working and multi-agency persistence, a mental health assessment was expedited. Agencies worked collaboratively to highlight the individual’s risks and deteriorating mental health, securing support from local forensic mental health services. This proactive approach </w:t>
      </w:r>
      <w:r w:rsidRPr="00F45181">
        <w:rPr>
          <w:rFonts w:cs="Arial"/>
          <w:i/>
          <w:iCs/>
          <w:color w:val="auto"/>
        </w:rPr>
        <w:lastRenderedPageBreak/>
        <w:t>led to the involvement of Newton Lodge, where the individual has now been assessed and is awaiting a bed space.</w:t>
      </w:r>
      <w:r w:rsidR="00F45181">
        <w:rPr>
          <w:rFonts w:cs="Arial"/>
          <w:i/>
          <w:iCs/>
          <w:color w:val="auto"/>
        </w:rPr>
        <w:t>’</w:t>
      </w:r>
    </w:p>
    <w:p w14:paraId="634CAAC5" w14:textId="77777777"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This case demonstrates how MAPPA enables agencies to challenge barriers, advocate effectively, and ensure timely interventions for individuals with complex needs—ultimately enhancing public protection and supporting appropriate pathways for care and rehabilitation.</w:t>
      </w:r>
    </w:p>
    <w:p w14:paraId="0F402155" w14:textId="77777777"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 </w:t>
      </w:r>
    </w:p>
    <w:p w14:paraId="2A4B8496" w14:textId="4E24F853"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 xml:space="preserve">Alice </w:t>
      </w:r>
      <w:proofErr w:type="spellStart"/>
      <w:r w:rsidRPr="00D8591F">
        <w:rPr>
          <w:rFonts w:cs="Arial"/>
          <w:b/>
          <w:bCs/>
          <w:color w:val="auto"/>
        </w:rPr>
        <w:t>Jamil</w:t>
      </w:r>
      <w:r>
        <w:rPr>
          <w:rFonts w:cs="Arial"/>
          <w:b/>
          <w:bCs/>
          <w:color w:val="auto"/>
        </w:rPr>
        <w:t>,</w:t>
      </w:r>
      <w:r w:rsidRPr="00D8591F">
        <w:rPr>
          <w:rFonts w:cs="Arial"/>
          <w:b/>
          <w:bCs/>
          <w:color w:val="auto"/>
        </w:rPr>
        <w:t>Y</w:t>
      </w:r>
      <w:r>
        <w:rPr>
          <w:rFonts w:cs="Arial"/>
          <w:b/>
          <w:bCs/>
          <w:color w:val="auto"/>
        </w:rPr>
        <w:t>outh</w:t>
      </w:r>
      <w:proofErr w:type="spellEnd"/>
      <w:r>
        <w:rPr>
          <w:rFonts w:cs="Arial"/>
          <w:b/>
          <w:bCs/>
          <w:color w:val="auto"/>
        </w:rPr>
        <w:t xml:space="preserve"> Offending service </w:t>
      </w:r>
      <w:r w:rsidRPr="00D8591F">
        <w:rPr>
          <w:rFonts w:cs="Arial"/>
          <w:b/>
          <w:bCs/>
          <w:color w:val="auto"/>
        </w:rPr>
        <w:t xml:space="preserve"> Calderdale</w:t>
      </w:r>
    </w:p>
    <w:p w14:paraId="2E2A25A4" w14:textId="77777777"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MAPPA Support in Transition from Youth to Adult Services</w:t>
      </w:r>
    </w:p>
    <w:p w14:paraId="21F2D26E" w14:textId="1DC6CC83" w:rsidR="00D8591F" w:rsidRPr="00F45181" w:rsidRDefault="00F45181" w:rsidP="00F06D67">
      <w:pPr>
        <w:shd w:val="clear" w:color="auto" w:fill="FFFFFF"/>
        <w:spacing w:after="0" w:line="240" w:lineRule="auto"/>
        <w:jc w:val="both"/>
        <w:rPr>
          <w:rFonts w:cs="Arial"/>
          <w:i/>
          <w:iCs/>
          <w:color w:val="auto"/>
        </w:rPr>
      </w:pPr>
      <w:r>
        <w:rPr>
          <w:rFonts w:cs="Arial"/>
          <w:i/>
          <w:iCs/>
          <w:color w:val="auto"/>
        </w:rPr>
        <w:t>‘</w:t>
      </w:r>
      <w:r w:rsidR="00D8591F" w:rsidRPr="00F45181">
        <w:rPr>
          <w:rFonts w:cs="Arial"/>
          <w:i/>
          <w:iCs/>
          <w:color w:val="auto"/>
        </w:rPr>
        <w:t>The MAPPA process played a pivotal role in supporting the transition of a young person from youth to adult services. It enabled a thorough review of the risk assessment in line with Probation practice and facilitated the development of a robust, multi-agency resettlement plan.</w:t>
      </w:r>
    </w:p>
    <w:p w14:paraId="7B7F953B" w14:textId="77777777" w:rsidR="00D8591F" w:rsidRPr="00F45181" w:rsidRDefault="00D8591F" w:rsidP="00F06D67">
      <w:pPr>
        <w:shd w:val="clear" w:color="auto" w:fill="FFFFFF"/>
        <w:spacing w:after="0" w:line="240" w:lineRule="auto"/>
        <w:jc w:val="both"/>
        <w:rPr>
          <w:rFonts w:cs="Arial"/>
          <w:i/>
          <w:iCs/>
          <w:color w:val="auto"/>
        </w:rPr>
      </w:pPr>
      <w:r w:rsidRPr="00F45181">
        <w:rPr>
          <w:rFonts w:cs="Arial"/>
          <w:i/>
          <w:iCs/>
          <w:color w:val="auto"/>
        </w:rPr>
        <w:t>This case presented additional complexities due to its high-profile nature, significant local interest, and the individual turning 18—resulting in the loss of media protections typically afforded to minors. Resettlement planning spanned multiple geographical areas, and MAPPA provided a vital platform to bring together key agencies from each location to coordinate a safe and effective transition.</w:t>
      </w:r>
    </w:p>
    <w:p w14:paraId="688CFF61" w14:textId="77777777" w:rsidR="00D8591F" w:rsidRPr="00F45181" w:rsidRDefault="00D8591F" w:rsidP="00F06D67">
      <w:pPr>
        <w:shd w:val="clear" w:color="auto" w:fill="FFFFFF"/>
        <w:spacing w:after="0" w:line="240" w:lineRule="auto"/>
        <w:jc w:val="both"/>
        <w:rPr>
          <w:rFonts w:cs="Arial"/>
          <w:i/>
          <w:iCs/>
          <w:color w:val="auto"/>
        </w:rPr>
      </w:pPr>
      <w:r w:rsidRPr="00F45181">
        <w:rPr>
          <w:rFonts w:cs="Arial"/>
          <w:i/>
          <w:iCs/>
          <w:color w:val="auto"/>
        </w:rPr>
        <w:t>MAPPA Level 3 and Critical Public Protection Case (CPPC) status also unlocked additional funding, which was instrumental in addressing the young person’s vulnerabilities. This included:</w:t>
      </w:r>
    </w:p>
    <w:p w14:paraId="042E0B54" w14:textId="77777777" w:rsidR="00D8591F" w:rsidRPr="00F45181" w:rsidRDefault="00D8591F" w:rsidP="00F06D67">
      <w:pPr>
        <w:numPr>
          <w:ilvl w:val="0"/>
          <w:numId w:val="4"/>
        </w:numPr>
        <w:shd w:val="clear" w:color="auto" w:fill="FFFFFF"/>
        <w:suppressAutoHyphens w:val="0"/>
        <w:autoSpaceDE/>
        <w:autoSpaceDN/>
        <w:adjustRightInd/>
        <w:spacing w:before="100" w:beforeAutospacing="1" w:after="0" w:line="240" w:lineRule="auto"/>
        <w:jc w:val="both"/>
        <w:textAlignment w:val="auto"/>
        <w:rPr>
          <w:rFonts w:cs="Arial"/>
          <w:i/>
          <w:iCs/>
          <w:color w:val="auto"/>
        </w:rPr>
      </w:pPr>
      <w:r w:rsidRPr="00F45181">
        <w:rPr>
          <w:rFonts w:cs="Arial"/>
          <w:i/>
          <w:iCs/>
          <w:color w:val="auto"/>
        </w:rPr>
        <w:t>Tailoring support based on speech and language assessments to ensure understanding and engagement.</w:t>
      </w:r>
    </w:p>
    <w:p w14:paraId="757535E2" w14:textId="77777777" w:rsidR="00D8591F" w:rsidRPr="00F45181" w:rsidRDefault="00D8591F" w:rsidP="00F06D67">
      <w:pPr>
        <w:numPr>
          <w:ilvl w:val="0"/>
          <w:numId w:val="4"/>
        </w:numPr>
        <w:shd w:val="clear" w:color="auto" w:fill="FFFFFF"/>
        <w:suppressAutoHyphens w:val="0"/>
        <w:autoSpaceDE/>
        <w:autoSpaceDN/>
        <w:adjustRightInd/>
        <w:spacing w:before="100" w:beforeAutospacing="1" w:after="0" w:line="240" w:lineRule="auto"/>
        <w:jc w:val="both"/>
        <w:textAlignment w:val="auto"/>
        <w:rPr>
          <w:rFonts w:cs="Arial"/>
          <w:i/>
          <w:iCs/>
          <w:color w:val="auto"/>
        </w:rPr>
      </w:pPr>
      <w:r w:rsidRPr="00F45181">
        <w:rPr>
          <w:rFonts w:cs="Arial"/>
          <w:i/>
          <w:iCs/>
          <w:color w:val="auto"/>
        </w:rPr>
        <w:t>Assessing the protective capacity of parents.</w:t>
      </w:r>
    </w:p>
    <w:p w14:paraId="2CA10AED" w14:textId="77777777" w:rsidR="00D8591F" w:rsidRPr="00F45181" w:rsidRDefault="00D8591F" w:rsidP="00F06D67">
      <w:pPr>
        <w:numPr>
          <w:ilvl w:val="0"/>
          <w:numId w:val="4"/>
        </w:numPr>
        <w:shd w:val="clear" w:color="auto" w:fill="FFFFFF"/>
        <w:suppressAutoHyphens w:val="0"/>
        <w:autoSpaceDE/>
        <w:autoSpaceDN/>
        <w:adjustRightInd/>
        <w:spacing w:before="100" w:beforeAutospacing="1" w:after="0" w:line="240" w:lineRule="auto"/>
        <w:jc w:val="both"/>
        <w:textAlignment w:val="auto"/>
        <w:rPr>
          <w:rFonts w:cs="Arial"/>
          <w:i/>
          <w:iCs/>
          <w:color w:val="auto"/>
        </w:rPr>
      </w:pPr>
      <w:r w:rsidRPr="00F45181">
        <w:rPr>
          <w:rFonts w:cs="Arial"/>
          <w:i/>
          <w:iCs/>
          <w:color w:val="auto"/>
        </w:rPr>
        <w:t>Securing appropriate accommodation in another area with grandparents.</w:t>
      </w:r>
    </w:p>
    <w:p w14:paraId="392CE843" w14:textId="77777777" w:rsidR="00D8591F" w:rsidRPr="00F45181" w:rsidRDefault="00D8591F" w:rsidP="00F06D67">
      <w:pPr>
        <w:numPr>
          <w:ilvl w:val="0"/>
          <w:numId w:val="4"/>
        </w:numPr>
        <w:shd w:val="clear" w:color="auto" w:fill="FFFFFF"/>
        <w:suppressAutoHyphens w:val="0"/>
        <w:autoSpaceDE/>
        <w:autoSpaceDN/>
        <w:adjustRightInd/>
        <w:spacing w:before="100" w:beforeAutospacing="1" w:after="0" w:line="240" w:lineRule="auto"/>
        <w:jc w:val="both"/>
        <w:textAlignment w:val="auto"/>
        <w:rPr>
          <w:rFonts w:cs="Arial"/>
          <w:i/>
          <w:iCs/>
          <w:color w:val="auto"/>
        </w:rPr>
      </w:pPr>
      <w:r w:rsidRPr="00F45181">
        <w:rPr>
          <w:rFonts w:cs="Arial"/>
          <w:i/>
          <w:iCs/>
          <w:color w:val="auto"/>
        </w:rPr>
        <w:t>Funding a Ring doorbell camera to support local police monitoring.</w:t>
      </w:r>
    </w:p>
    <w:p w14:paraId="0AD714BB" w14:textId="63D21FAF" w:rsidR="00D8591F" w:rsidRPr="00F45181" w:rsidRDefault="00D8591F" w:rsidP="00F06D67">
      <w:pPr>
        <w:numPr>
          <w:ilvl w:val="0"/>
          <w:numId w:val="4"/>
        </w:numPr>
        <w:shd w:val="clear" w:color="auto" w:fill="FFFFFF"/>
        <w:suppressAutoHyphens w:val="0"/>
        <w:autoSpaceDE/>
        <w:autoSpaceDN/>
        <w:adjustRightInd/>
        <w:spacing w:before="100" w:beforeAutospacing="1" w:after="0" w:line="240" w:lineRule="auto"/>
        <w:jc w:val="both"/>
        <w:textAlignment w:val="auto"/>
        <w:rPr>
          <w:rFonts w:cs="Arial"/>
          <w:i/>
          <w:iCs/>
          <w:color w:val="auto"/>
        </w:rPr>
      </w:pPr>
      <w:r w:rsidRPr="00F45181">
        <w:rPr>
          <w:rFonts w:cs="Arial"/>
          <w:i/>
          <w:iCs/>
          <w:color w:val="auto"/>
        </w:rPr>
        <w:t>Ensuring Children’s Social Care had access to previous assessments regarding sibling contact.</w:t>
      </w:r>
      <w:r w:rsidR="00F45181">
        <w:rPr>
          <w:rFonts w:cs="Arial"/>
          <w:i/>
          <w:iCs/>
          <w:color w:val="auto"/>
        </w:rPr>
        <w:t>’</w:t>
      </w:r>
    </w:p>
    <w:p w14:paraId="7842FADC" w14:textId="77777777"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This case exemplifies how MAPPA enables a holistic, well resourced, and safeguarding-focused approach to managing complex transitions, ensuring public protection while supporting individual rehabilitation.</w:t>
      </w:r>
    </w:p>
    <w:p w14:paraId="3C9EBB37" w14:textId="77777777" w:rsidR="00D8591F" w:rsidRPr="00D8591F" w:rsidRDefault="00D8591F" w:rsidP="00F06D67">
      <w:pPr>
        <w:shd w:val="clear" w:color="auto" w:fill="FFFFFF"/>
        <w:spacing w:after="0" w:line="240" w:lineRule="auto"/>
        <w:jc w:val="both"/>
        <w:rPr>
          <w:rFonts w:cs="Arial"/>
          <w:color w:val="auto"/>
        </w:rPr>
      </w:pPr>
      <w:r w:rsidRPr="00D8591F">
        <w:rPr>
          <w:rFonts w:cs="Arial"/>
          <w:color w:val="auto"/>
        </w:rPr>
        <w:t> </w:t>
      </w:r>
    </w:p>
    <w:p w14:paraId="3080F909" w14:textId="1DE7A521"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Sarah Hare</w:t>
      </w:r>
      <w:r w:rsidR="00F45181">
        <w:rPr>
          <w:rFonts w:cs="Arial"/>
          <w:b/>
          <w:bCs/>
          <w:color w:val="auto"/>
        </w:rPr>
        <w:t xml:space="preserve">, Housing Options, </w:t>
      </w:r>
      <w:r w:rsidRPr="00D8591F">
        <w:rPr>
          <w:rFonts w:cs="Arial"/>
          <w:b/>
          <w:bCs/>
          <w:color w:val="auto"/>
        </w:rPr>
        <w:t xml:space="preserve">Bradford Council – </w:t>
      </w:r>
    </w:p>
    <w:p w14:paraId="5EDE8FC1" w14:textId="77777777"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MAPPA screening Enables Timely Assessment and Improved Information Sharing</w:t>
      </w:r>
    </w:p>
    <w:p w14:paraId="1B3DD5E1" w14:textId="45679C83" w:rsidR="00D8591F" w:rsidRPr="00F45181" w:rsidRDefault="00D8591F" w:rsidP="00F06D67">
      <w:pPr>
        <w:shd w:val="clear" w:color="auto" w:fill="FFFFFF"/>
        <w:spacing w:after="0" w:line="240" w:lineRule="auto"/>
        <w:jc w:val="both"/>
        <w:rPr>
          <w:rFonts w:cs="Arial"/>
          <w:i/>
          <w:iCs/>
          <w:color w:val="auto"/>
        </w:rPr>
      </w:pPr>
      <w:r w:rsidRPr="00F45181">
        <w:rPr>
          <w:rFonts w:cs="Arial"/>
          <w:i/>
          <w:iCs/>
          <w:color w:val="auto"/>
        </w:rPr>
        <w:t xml:space="preserve">A recent case stands out as a strong example of the value of the MAPPA screening process. During the initial MAPPA screening meeting, we were able to arrange an urgent appointment to reassess </w:t>
      </w:r>
      <w:r w:rsidR="00F06D67">
        <w:rPr>
          <w:rFonts w:cs="Arial"/>
          <w:i/>
          <w:iCs/>
          <w:color w:val="auto"/>
        </w:rPr>
        <w:t xml:space="preserve">the </w:t>
      </w:r>
      <w:r w:rsidRPr="00F45181">
        <w:rPr>
          <w:rFonts w:cs="Arial"/>
          <w:i/>
          <w:iCs/>
          <w:color w:val="auto"/>
        </w:rPr>
        <w:t>circumstances and determine whether any further housing duty was owed following a previous negative decision. This proactive approach enabled us to complete the assessment and update both Probation and Prison services ahead of the individual’s release.</w:t>
      </w:r>
    </w:p>
    <w:p w14:paraId="2E42C865" w14:textId="77777777" w:rsidR="00D8591F" w:rsidRPr="00F45181" w:rsidRDefault="00D8591F" w:rsidP="00F06D67">
      <w:pPr>
        <w:shd w:val="clear" w:color="auto" w:fill="FFFFFF"/>
        <w:spacing w:after="0" w:line="240" w:lineRule="auto"/>
        <w:jc w:val="both"/>
        <w:rPr>
          <w:rFonts w:cs="Arial"/>
          <w:i/>
          <w:iCs/>
          <w:color w:val="auto"/>
        </w:rPr>
      </w:pPr>
      <w:r w:rsidRPr="00F45181">
        <w:rPr>
          <w:rFonts w:cs="Arial"/>
          <w:i/>
          <w:iCs/>
          <w:color w:val="auto"/>
        </w:rPr>
        <w:t>Attendance at MAPPA meetings also proves beneficial in clarifying health related information, which is crucial when determining priority need. Unfortunately, individuals do not always disclose the full extent of their health issues or may downplay them. The multi-agency setting allows for a more accurate and comprehensive understanding of such matters, ensuring that decisions are informed and safeguarding needs are appropriately addressed.</w:t>
      </w:r>
    </w:p>
    <w:p w14:paraId="530E923F" w14:textId="77777777" w:rsidR="00D8591F" w:rsidRPr="00D8591F" w:rsidRDefault="00D8591F" w:rsidP="00F06D67">
      <w:pPr>
        <w:shd w:val="clear" w:color="auto" w:fill="FFFFFF"/>
        <w:spacing w:after="0" w:line="240" w:lineRule="auto"/>
        <w:jc w:val="both"/>
        <w:rPr>
          <w:rFonts w:cs="Arial"/>
          <w:color w:val="auto"/>
        </w:rPr>
      </w:pPr>
      <w:r w:rsidRPr="00D8591F">
        <w:rPr>
          <w:rFonts w:cs="Arial"/>
          <w:b/>
          <w:bCs/>
          <w:color w:val="auto"/>
        </w:rPr>
        <w:t>This case highlights how MAPPA facilitates timely interventions, enhances communication between agencies, and supports effective decision-making in complex situations.</w:t>
      </w:r>
    </w:p>
    <w:p w14:paraId="0A30EB00" w14:textId="77777777" w:rsidR="00D8591F" w:rsidRPr="00916D29" w:rsidRDefault="00D8591F" w:rsidP="00332EE6">
      <w:pPr>
        <w:pStyle w:val="MAPPA-HeadingPara"/>
        <w:rPr>
          <w:lang w:val="en-GB"/>
        </w:rPr>
        <w:sectPr w:rsidR="00D8591F" w:rsidRPr="00916D29" w:rsidSect="00867C9E">
          <w:type w:val="continuous"/>
          <w:pgSz w:w="11905" w:h="16837" w:code="9"/>
          <w:pgMar w:top="720" w:right="720" w:bottom="720" w:left="720" w:header="720" w:footer="567" w:gutter="0"/>
          <w:cols w:space="720"/>
          <w:noEndnote/>
        </w:sectPr>
      </w:pPr>
    </w:p>
    <w:p w14:paraId="5B255C0C" w14:textId="77777777" w:rsidR="00332EE6" w:rsidRPr="00916D29" w:rsidRDefault="00332EE6" w:rsidP="00332EE6">
      <w:pPr>
        <w:pStyle w:val="MAPPA-Bodytext"/>
        <w:rPr>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4D1A583E" w14:textId="77777777" w:rsidR="00AC2685" w:rsidRDefault="00AC2685" w:rsidP="00414015">
      <w:pPr>
        <w:pStyle w:val="Heading1"/>
        <w:jc w:val="left"/>
        <w:rPr>
          <w:rFonts w:eastAsiaTheme="minorHAnsi"/>
          <w:sz w:val="56"/>
          <w:szCs w:val="56"/>
        </w:rPr>
      </w:pPr>
    </w:p>
    <w:p w14:paraId="6121E213" w14:textId="0F3D5EEE" w:rsidR="00AC2685" w:rsidRDefault="00AC2685" w:rsidP="00414015">
      <w:pPr>
        <w:pStyle w:val="Heading1"/>
        <w:jc w:val="left"/>
        <w:rPr>
          <w:rFonts w:eastAsiaTheme="minorHAnsi"/>
          <w:sz w:val="56"/>
          <w:szCs w:val="56"/>
        </w:rPr>
      </w:pPr>
      <w:r>
        <w:rPr>
          <w:rFonts w:eastAsiaTheme="minorHAnsi"/>
          <w:sz w:val="56"/>
          <w:szCs w:val="56"/>
        </w:rPr>
        <w:t xml:space="preserve">Case Study </w:t>
      </w:r>
    </w:p>
    <w:p w14:paraId="2265C527" w14:textId="6AE81966" w:rsidR="00E4359E" w:rsidRPr="00E4359E" w:rsidRDefault="00E4359E" w:rsidP="00E4359E">
      <w:pPr>
        <w:jc w:val="both"/>
        <w:rPr>
          <w:rFonts w:eastAsiaTheme="minorHAnsi"/>
        </w:rPr>
      </w:pPr>
      <w:r w:rsidRPr="00E4359E">
        <w:rPr>
          <w:rFonts w:eastAsiaTheme="minorHAnsi"/>
        </w:rPr>
        <w:t>A 13-year-old male was convicted of 11 counts of rape against male children aged between 7 and 13. Additional allegations involving female victims were made but not pursued by the Crown Prosecution Service (CPS) or the victims’ parents. The offences occurred over several years within the local community, targeting known children through manipulation and threats. Despite denying all charges, the individual was found guilty following trial. He had no prior convictions.</w:t>
      </w:r>
    </w:p>
    <w:p w14:paraId="5429D197" w14:textId="6523587C" w:rsidR="00E4359E" w:rsidRPr="00E4359E" w:rsidRDefault="00E4359E" w:rsidP="00E4359E">
      <w:pPr>
        <w:jc w:val="both"/>
        <w:rPr>
          <w:rFonts w:eastAsiaTheme="minorHAnsi"/>
        </w:rPr>
      </w:pPr>
      <w:r w:rsidRPr="00E4359E">
        <w:rPr>
          <w:rFonts w:eastAsiaTheme="minorHAnsi"/>
        </w:rPr>
        <w:t>The individual was sentenced as a youth to 78 months in custody, later reduced on appeal. He was placed on the Sex Offender Register indefinitely and received a Restraining Order prohibiting contact with victims and imposing an exclusion zone. Media restrictions were applied until he turned 18. Following sentencing, significant community tension arose due to the impact on victims, families, and the wider community. His mother was assaulted and later convicted for posting malicious online content, leading to her relocation.</w:t>
      </w:r>
    </w:p>
    <w:p w14:paraId="209ECE70" w14:textId="180685C2" w:rsidR="00E4359E" w:rsidRPr="00E4359E" w:rsidRDefault="00E4359E" w:rsidP="00E4359E">
      <w:pPr>
        <w:jc w:val="both"/>
        <w:rPr>
          <w:rFonts w:eastAsiaTheme="minorHAnsi"/>
        </w:rPr>
      </w:pPr>
      <w:r w:rsidRPr="00E4359E">
        <w:rPr>
          <w:rFonts w:eastAsiaTheme="minorHAnsi"/>
        </w:rPr>
        <w:t>The individual served his sentence in a secure children’s home and was a looked-after child managed by the Youth Offending Team (YOT). Assessments during his placement revealed a history of trauma.  There were concerns around their parents’ ability to create an environment to thrive and protect children exposing children to those who should not have contact with children.  The case reported sexual abuse from the age of 7, (no Police action taken).  He was identified as having a learning disability, with an IQ of 79 confirmed through Speech and Language Therapy (SALT) and cognitive assessments. An Education, Health and Care Plan (EHCP) application was submitted but refused.</w:t>
      </w:r>
    </w:p>
    <w:p w14:paraId="65AB7C40" w14:textId="4D462EDB" w:rsidR="00E4359E" w:rsidRPr="00E4359E" w:rsidRDefault="00E4359E" w:rsidP="00E4359E">
      <w:pPr>
        <w:jc w:val="both"/>
        <w:rPr>
          <w:rFonts w:eastAsiaTheme="minorHAnsi"/>
        </w:rPr>
      </w:pPr>
      <w:r w:rsidRPr="00E4359E">
        <w:rPr>
          <w:rFonts w:eastAsiaTheme="minorHAnsi"/>
        </w:rPr>
        <w:t xml:space="preserve">As the case transitioned from YOT to adult Probation Services, the case was jointly reviewed including the MAPPA level.  Risk assessments were informed by multiple sources of information, including psychologist reports, SALT, and Forensic Child and Adolescent Mental Health Services assessments. Results showed he presented a very risk to known children and high risk to known adults. </w:t>
      </w:r>
    </w:p>
    <w:p w14:paraId="7ECA91C4" w14:textId="1880570F" w:rsidR="00E4359E" w:rsidRPr="00E4359E" w:rsidRDefault="00E4359E" w:rsidP="00E4359E">
      <w:pPr>
        <w:jc w:val="both"/>
        <w:rPr>
          <w:rFonts w:eastAsiaTheme="minorHAnsi"/>
        </w:rPr>
      </w:pPr>
      <w:r w:rsidRPr="00E4359E">
        <w:rPr>
          <w:rFonts w:eastAsiaTheme="minorHAnsi"/>
        </w:rPr>
        <w:t>A MAPPA Level 2 referral was made and accepted. It was assessed that formal meetings would add value to the lead agencies manag</w:t>
      </w:r>
      <w:r>
        <w:rPr>
          <w:rFonts w:eastAsiaTheme="minorHAnsi"/>
        </w:rPr>
        <w:t>e</w:t>
      </w:r>
      <w:r w:rsidRPr="00E4359E">
        <w:rPr>
          <w:rFonts w:eastAsiaTheme="minorHAnsi"/>
        </w:rPr>
        <w:t>ment of the risk posed.</w:t>
      </w:r>
    </w:p>
    <w:p w14:paraId="3C470955" w14:textId="77777777" w:rsidR="00E4359E" w:rsidRPr="00E4359E" w:rsidRDefault="00E4359E" w:rsidP="00E4359E">
      <w:pPr>
        <w:jc w:val="both"/>
        <w:rPr>
          <w:rFonts w:eastAsiaTheme="minorHAnsi"/>
        </w:rPr>
      </w:pPr>
      <w:r w:rsidRPr="00E4359E">
        <w:rPr>
          <w:rFonts w:eastAsiaTheme="minorHAnsi"/>
        </w:rPr>
        <w:t>The sentence end date was approaching, and there were ongoing court matters linked to the index offence. Community tensions and threats to the family persisted, with potential for renewed media attention once reporting restrictions lifted at age 18.</w:t>
      </w:r>
    </w:p>
    <w:p w14:paraId="0C3DE8E9" w14:textId="77777777" w:rsidR="00E4359E" w:rsidRPr="00E4359E" w:rsidRDefault="00E4359E" w:rsidP="00E4359E">
      <w:pPr>
        <w:jc w:val="both"/>
        <w:rPr>
          <w:rFonts w:eastAsiaTheme="minorHAnsi"/>
        </w:rPr>
      </w:pPr>
      <w:r w:rsidRPr="00E4359E">
        <w:rPr>
          <w:rFonts w:eastAsiaTheme="minorHAnsi"/>
        </w:rPr>
        <w:t xml:space="preserve">Remote contact with siblings was ongoing, supervised by the mother, though it was unclear who had assessed this as appropriate. The MAPPA Level 2 meeting facilitated multi-agency review of this case.  This included their protected characteristics and identified unmet needs via application for EHCP.  </w:t>
      </w:r>
    </w:p>
    <w:p w14:paraId="3E1CDCC1" w14:textId="77777777" w:rsidR="00E4359E" w:rsidRPr="00E4359E" w:rsidRDefault="00E4359E" w:rsidP="00E4359E">
      <w:pPr>
        <w:jc w:val="both"/>
        <w:rPr>
          <w:rFonts w:eastAsiaTheme="minorHAnsi"/>
          <w:b/>
          <w:bCs/>
        </w:rPr>
      </w:pPr>
      <w:r w:rsidRPr="00E4359E">
        <w:rPr>
          <w:rFonts w:eastAsiaTheme="minorHAnsi"/>
          <w:b/>
          <w:bCs/>
        </w:rPr>
        <w:t>MAPPA Level 2 - Information Sharing and Safeguarding</w:t>
      </w:r>
    </w:p>
    <w:p w14:paraId="744DB519" w14:textId="77777777" w:rsidR="00E4359E" w:rsidRPr="00E4359E" w:rsidRDefault="00E4359E" w:rsidP="00E4359E">
      <w:pPr>
        <w:jc w:val="both"/>
        <w:rPr>
          <w:rFonts w:eastAsiaTheme="minorHAnsi"/>
        </w:rPr>
      </w:pPr>
      <w:r w:rsidRPr="00E4359E">
        <w:rPr>
          <w:rFonts w:eastAsiaTheme="minorHAnsi"/>
        </w:rPr>
        <w:t>Responsible Authorities and duty to cooperate agencies shared insights into trauma history, family dynamics, education, and interventions.  Police provided details on offending history, new court matters, and family background, noting that grandparents had previously been assessed as protective. Victim Liaison Officers shared victims’ perspectives, highlighting the need for protective licence conditions and exclusion zones mirroring the Restraining Order. Domestic abuse history and referrals were reviewed.  All children at risk of harm were identified, and the relevant safeguarding services were consulted.  The panel questioned the suitability of sibling contact and requested further information from children’s services across the two local authorities. A multi-agency decision was made to suspend sibling contact pending further assessment. A third local authority, where the siblings now resided, was tasked with evaluating future contact suitability as well a protective carers assessment.</w:t>
      </w:r>
    </w:p>
    <w:p w14:paraId="642969E1" w14:textId="77777777" w:rsidR="00E4359E" w:rsidRPr="00E4359E" w:rsidRDefault="00E4359E" w:rsidP="00E4359E">
      <w:pPr>
        <w:jc w:val="both"/>
        <w:rPr>
          <w:rFonts w:eastAsiaTheme="minorHAnsi"/>
        </w:rPr>
      </w:pPr>
      <w:r w:rsidRPr="00E4359E">
        <w:rPr>
          <w:rFonts w:eastAsiaTheme="minorHAnsi"/>
        </w:rPr>
        <w:t>Information around his learning needs was explored as well has his education.  His future aspirations were considered and this included attendance at college and gym.</w:t>
      </w:r>
    </w:p>
    <w:p w14:paraId="1DF5B473" w14:textId="77777777" w:rsidR="00E4359E" w:rsidRDefault="00E4359E" w:rsidP="00E4359E">
      <w:pPr>
        <w:jc w:val="both"/>
        <w:rPr>
          <w:rFonts w:eastAsiaTheme="minorHAnsi"/>
          <w:b/>
          <w:bCs/>
        </w:rPr>
      </w:pPr>
    </w:p>
    <w:p w14:paraId="21C54DAE" w14:textId="77777777" w:rsidR="00E4359E" w:rsidRDefault="00E4359E" w:rsidP="00E4359E">
      <w:pPr>
        <w:jc w:val="both"/>
        <w:rPr>
          <w:rFonts w:eastAsiaTheme="minorHAnsi"/>
          <w:b/>
          <w:bCs/>
        </w:rPr>
      </w:pPr>
    </w:p>
    <w:p w14:paraId="23CFC8DD" w14:textId="76186AC7" w:rsidR="00E4359E" w:rsidRPr="00E4359E" w:rsidRDefault="00E4359E" w:rsidP="00E4359E">
      <w:pPr>
        <w:jc w:val="both"/>
        <w:rPr>
          <w:rFonts w:eastAsiaTheme="minorHAnsi"/>
          <w:b/>
          <w:bCs/>
        </w:rPr>
      </w:pPr>
      <w:r w:rsidRPr="00E4359E">
        <w:rPr>
          <w:rFonts w:eastAsiaTheme="minorHAnsi"/>
          <w:b/>
          <w:bCs/>
        </w:rPr>
        <w:t xml:space="preserve">Release Planning </w:t>
      </w:r>
    </w:p>
    <w:p w14:paraId="75597DE1" w14:textId="77777777" w:rsidR="00E4359E" w:rsidRPr="00E4359E" w:rsidRDefault="00E4359E" w:rsidP="00E4359E">
      <w:pPr>
        <w:jc w:val="both"/>
        <w:rPr>
          <w:rFonts w:eastAsiaTheme="minorHAnsi"/>
        </w:rPr>
      </w:pPr>
      <w:r w:rsidRPr="00E4359E">
        <w:rPr>
          <w:rFonts w:eastAsiaTheme="minorHAnsi"/>
        </w:rPr>
        <w:t>YOT and probation practitioners assessed Approved Premises (AP) unsuitable. Grandparents were identified as potential providers of accommodation, with plans to relocate closer to the mother and siblings. Housing support was required if this was assessed as suitable.  New information raised concerns about their protective capacity, prompting further assessment.</w:t>
      </w:r>
    </w:p>
    <w:p w14:paraId="053F1867" w14:textId="77777777" w:rsidR="00E4359E" w:rsidRPr="00E4359E" w:rsidRDefault="00E4359E" w:rsidP="00E4359E">
      <w:pPr>
        <w:jc w:val="both"/>
        <w:rPr>
          <w:rFonts w:eastAsiaTheme="minorHAnsi"/>
        </w:rPr>
      </w:pPr>
      <w:r w:rsidRPr="00E4359E">
        <w:rPr>
          <w:rFonts w:eastAsiaTheme="minorHAnsi"/>
        </w:rPr>
        <w:t>Alternative accommodation pathways were considered, including referral to Adult Social Care for a Care Act assessment to explore supported housing and educational support. AP placement remained an option for enhanced monitoring, though concerns were raised about exposure to more experienced offenders.</w:t>
      </w:r>
    </w:p>
    <w:p w14:paraId="6097DE0A" w14:textId="77777777" w:rsidR="00E4359E" w:rsidRPr="00E4359E" w:rsidRDefault="00E4359E" w:rsidP="00E4359E">
      <w:pPr>
        <w:jc w:val="both"/>
        <w:rPr>
          <w:rFonts w:eastAsiaTheme="minorHAnsi"/>
        </w:rPr>
      </w:pPr>
      <w:r w:rsidRPr="00E4359E">
        <w:rPr>
          <w:rFonts w:eastAsiaTheme="minorHAnsi"/>
        </w:rPr>
        <w:t>The pathway to accommodation for release was not clear.</w:t>
      </w:r>
    </w:p>
    <w:p w14:paraId="3D2E0F6F" w14:textId="77777777" w:rsidR="00E4359E" w:rsidRPr="00E4359E" w:rsidRDefault="00E4359E" w:rsidP="00E4359E">
      <w:pPr>
        <w:jc w:val="both"/>
        <w:rPr>
          <w:rFonts w:eastAsiaTheme="minorHAnsi"/>
        </w:rPr>
      </w:pPr>
      <w:r w:rsidRPr="00E4359E">
        <w:rPr>
          <w:rFonts w:eastAsiaTheme="minorHAnsi"/>
        </w:rPr>
        <w:t>Due to the complexity of the case, emerging child protection concerns, new developments in court proceedings, and significant barriers to effective information sharing, the case was escalated to MAPPA Level 3. This decision was made to ensure robust risk management and appropriate oversight.</w:t>
      </w:r>
    </w:p>
    <w:p w14:paraId="2B12DB16" w14:textId="77777777" w:rsidR="00E4359E" w:rsidRPr="00E4359E" w:rsidRDefault="00E4359E" w:rsidP="00E4359E">
      <w:pPr>
        <w:jc w:val="both"/>
        <w:rPr>
          <w:rFonts w:eastAsiaTheme="minorHAnsi"/>
        </w:rPr>
      </w:pPr>
      <w:r w:rsidRPr="00E4359E">
        <w:rPr>
          <w:rFonts w:eastAsiaTheme="minorHAnsi"/>
        </w:rPr>
        <w:t>Given the potential for media interest and reputational risks that could undermine public confidence in the Criminal Justice System, Heads of Service from both Responsible Authorities and Duty to Cooperate agencies were required to maintain oversight. There was also a possibility that resources would need to be mobilised rapidly to support safe resettlement in another area, necessitating senior level involvement in any transfer arrangements.</w:t>
      </w:r>
    </w:p>
    <w:p w14:paraId="0D6B9298" w14:textId="77777777" w:rsidR="00E4359E" w:rsidRPr="00E4359E" w:rsidRDefault="00E4359E" w:rsidP="00E4359E">
      <w:pPr>
        <w:jc w:val="both"/>
        <w:rPr>
          <w:rFonts w:eastAsiaTheme="minorHAnsi"/>
        </w:rPr>
      </w:pPr>
      <w:r w:rsidRPr="00E4359E">
        <w:rPr>
          <w:rFonts w:eastAsiaTheme="minorHAnsi"/>
        </w:rPr>
        <w:t>The case also involved complex disclosure considerations, particularly in relation to the individual’s attendance at a college and gym. Additionally, referrals to the National Security Division and registration as a Critical Public Protection Case were explored to ensure all necessary safeguarding and risk management measures were in place.</w:t>
      </w:r>
    </w:p>
    <w:p w14:paraId="72E37C26" w14:textId="77777777" w:rsidR="00E4359E" w:rsidRPr="00E4359E" w:rsidRDefault="00E4359E" w:rsidP="00E4359E">
      <w:pPr>
        <w:jc w:val="both"/>
        <w:rPr>
          <w:rFonts w:eastAsiaTheme="minorHAnsi"/>
        </w:rPr>
      </w:pPr>
      <w:r w:rsidRPr="00E4359E">
        <w:rPr>
          <w:rFonts w:eastAsiaTheme="minorHAnsi"/>
        </w:rPr>
        <w:t>Five Level 3 meetings were held before the case was successfully transferred to a new area.</w:t>
      </w:r>
    </w:p>
    <w:p w14:paraId="62E1FF18" w14:textId="72852D04" w:rsidR="00E4359E" w:rsidRPr="00E4359E" w:rsidRDefault="00E4359E" w:rsidP="00E4359E">
      <w:pPr>
        <w:jc w:val="both"/>
        <w:rPr>
          <w:rFonts w:eastAsiaTheme="minorHAnsi"/>
        </w:rPr>
      </w:pPr>
      <w:r w:rsidRPr="00E4359E">
        <w:rPr>
          <w:rFonts w:eastAsiaTheme="minorHAnsi"/>
        </w:rPr>
        <w:t>This case exemplifies the challenges of managing very high-risk youth offenders transitioning to adulthood. It required intensive multi agency collaboration, robust safeguarding, and coordinated risk management. MAPPA involvement was instrumental in ensuring public protection, victim safety, and appropriate rehabilitation planning. The case highlighted the importance of addressing unmet needs, such as learning support, and the critical role of information sharing across services and local authorities.</w:t>
      </w:r>
    </w:p>
    <w:p w14:paraId="13042BF7" w14:textId="77777777" w:rsidR="00E4359E" w:rsidRPr="00E41182" w:rsidRDefault="00E4359E" w:rsidP="00E4359E">
      <w:pPr>
        <w:spacing w:after="0"/>
        <w:jc w:val="both"/>
        <w:rPr>
          <w:rFonts w:eastAsiaTheme="minorHAnsi"/>
          <w:b/>
          <w:bCs/>
        </w:rPr>
      </w:pPr>
      <w:r w:rsidRPr="00E41182">
        <w:rPr>
          <w:rFonts w:eastAsiaTheme="minorHAnsi"/>
          <w:b/>
          <w:bCs/>
        </w:rPr>
        <w:t>Marcia Newsome</w:t>
      </w:r>
    </w:p>
    <w:p w14:paraId="221759F4" w14:textId="77777777" w:rsidR="00E4359E" w:rsidRPr="00E41182" w:rsidRDefault="00E4359E" w:rsidP="00E4359E">
      <w:pPr>
        <w:spacing w:after="0"/>
        <w:jc w:val="both"/>
        <w:rPr>
          <w:rFonts w:eastAsiaTheme="minorHAnsi"/>
          <w:b/>
          <w:bCs/>
        </w:rPr>
      </w:pPr>
      <w:r w:rsidRPr="00E41182">
        <w:rPr>
          <w:rFonts w:eastAsiaTheme="minorHAnsi"/>
          <w:b/>
          <w:bCs/>
        </w:rPr>
        <w:t>MAPPA Chair Bradford</w:t>
      </w:r>
    </w:p>
    <w:p w14:paraId="6C6AA0D4" w14:textId="74E2BA75" w:rsidR="00E4359E" w:rsidRPr="00E41182" w:rsidRDefault="00E4359E" w:rsidP="00E4359E">
      <w:pPr>
        <w:spacing w:after="0"/>
        <w:jc w:val="both"/>
        <w:rPr>
          <w:rFonts w:eastAsiaTheme="minorHAnsi"/>
          <w:b/>
          <w:bCs/>
        </w:rPr>
      </w:pPr>
      <w:r w:rsidRPr="00E41182">
        <w:rPr>
          <w:rFonts w:eastAsiaTheme="minorHAnsi"/>
          <w:b/>
          <w:bCs/>
        </w:rPr>
        <w:t>Senior Probation Officer</w:t>
      </w:r>
    </w:p>
    <w:p w14:paraId="18AEA545" w14:textId="77777777" w:rsidR="00AC2685" w:rsidRDefault="00AC2685" w:rsidP="00414015">
      <w:pPr>
        <w:pStyle w:val="Heading1"/>
        <w:jc w:val="left"/>
        <w:rPr>
          <w:rFonts w:eastAsiaTheme="minorHAnsi"/>
          <w:sz w:val="56"/>
          <w:szCs w:val="56"/>
        </w:rPr>
      </w:pPr>
    </w:p>
    <w:p w14:paraId="4D28AFEC" w14:textId="77777777" w:rsidR="00AC2685" w:rsidRDefault="00AC2685" w:rsidP="00414015">
      <w:pPr>
        <w:pStyle w:val="Heading1"/>
        <w:jc w:val="left"/>
        <w:rPr>
          <w:rFonts w:eastAsiaTheme="minorHAnsi"/>
          <w:sz w:val="56"/>
          <w:szCs w:val="56"/>
        </w:rPr>
      </w:pPr>
    </w:p>
    <w:p w14:paraId="5345B774" w14:textId="77777777" w:rsidR="00AC2685" w:rsidRDefault="00AC2685" w:rsidP="00414015">
      <w:pPr>
        <w:pStyle w:val="Heading1"/>
        <w:jc w:val="left"/>
        <w:rPr>
          <w:rFonts w:eastAsiaTheme="minorHAnsi"/>
          <w:sz w:val="56"/>
          <w:szCs w:val="56"/>
        </w:rPr>
      </w:pPr>
    </w:p>
    <w:p w14:paraId="54AACE26" w14:textId="77777777" w:rsidR="00AC2685" w:rsidRDefault="00AC2685" w:rsidP="00414015">
      <w:pPr>
        <w:pStyle w:val="Heading1"/>
        <w:jc w:val="left"/>
        <w:rPr>
          <w:rFonts w:eastAsiaTheme="minorHAnsi"/>
          <w:sz w:val="56"/>
          <w:szCs w:val="56"/>
        </w:rPr>
      </w:pPr>
    </w:p>
    <w:p w14:paraId="7811C479" w14:textId="77777777" w:rsidR="00AC2685" w:rsidRDefault="00AC2685" w:rsidP="00414015">
      <w:pPr>
        <w:pStyle w:val="Heading1"/>
        <w:jc w:val="left"/>
        <w:rPr>
          <w:rFonts w:eastAsiaTheme="minorHAnsi"/>
          <w:sz w:val="56"/>
          <w:szCs w:val="56"/>
        </w:rPr>
      </w:pPr>
    </w:p>
    <w:p w14:paraId="31801263" w14:textId="77777777" w:rsidR="00AC2685" w:rsidRDefault="00AC2685" w:rsidP="00414015">
      <w:pPr>
        <w:pStyle w:val="Heading1"/>
        <w:jc w:val="left"/>
        <w:rPr>
          <w:rFonts w:eastAsiaTheme="minorHAnsi"/>
          <w:sz w:val="56"/>
          <w:szCs w:val="56"/>
        </w:rPr>
      </w:pPr>
    </w:p>
    <w:p w14:paraId="68574DA7" w14:textId="77777777" w:rsidR="00AC2685" w:rsidRDefault="00AC2685" w:rsidP="00414015">
      <w:pPr>
        <w:pStyle w:val="Heading1"/>
        <w:jc w:val="left"/>
        <w:rPr>
          <w:rFonts w:eastAsiaTheme="minorHAnsi"/>
          <w:sz w:val="56"/>
          <w:szCs w:val="56"/>
        </w:rPr>
      </w:pPr>
    </w:p>
    <w:p w14:paraId="5A51EBC5" w14:textId="194E3516" w:rsidR="00414015" w:rsidRPr="00414015" w:rsidRDefault="00414015" w:rsidP="00414015">
      <w:pPr>
        <w:pStyle w:val="Heading1"/>
        <w:jc w:val="left"/>
        <w:rPr>
          <w:rFonts w:eastAsiaTheme="minorHAnsi"/>
          <w:sz w:val="56"/>
          <w:szCs w:val="56"/>
        </w:rPr>
      </w:pPr>
      <w:r w:rsidRPr="00414015">
        <w:rPr>
          <w:rFonts w:eastAsiaTheme="minorHAnsi"/>
          <w:sz w:val="56"/>
          <w:szCs w:val="56"/>
        </w:rPr>
        <w:t>Lay Adviser Perspective</w:t>
      </w:r>
    </w:p>
    <w:p w14:paraId="7F6556B0" w14:textId="34D9CD12" w:rsidR="00414015" w:rsidRPr="00414015" w:rsidRDefault="00414015" w:rsidP="00E4359E">
      <w:pPr>
        <w:pStyle w:val="NormalWeb"/>
        <w:jc w:val="both"/>
        <w:rPr>
          <w:rFonts w:ascii="Arial" w:hAnsi="Arial" w:cs="Arial"/>
        </w:rPr>
      </w:pPr>
      <w:r w:rsidRPr="00414015">
        <w:rPr>
          <w:rFonts w:ascii="Arial" w:hAnsi="Arial" w:cs="Arial"/>
        </w:rPr>
        <w:t>As Lay Adviser to West Yorkshire MAPPA, my role is to provide a community perspective to the monitoring and evaluation of the MAPPA arrangements for the region. I help scrutinise how the various agencies work together to manage those individuals who are subject to the MAPPA arrangements, acting as a critical friend to the professionals. This is a position of vital importance to the effective discharge of MAPPA.  I see it as my role to ask the questions that the professionals who are closely involved in the work might not think to ask and to challenge assumptions.  By doing so, I help ensure that arrangements in our region remain robust, effective, and responsive to change.</w:t>
      </w:r>
    </w:p>
    <w:p w14:paraId="52275764" w14:textId="7BD03852" w:rsidR="00414015" w:rsidRPr="00414015" w:rsidRDefault="00414015" w:rsidP="00E4359E">
      <w:pPr>
        <w:pStyle w:val="NormalWeb"/>
        <w:jc w:val="both"/>
        <w:rPr>
          <w:rFonts w:ascii="Arial" w:hAnsi="Arial" w:cs="Arial"/>
        </w:rPr>
      </w:pPr>
      <w:r w:rsidRPr="00414015">
        <w:rPr>
          <w:rFonts w:ascii="Arial" w:hAnsi="Arial" w:cs="Arial"/>
        </w:rPr>
        <w:t>Before I reflect briefly on the last 12 months, I would like to offer my thanks to all those I have worked with on the Strategic Management Board during 2024/25.  Without exception, I have found all members of the SMB to be open to constructive challenge and appreciative of the value that the lay perspective can add.  This is so important if we are to make MAPPA as effective as possible. I should offer particular thanks to Saima Rinah, our MAPPA co-ordinator, Chief Inspector Wayne Horner, and ACC Damien Miller, our SMB Chair, who have all been instrumental in setting this culture of challenge and improvement in our region. </w:t>
      </w:r>
    </w:p>
    <w:p w14:paraId="0EDDE496" w14:textId="6DC70B1A" w:rsidR="00414015" w:rsidRPr="00414015" w:rsidRDefault="00414015" w:rsidP="00E4359E">
      <w:pPr>
        <w:pStyle w:val="NormalWeb"/>
        <w:jc w:val="both"/>
        <w:rPr>
          <w:rFonts w:ascii="Arial" w:hAnsi="Arial" w:cs="Arial"/>
        </w:rPr>
      </w:pPr>
      <w:r w:rsidRPr="00414015">
        <w:rPr>
          <w:rFonts w:ascii="Arial" w:hAnsi="Arial" w:cs="Arial"/>
        </w:rPr>
        <w:t>Looking back at 2024/25, I have continued to observe challenges facing not only the police, probation and prisons, but also the duty to co-operate agencies.  Volumes and complexities of caseloads present an ongoing challenge.  And, of course, resource constraints cannot be ignored.  In this context, it is more important than ever that risk management systems are as effective as they can be.  I have attended both Level 2 and Level 3 MAPPA meetings during the course of this period to see for myself how agencies are responding to these challenges to keep the public safe. I have observed a robust focus on collaboration, effective working relationships, high levels of professional expertise, and above all, an unwavering commitment to public protection across the agencies involved.  </w:t>
      </w:r>
    </w:p>
    <w:p w14:paraId="475BEDFA" w14:textId="7C0DE4AD" w:rsidR="00414015" w:rsidRPr="00414015" w:rsidRDefault="00414015" w:rsidP="00E4359E">
      <w:pPr>
        <w:pStyle w:val="NormalWeb"/>
        <w:jc w:val="both"/>
        <w:rPr>
          <w:rFonts w:ascii="Arial" w:hAnsi="Arial" w:cs="Arial"/>
        </w:rPr>
      </w:pPr>
      <w:r w:rsidRPr="00414015">
        <w:rPr>
          <w:rFonts w:ascii="Arial" w:hAnsi="Arial" w:cs="Arial"/>
        </w:rPr>
        <w:t>This year I was also pleased to be invited to take the lead on exploring opportunities to improve our focus on equality.  This is an area of professional interest to me so I was delighted to be able to contribute to the MAPPA region's improvement journey in this important area.  In particular, we have reflected on how we collect and use equality data to drive targeted improvements in the arrangements that are put in place for those who are subject to MAPPA.  We have also reflected on the conduct of MAPPA meetings themselves and tightened arrangements for ensuring that adjustments are in place for those who might need them to participate fully and effectively in multi agency meetings. </w:t>
      </w:r>
    </w:p>
    <w:p w14:paraId="2A3463EF" w14:textId="034C6518" w:rsidR="00414015" w:rsidRPr="00414015" w:rsidRDefault="00414015" w:rsidP="00E4359E">
      <w:pPr>
        <w:pStyle w:val="NormalWeb"/>
        <w:jc w:val="both"/>
        <w:rPr>
          <w:rFonts w:ascii="Arial" w:hAnsi="Arial" w:cs="Arial"/>
        </w:rPr>
      </w:pPr>
      <w:r w:rsidRPr="00414015">
        <w:rPr>
          <w:rFonts w:ascii="Arial" w:hAnsi="Arial" w:cs="Arial"/>
        </w:rPr>
        <w:t>Finally, I must mention the improvements I have observed in support for the lay adviser roles at a national level.  I am delighted to see how the national team has invested in forums for lay advisers from across regions to network, build knowledge and share good practice. This can only be of benefit to all those involved in MAPPA. </w:t>
      </w:r>
    </w:p>
    <w:p w14:paraId="36EA8D6F" w14:textId="2941C994" w:rsidR="00414015" w:rsidRDefault="00414015" w:rsidP="00E4359E">
      <w:pPr>
        <w:pStyle w:val="NormalWeb"/>
        <w:jc w:val="both"/>
        <w:rPr>
          <w:rFonts w:ascii="Arial" w:hAnsi="Arial" w:cs="Arial"/>
        </w:rPr>
      </w:pPr>
      <w:r w:rsidRPr="00414015">
        <w:rPr>
          <w:rFonts w:ascii="Arial" w:hAnsi="Arial" w:cs="Arial"/>
        </w:rPr>
        <w:t>I look forward to continuing to work alongside my colleagues on the West Yorkshire SMB in the year ahead and remain committed to offering critical challenge through a community perspective to the best of my ability. I am fortunate that I am working with a SMB who recognise the value of the lay adviser role and I am grateful to my colleagues for that.  Indeed, I expect to be joined by a second lay adviser during the course of this coming year, and this can only help strengthen the arrangements further.  </w:t>
      </w:r>
    </w:p>
    <w:p w14:paraId="7799CC5A" w14:textId="2C7FF2B6" w:rsidR="00414015" w:rsidRPr="00E41182" w:rsidRDefault="00414015" w:rsidP="00E41182">
      <w:pPr>
        <w:pStyle w:val="NormalWeb"/>
        <w:spacing w:after="0" w:afterAutospacing="0"/>
        <w:contextualSpacing/>
        <w:rPr>
          <w:rFonts w:ascii="Arial" w:hAnsi="Arial" w:cs="Arial"/>
          <w:b/>
          <w:bCs/>
        </w:rPr>
      </w:pPr>
      <w:r w:rsidRPr="00E41182">
        <w:rPr>
          <w:rFonts w:ascii="Arial" w:hAnsi="Arial" w:cs="Arial"/>
          <w:b/>
          <w:bCs/>
        </w:rPr>
        <w:t xml:space="preserve">Martin Crick </w:t>
      </w:r>
    </w:p>
    <w:p w14:paraId="2C88496C" w14:textId="6635CFCC" w:rsidR="00E41182" w:rsidRPr="00E41182" w:rsidRDefault="00E41182" w:rsidP="00E41182">
      <w:pPr>
        <w:pStyle w:val="NormalWeb"/>
        <w:spacing w:after="0" w:afterAutospacing="0"/>
        <w:contextualSpacing/>
        <w:rPr>
          <w:rFonts w:ascii="Arial" w:hAnsi="Arial" w:cs="Arial"/>
          <w:b/>
          <w:bCs/>
        </w:rPr>
      </w:pPr>
      <w:r w:rsidRPr="00E41182">
        <w:rPr>
          <w:rFonts w:ascii="Arial" w:hAnsi="Arial" w:cs="Arial"/>
          <w:b/>
          <w:bCs/>
        </w:rPr>
        <w:t>Lay Adviser</w:t>
      </w:r>
    </w:p>
    <w:p w14:paraId="159797A2" w14:textId="77777777" w:rsidR="00E4359E" w:rsidRDefault="00E4359E" w:rsidP="00332EE6">
      <w:pPr>
        <w:pStyle w:val="MAPPA-Bodytext"/>
        <w:spacing w:before="4800"/>
        <w:jc w:val="center"/>
        <w:rPr>
          <w:b/>
          <w:color w:val="7030A0"/>
          <w:sz w:val="26"/>
          <w:szCs w:val="26"/>
          <w:lang w:val="en-GB"/>
        </w:rPr>
      </w:pPr>
    </w:p>
    <w:p w14:paraId="100B19D4" w14:textId="7C10AA1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MAPPA reports from England and Wales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4"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E4359E">
          <w:footerReference w:type="default" r:id="rId25"/>
          <w:pgSz w:w="11905" w:h="16837" w:code="9"/>
          <w:pgMar w:top="11"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786A6118" w:rsidR="00DE3907" w:rsidRPr="00AA7FE7" w:rsidRDefault="00E41182" w:rsidP="00080DFC">
      <w:pPr>
        <w:spacing w:line="240" w:lineRule="atLeast"/>
        <w:rPr>
          <w:b/>
          <w:bCs/>
          <w:color w:val="7030A0"/>
        </w:rPr>
      </w:pPr>
      <w:r w:rsidRPr="00842ED1">
        <w:rPr>
          <w:noProof/>
          <w:color w:val="7030A0"/>
        </w:rPr>
        <w:drawing>
          <wp:inline distT="0" distB="0" distL="0" distR="0" wp14:anchorId="32EFA2A9" wp14:editId="18EB8008">
            <wp:extent cx="2101850" cy="91440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12461" cy="962521"/>
                    </a:xfrm>
                    <a:prstGeom prst="rect">
                      <a:avLst/>
                    </a:prstGeom>
                    <a:noFill/>
                    <a:ln>
                      <a:noFill/>
                    </a:ln>
                  </pic:spPr>
                </pic:pic>
              </a:graphicData>
            </a:graphic>
          </wp:inline>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8AD9" w14:textId="77777777" w:rsidR="00332EE6" w:rsidRPr="004349EC" w:rsidRDefault="00332EE6" w:rsidP="004349EC">
    <w:pPr>
      <w:pStyle w:val="Foote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74651" w14:textId="77777777" w:rsidR="00850A58" w:rsidRPr="00735E92" w:rsidRDefault="00850A58"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1</w:t>
    </w:r>
    <w:r w:rsidRPr="00735E92">
      <w:rPr>
        <w:rStyle w:val="PageNumber"/>
        <w:rFonts w:cs="Arial"/>
        <w:sz w:val="18"/>
        <w:szCs w:val="18"/>
      </w:rPr>
      <w:fldChar w:fldCharType="end"/>
    </w:r>
  </w:p>
  <w:p w14:paraId="395164E6" w14:textId="77777777" w:rsidR="00850A58" w:rsidRPr="0009323B" w:rsidRDefault="00850A58" w:rsidP="003F01A6">
    <w:pPr>
      <w:pStyle w:val="Footer"/>
      <w:rPr>
        <w:rStyle w:val="PageNumber"/>
        <w:rFonts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F230CC"/>
    <w:multiLevelType w:val="multilevel"/>
    <w:tmpl w:val="98A6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2"/>
  </w:num>
  <w:num w:numId="2" w16cid:durableId="1275559666">
    <w:abstractNumId w:val="3"/>
  </w:num>
  <w:num w:numId="3" w16cid:durableId="427392215">
    <w:abstractNumId w:val="0"/>
  </w:num>
  <w:num w:numId="4" w16cid:durableId="1961837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BDE"/>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506C"/>
    <w:rsid w:val="000A6775"/>
    <w:rsid w:val="000B3DC7"/>
    <w:rsid w:val="000D082C"/>
    <w:rsid w:val="000E3453"/>
    <w:rsid w:val="000E3C5B"/>
    <w:rsid w:val="000F06E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07C55"/>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4015"/>
    <w:rsid w:val="00416B8E"/>
    <w:rsid w:val="00421553"/>
    <w:rsid w:val="004265C9"/>
    <w:rsid w:val="0043417E"/>
    <w:rsid w:val="004349EC"/>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4C9B"/>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22A5"/>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64EF"/>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0A58"/>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6BC"/>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5389"/>
    <w:rsid w:val="00A962A1"/>
    <w:rsid w:val="00AA3E8E"/>
    <w:rsid w:val="00AA7FE7"/>
    <w:rsid w:val="00AB5644"/>
    <w:rsid w:val="00AB6B32"/>
    <w:rsid w:val="00AC2685"/>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2FA"/>
    <w:rsid w:val="00C87622"/>
    <w:rsid w:val="00C91687"/>
    <w:rsid w:val="00C95E6C"/>
    <w:rsid w:val="00CA3666"/>
    <w:rsid w:val="00CA696D"/>
    <w:rsid w:val="00CA6DD8"/>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591F"/>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41182"/>
    <w:rsid w:val="00E4359E"/>
    <w:rsid w:val="00E50500"/>
    <w:rsid w:val="00E53FDC"/>
    <w:rsid w:val="00E54E3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06D67"/>
    <w:rsid w:val="00F143BD"/>
    <w:rsid w:val="00F14FED"/>
    <w:rsid w:val="00F16EF8"/>
    <w:rsid w:val="00F333E2"/>
    <w:rsid w:val="00F3451C"/>
    <w:rsid w:val="00F346C9"/>
    <w:rsid w:val="00F3592D"/>
    <w:rsid w:val="00F37895"/>
    <w:rsid w:val="00F43667"/>
    <w:rsid w:val="00F44D5D"/>
    <w:rsid w:val="00F45181"/>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NormalWeb">
    <w:name w:val="Normal (Web)"/>
    <w:basedOn w:val="Normal"/>
    <w:uiPriority w:val="99"/>
    <w:semiHidden/>
    <w:unhideWhenUsed/>
    <w:rsid w:val="00414015"/>
    <w:pPr>
      <w:suppressAutoHyphens w:val="0"/>
      <w:autoSpaceDE/>
      <w:autoSpaceDN/>
      <w:adjustRightInd/>
      <w:spacing w:before="100" w:beforeAutospacing="1" w:after="100" w:afterAutospacing="1" w:line="240" w:lineRule="auto"/>
      <w:textAlignment w:val="auto"/>
    </w:pPr>
    <w:rPr>
      <w:rFonts w:ascii="Aptos" w:eastAsiaTheme="minorHAnsi" w:hAnsi="Aptos" w:cs="Apto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image" Target="media/image7.emf"/><Relationship Id="rId10" Type="http://schemas.openxmlformats.org/officeDocument/2006/relationships/endnotes" Target="endnotes.xml"/><Relationship Id="rId19" Type="http://schemas.openxmlformats.org/officeDocument/2006/relationships/footer" Target="footer5.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image" Target="media/image6.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a70322e1-a38b-42c5-8c13-fe2a0eec7b33"/>
    <ds:schemaRef ds:uri="http://schemas.microsoft.com/office/2006/documentManagement/types"/>
    <ds:schemaRef ds:uri="http://purl.org/dc/dcmitype/"/>
    <ds:schemaRef ds:uri="df47f593-3511-4cc3-ad96-2f2ab4207d77"/>
    <ds:schemaRef ds:uri="http://schemas.openxmlformats.org/package/2006/metadata/core-properties"/>
    <ds:schemaRef ds:uri="http://purl.org/dc/terms/"/>
    <ds:schemaRef ds:uri="http://purl.org/dc/elements/1.1/"/>
    <ds:schemaRef ds:uri="51a94638-d5b7-4aed-836d-3cd331901a38"/>
    <ds:schemaRef ds:uri="http://schemas.microsoft.com/office/infopath/2007/PartnerControls"/>
    <ds:schemaRef ds:uri="92b268e8-0d07-416c-b449-c0d215745eef"/>
    <ds:schemaRef ds:uri="http://www.w3.org/XML/1998/namespace"/>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15</Pages>
  <Words>5193</Words>
  <Characters>28475</Characters>
  <Application>Microsoft Office Word</Application>
  <DocSecurity>4</DocSecurity>
  <Lines>781</Lines>
  <Paragraphs>222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2025-10-27T11:13:00Z</dcterms:created>
  <dcterms:modified xsi:type="dcterms:W3CDTF">2025-10-27T11:13:00Z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