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7E1A8211" w:rsidR="003C0362" w:rsidRPr="00D5409B" w:rsidRDefault="00666792" w:rsidP="002C39F4">
      <w:pPr>
        <w:pStyle w:val="Heading1"/>
        <w:jc w:val="center"/>
        <w:rPr>
          <w:rStyle w:val="IntenseReference"/>
          <w:b w:val="0"/>
          <w:bCs w:val="0"/>
          <w:smallCaps w:val="0"/>
          <w:color w:val="7030A0"/>
          <w:spacing w:val="0"/>
        </w:rPr>
      </w:pPr>
      <w:r>
        <w:rPr>
          <w:rStyle w:val="IntenseReference"/>
          <w:b w:val="0"/>
          <w:bCs w:val="0"/>
          <w:smallCaps w:val="0"/>
          <w:color w:val="7030A0"/>
          <w:spacing w:val="0"/>
        </w:rPr>
        <w:t>Cheshire</w:t>
      </w:r>
      <w:r w:rsidR="002C39F4">
        <w:rPr>
          <w:rStyle w:val="IntenseReference"/>
          <w:b w:val="0"/>
          <w:bCs w:val="0"/>
          <w:smallCaps w:val="0"/>
          <w:color w:val="7030A0"/>
          <w:spacing w:val="0"/>
        </w:rPr>
        <w:t xml:space="preserve"> Annual Report 2024 - 2025</w:t>
      </w:r>
    </w:p>
    <w:p w14:paraId="5E94A3F0" w14:textId="5B18F609" w:rsidR="002C39F4" w:rsidRPr="001056B8" w:rsidRDefault="001056B8" w:rsidP="002C39F4">
      <w:pPr>
        <w:pStyle w:val="Default"/>
        <w:tabs>
          <w:tab w:val="left" w:pos="7820"/>
        </w:tabs>
        <w:rPr>
          <w:rFonts w:cs="Arial"/>
          <w:b/>
          <w:color w:val="7030A0"/>
          <w:sz w:val="68"/>
          <w:szCs w:val="68"/>
        </w:rPr>
        <w:sectPr w:rsidR="002C39F4" w:rsidRPr="001056B8" w:rsidSect="001056B8">
          <w:pgSz w:w="11905" w:h="16837"/>
          <w:pgMar w:top="720" w:right="720" w:bottom="720" w:left="567" w:header="720" w:footer="567" w:gutter="0"/>
          <w:cols w:space="720"/>
        </w:sectPr>
      </w:pPr>
      <w:r w:rsidRPr="001056B8">
        <w:rPr>
          <w:rFonts w:cs="Arial"/>
          <w:noProof/>
          <w:color w:val="7030A0"/>
          <w:sz w:val="68"/>
          <w:szCs w:val="68"/>
        </w:rPr>
        <w:drawing>
          <wp:anchor distT="0" distB="0" distL="114300" distR="114300" simplePos="0" relativeHeight="251660288" behindDoc="0" locked="0" layoutInCell="1" allowOverlap="1" wp14:anchorId="725FCE6E" wp14:editId="46AB2BE6">
            <wp:simplePos x="0" y="0"/>
            <wp:positionH relativeFrom="margin">
              <wp:posOffset>3811905</wp:posOffset>
            </wp:positionH>
            <wp:positionV relativeFrom="page">
              <wp:posOffset>5365751</wp:posOffset>
            </wp:positionV>
            <wp:extent cx="3056255" cy="3905250"/>
            <wp:effectExtent l="0" t="0" r="0" b="0"/>
            <wp:wrapNone/>
            <wp:docPr id="1936858401" name="Pictur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6255" cy="3905250"/>
                    </a:xfrm>
                    <a:prstGeom prst="rect">
                      <a:avLst/>
                    </a:prstGeom>
                    <a:noFill/>
                    <a:effectLst>
                      <a:softEdge rad="127000"/>
                    </a:effectLst>
                  </pic:spPr>
                </pic:pic>
              </a:graphicData>
            </a:graphic>
            <wp14:sizeRelH relativeFrom="margin">
              <wp14:pctWidth>0</wp14:pctWidth>
            </wp14:sizeRelH>
            <wp14:sizeRelV relativeFrom="margin">
              <wp14:pctHeight>0</wp14:pctHeight>
            </wp14:sizeRelV>
          </wp:anchor>
        </w:drawing>
      </w:r>
      <w:r>
        <w:rPr>
          <w:rFonts w:cs="Arial"/>
          <w:b/>
          <w:color w:val="7030A0"/>
          <w:sz w:val="68"/>
          <w:szCs w:val="68"/>
        </w:rPr>
        <w:tab/>
      </w:r>
      <w:r>
        <w:rPr>
          <w:noProof/>
        </w:rPr>
        <w:drawing>
          <wp:inline distT="0" distB="0" distL="0" distR="0" wp14:anchorId="7E33563C" wp14:editId="1280497D">
            <wp:extent cx="3663315" cy="2122170"/>
            <wp:effectExtent l="0" t="0" r="0" b="0"/>
            <wp:docPr id="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3663315" cy="2122170"/>
                    </a:xfrm>
                    <a:prstGeom prst="rect">
                      <a:avLst/>
                    </a:prstGeom>
                    <a:ln>
                      <a:noFill/>
                    </a:ln>
                    <a:effectLst>
                      <a:softEdge rad="127000"/>
                    </a:effectLst>
                  </pic:spPr>
                </pic:pic>
              </a:graphicData>
            </a:graphic>
          </wp:inline>
        </w:drawing>
      </w:r>
      <w:r w:rsidR="002C39F4">
        <w:rPr>
          <w:noProof/>
        </w:rPr>
        <w:drawing>
          <wp:inline distT="0" distB="0" distL="0" distR="0" wp14:anchorId="67298999" wp14:editId="7467662B">
            <wp:extent cx="2959100" cy="2009775"/>
            <wp:effectExtent l="0" t="0" r="0" b="9525"/>
            <wp:docPr id="670765436"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4">
                      <a:extLst>
                        <a:ext uri="{28A0092B-C50C-407E-A947-70E740481C1C}">
                          <a14:useLocalDpi xmlns:a14="http://schemas.microsoft.com/office/drawing/2010/main"/>
                        </a:ext>
                      </a:extLst>
                    </a:blip>
                    <a:stretch>
                      <a:fillRect/>
                    </a:stretch>
                  </pic:blipFill>
                  <pic:spPr>
                    <a:xfrm>
                      <a:off x="0" y="0"/>
                      <a:ext cx="2995370" cy="2034409"/>
                    </a:xfrm>
                    <a:prstGeom prst="rect">
                      <a:avLst/>
                    </a:prstGeom>
                  </pic:spPr>
                </pic:pic>
              </a:graphicData>
            </a:graphic>
          </wp:inline>
        </w:drawing>
      </w:r>
      <w:r w:rsidRPr="001056B8">
        <w:rPr>
          <w:rFonts w:cs="Arial"/>
          <w:b/>
          <w:noProof/>
          <w:color w:val="7030A0"/>
          <w:sz w:val="68"/>
          <w:szCs w:val="68"/>
        </w:rPr>
        <w:drawing>
          <wp:inline distT="0" distB="0" distL="0" distR="0" wp14:anchorId="181C2D30" wp14:editId="0CB18C3B">
            <wp:extent cx="3662146" cy="3035300"/>
            <wp:effectExtent l="0" t="0" r="0" b="0"/>
            <wp:docPr id="1325441424" name="Pictur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15"/>
                    <a:stretch>
                      <a:fillRect/>
                    </a:stretch>
                  </pic:blipFill>
                  <pic:spPr>
                    <a:xfrm>
                      <a:off x="0" y="0"/>
                      <a:ext cx="3681359" cy="3051224"/>
                    </a:xfrm>
                    <a:prstGeom prst="rect">
                      <a:avLst/>
                    </a:prstGeom>
                    <a:effectLst>
                      <a:softEdge rad="127000"/>
                    </a:effectLst>
                  </pic:spPr>
                </pic:pic>
              </a:graphicData>
            </a:graphic>
          </wp:inline>
        </w:drawing>
      </w:r>
    </w:p>
    <w:p w14:paraId="0C50DCB0" w14:textId="6356FDB7" w:rsidR="00C260DF" w:rsidRPr="00C260DF" w:rsidRDefault="00C260DF" w:rsidP="00C260DF">
      <w:pPr>
        <w:sectPr w:rsidR="00C260DF" w:rsidRPr="00C260DF" w:rsidSect="00740AED">
          <w:footerReference w:type="even" r:id="rId16"/>
          <w:footerReference w:type="default" r:id="rId17"/>
          <w:footerReference w:type="first" r:id="rId18"/>
          <w:pgSz w:w="11905" w:h="16837" w:code="9"/>
          <w:pgMar w:top="720" w:right="720" w:bottom="720" w:left="0" w:header="720" w:footer="567" w:gutter="0"/>
          <w:cols w:space="720"/>
          <w:noEndnote/>
        </w:sectPr>
      </w:pPr>
    </w:p>
    <w:p w14:paraId="4649ED8D" w14:textId="77777777" w:rsidR="00332EE6" w:rsidRDefault="00332EE6" w:rsidP="00AF3BE4">
      <w:pPr>
        <w:pStyle w:val="Heading1"/>
        <w:jc w:val="left"/>
      </w:pPr>
      <w:r w:rsidRPr="0069414D">
        <w:lastRenderedPageBreak/>
        <w:t>Intro</w:t>
      </w:r>
      <w:r w:rsidR="00687BD5">
        <w:t>ducti</w:t>
      </w:r>
      <w:r w:rsidR="00AF3BE4">
        <w:t>on</w:t>
      </w:r>
    </w:p>
    <w:p w14:paraId="29A06EC7" w14:textId="77777777" w:rsidR="00AF3BE4" w:rsidRDefault="00AF3BE4" w:rsidP="00AF3BE4"/>
    <w:p w14:paraId="57D752E8" w14:textId="7ABDE3B6" w:rsidR="00AF3BE4" w:rsidRPr="00AF3BE4" w:rsidRDefault="00AF3BE4" w:rsidP="00954E72">
      <w:pPr>
        <w:spacing w:line="240" w:lineRule="auto"/>
      </w:pPr>
      <w:r w:rsidRPr="00AF3BE4">
        <w:t>On behalf of Cheshire’s Strategic Management Board, I am pleased to present the 202</w:t>
      </w:r>
      <w:r w:rsidR="006A1519" w:rsidRPr="00954E72">
        <w:t xml:space="preserve">4 </w:t>
      </w:r>
      <w:r w:rsidRPr="00AF3BE4">
        <w:t>–202</w:t>
      </w:r>
      <w:r w:rsidR="006A1519" w:rsidRPr="00954E72">
        <w:t>5</w:t>
      </w:r>
      <w:r w:rsidRPr="00AF3BE4">
        <w:t xml:space="preserve"> MAPPA Annual Report, which offers a detailed overview of the Multi-Agency Public Protection Arrangements (MAPPA) across Cheshire.</w:t>
      </w:r>
    </w:p>
    <w:p w14:paraId="7A94669E" w14:textId="77777777" w:rsidR="00AF3BE4" w:rsidRDefault="00AF3BE4" w:rsidP="00954E72">
      <w:pPr>
        <w:spacing w:line="240" w:lineRule="auto"/>
      </w:pPr>
      <w:r w:rsidRPr="00AF3BE4">
        <w:t>MAPPA is a statutory framework established under the Criminal Justice and Court Services Act 2000 and further strengthened by the Criminal Justice Act 2003. Through these arrangements, the Police, Probation, and Prison Services work in close collaboration with key partners in Health and Local Authority services to identify, assess, and manage individuals convicted of violent, sexual, or terrorist offences, or those who pose a terrorist risk. Managing such offenders is a complex and demanding responsibility, which is why the coordinated efforts and shared expertise of MAPPA agencies are vital.</w:t>
      </w:r>
    </w:p>
    <w:p w14:paraId="6EB4374D" w14:textId="290CCB99" w:rsidR="00824671" w:rsidRPr="00817A2D" w:rsidRDefault="00824671" w:rsidP="00954E72">
      <w:pPr>
        <w:spacing w:after="160" w:line="240" w:lineRule="auto"/>
      </w:pPr>
      <w:r w:rsidRPr="00817A2D">
        <w:t>The Strategic Management Board (SMB) plays a vital role in overseeing the delivery of MAPPA</w:t>
      </w:r>
      <w:r w:rsidR="00954E72">
        <w:t xml:space="preserve"> </w:t>
      </w:r>
      <w:r w:rsidRPr="00817A2D">
        <w:t>across Cheshire. Meeting three to four times a year, the Board brings together senior leaders from key agencies who are committed to improving public protection through strong partnership working.</w:t>
      </w:r>
      <w:r w:rsidR="00954E72">
        <w:t xml:space="preserve"> </w:t>
      </w:r>
      <w:r w:rsidRPr="00817A2D">
        <w:t>These leaders—drawn from the Police, Probation, Prison Service, Health, and Local Authorities—bring a wealth of experience and strategic insight. Their collaboration ensures that MAPPA continues to evolve, adopting best practices and responding effectively to the challenges of managing individuals who pose a serious risk to our communities.</w:t>
      </w:r>
    </w:p>
    <w:p w14:paraId="407988D4" w14:textId="595D3E5B" w:rsidR="00824671" w:rsidRDefault="00824671" w:rsidP="00954E72">
      <w:pPr>
        <w:spacing w:after="160" w:line="240" w:lineRule="auto"/>
      </w:pPr>
      <w:r w:rsidRPr="00817A2D">
        <w:t>We’re also pleased to announce the appointment of a new Lay Member, Mr St</w:t>
      </w:r>
      <w:r w:rsidR="00E74A0C">
        <w:t>ewart Kelly</w:t>
      </w:r>
      <w:r w:rsidRPr="00817A2D">
        <w:t>, who joins the Board to offer an independent and community-focused perspective. Lay Members play an important role in ensuring transparency and accountability within MAPPA. Mr</w:t>
      </w:r>
      <w:r w:rsidR="00E74A0C">
        <w:t xml:space="preserve"> Kelly</w:t>
      </w:r>
      <w:r w:rsidRPr="00817A2D">
        <w:t>’s contribution will help strengthen our approach and ensure that public voices are reflected in our decision-making</w:t>
      </w:r>
      <w:r w:rsidR="00954E72">
        <w:t>. I would like to extend</w:t>
      </w:r>
      <w:r w:rsidRPr="00817A2D">
        <w:t xml:space="preserve"> a warm welcome to Mr </w:t>
      </w:r>
      <w:r w:rsidR="00E74A0C">
        <w:t>Kelly</w:t>
      </w:r>
      <w:r w:rsidRPr="00817A2D">
        <w:t xml:space="preserve"> and thank him for his commitment to this important work. His involvement will be invaluable as we continue to develop and improve how we protect the public and support safer communities across Cheshire.</w:t>
      </w:r>
    </w:p>
    <w:p w14:paraId="3B916D1B" w14:textId="22266FB1" w:rsidR="00A26530" w:rsidRDefault="00E840A7" w:rsidP="00954E72">
      <w:pPr>
        <w:spacing w:after="160" w:line="240" w:lineRule="auto"/>
      </w:pPr>
      <w:r>
        <w:t xml:space="preserve">As expected </w:t>
      </w:r>
      <w:r w:rsidR="00A26530">
        <w:t>2024/25 continued to be a busy year with a continuing increase in MAPPA cases</w:t>
      </w:r>
      <w:r>
        <w:t>. This has been</w:t>
      </w:r>
      <w:r w:rsidR="00A26530">
        <w:t xml:space="preserve"> set against the challenges of Probation Reset, SDS40 and more recently FTR48. </w:t>
      </w:r>
      <w:r>
        <w:t xml:space="preserve">MAPPA also celebrates 25 years and there have been a number of informative and interesting events presented by the National MAPPA Team to mark this milestone in MAPPA arrangements. </w:t>
      </w:r>
      <w:r w:rsidRPr="00E840A7">
        <w:t>T</w:t>
      </w:r>
      <w:r>
        <w:t xml:space="preserve">his concludes with </w:t>
      </w:r>
      <w:r w:rsidRPr="00E840A7">
        <w:t xml:space="preserve">a </w:t>
      </w:r>
      <w:r w:rsidR="007362FD">
        <w:t>N</w:t>
      </w:r>
      <w:r w:rsidRPr="00E840A7">
        <w:t xml:space="preserve">ational </w:t>
      </w:r>
      <w:r w:rsidR="007362FD">
        <w:t>C</w:t>
      </w:r>
      <w:r w:rsidRPr="00E840A7">
        <w:t>onference</w:t>
      </w:r>
      <w:r>
        <w:t xml:space="preserve"> that will be held in Birmingham in December which I am sure will be a fantastic event, which will highlight the success of MAPPA and it’s development over the past 25 years and how MAPPA will continue to evolve in the future. </w:t>
      </w:r>
    </w:p>
    <w:p w14:paraId="2A31C186" w14:textId="1538E735" w:rsidR="00AF3BE4" w:rsidRPr="00AF3BE4" w:rsidRDefault="00AF3BE4" w:rsidP="00954E72">
      <w:pPr>
        <w:spacing w:line="240" w:lineRule="auto"/>
      </w:pPr>
      <w:r w:rsidRPr="00AF3BE4">
        <w:t>The data and updates within this report reflect the dedication, professionalism, and vigilance of our partner organisations. Their continued efforts ensure that those who present the greatest risk of serious harm are managed robustly and effectively to safeguard our communities.</w:t>
      </w:r>
    </w:p>
    <w:p w14:paraId="6384A8D5" w14:textId="1014A08D" w:rsidR="00A26530" w:rsidRPr="00AF3BE4" w:rsidRDefault="00AF3BE4" w:rsidP="00A26530">
      <w:pPr>
        <w:spacing w:line="240" w:lineRule="auto"/>
      </w:pPr>
      <w:r w:rsidRPr="00AF3BE4">
        <w:t>As a partnership, our strength lies in working together—sharing information, developing joint risk management strategies, and implementing safety plans that protect the people of Cheshire. Looking ahead, we remain committed to enhancing our collaborative practices and refining our approach to MAPPA, ensuring we continue to protect the public and reduce the risk of future harm.</w:t>
      </w:r>
    </w:p>
    <w:p w14:paraId="0B3FA0A4" w14:textId="331B033C" w:rsidR="006A1519" w:rsidRPr="00A26530" w:rsidRDefault="006A1519" w:rsidP="00A26530">
      <w:pPr>
        <w:spacing w:line="240" w:lineRule="auto"/>
        <w:rPr>
          <w:b/>
          <w:bCs/>
        </w:rPr>
        <w:sectPr w:rsidR="006A1519" w:rsidRPr="00A26530" w:rsidSect="00867C9E">
          <w:footerReference w:type="first" r:id="rId19"/>
          <w:pgSz w:w="11905" w:h="16837" w:code="9"/>
          <w:pgMar w:top="720" w:right="720" w:bottom="720" w:left="720" w:header="720" w:footer="567" w:gutter="0"/>
          <w:pgNumType w:start="1"/>
          <w:cols w:space="720"/>
          <w:noEndnote/>
          <w:titlePg/>
        </w:sectPr>
      </w:pPr>
      <w:r w:rsidRPr="00954E72">
        <w:rPr>
          <w:b/>
          <w:bCs/>
        </w:rPr>
        <w:t>Danielle Whitwell</w:t>
      </w:r>
      <w:r w:rsidR="00E840A7">
        <w:rPr>
          <w:b/>
          <w:bCs/>
        </w:rPr>
        <w:t xml:space="preserve"> - </w:t>
      </w:r>
      <w:r w:rsidRPr="006A1519">
        <w:rPr>
          <w:b/>
          <w:bCs/>
        </w:rPr>
        <w:t>Probation Delivery Unit Head</w:t>
      </w:r>
      <w:r w:rsidR="00A26530">
        <w:rPr>
          <w:b/>
          <w:bCs/>
        </w:rPr>
        <w:t xml:space="preserve"> and </w:t>
      </w:r>
      <w:r>
        <w:rPr>
          <w:b/>
          <w:bCs/>
        </w:rPr>
        <w:t>Cheshire</w:t>
      </w:r>
      <w:r w:rsidRPr="006A1519">
        <w:rPr>
          <w:b/>
          <w:bCs/>
        </w:rPr>
        <w:t xml:space="preserve"> MAPPA Strategic Management Board Chair</w:t>
      </w:r>
    </w:p>
    <w:p w14:paraId="62B4C59B" w14:textId="01A55FFD" w:rsidR="00332EE6" w:rsidRPr="00A26530" w:rsidRDefault="00332EE6" w:rsidP="00A26530">
      <w:pPr>
        <w:pStyle w:val="MAPPA-Bodytext"/>
        <w:rPr>
          <w:lang w:val="en-GB"/>
        </w:rPr>
        <w:sectPr w:rsidR="00332EE6" w:rsidRPr="00A26530" w:rsidSect="00867C9E">
          <w:type w:val="continuous"/>
          <w:pgSz w:w="11905" w:h="16837" w:code="9"/>
          <w:pgMar w:top="720" w:right="720" w:bottom="720" w:left="720" w:header="720" w:footer="567" w:gutter="0"/>
          <w:cols w:num="2" w:space="720"/>
          <w:noEndnote/>
          <w:rtlGutter/>
        </w:sectPr>
      </w:pPr>
    </w:p>
    <w:p w14:paraId="433255E2" w14:textId="66EC99F5" w:rsidR="00332EE6" w:rsidRPr="0069414D" w:rsidRDefault="00332EE6" w:rsidP="008D1CDE">
      <w:pPr>
        <w:pStyle w:val="Heading1"/>
        <w:jc w:val="left"/>
      </w:pPr>
      <w:r w:rsidRPr="0069414D">
        <w:br w:type="page"/>
      </w:r>
      <w:r w:rsidRPr="0069414D">
        <w:lastRenderedPageBreak/>
        <w:t xml:space="preserve">What </w:t>
      </w:r>
      <w:r w:rsidR="00A26530">
        <w:t>is</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0A0A14" w14:paraId="24F5454D" w14:textId="77777777" w:rsidTr="002167F5">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0A0A14" w:rsidRPr="00523CF4" w:rsidRDefault="000A0A14" w:rsidP="000A0A14">
            <w:pPr>
              <w:pStyle w:val="MAPPA-Tabletext"/>
              <w:rPr>
                <w:b w:val="0"/>
                <w:bCs w:val="0"/>
                <w:sz w:val="24"/>
                <w:szCs w:val="24"/>
                <w:lang w:val="en-GB"/>
              </w:rPr>
            </w:pPr>
            <w:r w:rsidRPr="00523CF4">
              <w:rPr>
                <w:b w:val="0"/>
                <w:bCs w:val="0"/>
                <w:sz w:val="24"/>
                <w:szCs w:val="24"/>
                <w:lang w:val="en-GB"/>
              </w:rPr>
              <w:t>Level 1</w:t>
            </w:r>
          </w:p>
        </w:tc>
        <w:tc>
          <w:tcPr>
            <w:tcW w:w="2185" w:type="dxa"/>
            <w:shd w:val="clear" w:color="auto" w:fill="auto"/>
          </w:tcPr>
          <w:p w14:paraId="58BE43B8" w14:textId="64F76047"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1613</w:t>
            </w:r>
          </w:p>
        </w:tc>
        <w:tc>
          <w:tcPr>
            <w:tcW w:w="2186" w:type="dxa"/>
            <w:shd w:val="clear" w:color="auto" w:fill="auto"/>
          </w:tcPr>
          <w:p w14:paraId="1638E0FC" w14:textId="0135783C"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361</w:t>
            </w:r>
          </w:p>
        </w:tc>
        <w:tc>
          <w:tcPr>
            <w:tcW w:w="2186" w:type="dxa"/>
            <w:shd w:val="clear" w:color="auto" w:fill="auto"/>
          </w:tcPr>
          <w:p w14:paraId="1F1BCFAF" w14:textId="7B52539C"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shd w:val="clear" w:color="auto" w:fill="auto"/>
          </w:tcPr>
          <w:p w14:paraId="08FB1F87" w14:textId="205E8242"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1974</w:t>
            </w:r>
          </w:p>
        </w:tc>
      </w:tr>
      <w:tr w:rsidR="000A0A14" w14:paraId="26CC6737" w14:textId="77777777" w:rsidTr="002167F5">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0A0A14" w:rsidRPr="00523CF4" w:rsidRDefault="000A0A14" w:rsidP="000A0A14">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3BFD270" w14:textId="64B7E349"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shd w:val="clear" w:color="auto" w:fill="auto"/>
          </w:tcPr>
          <w:p w14:paraId="10F8D0CE" w14:textId="7D974208"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shd w:val="clear" w:color="auto" w:fill="auto"/>
          </w:tcPr>
          <w:p w14:paraId="346F3891" w14:textId="2ECD16EE"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shd w:val="clear" w:color="auto" w:fill="auto"/>
          </w:tcPr>
          <w:p w14:paraId="29D9E254" w14:textId="0CF58334"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w:t>
            </w:r>
          </w:p>
        </w:tc>
      </w:tr>
      <w:tr w:rsidR="000A0A14" w14:paraId="0E7972C5" w14:textId="77777777" w:rsidTr="002167F5">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0A0A14" w:rsidRPr="00523CF4" w:rsidRDefault="000A0A14" w:rsidP="000A0A14">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48775E9A" w14:textId="41B71418"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26751848" w14:textId="278AAB05"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75314FEE" w14:textId="0DCFB18A"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shd w:val="clear" w:color="auto" w:fill="auto"/>
          </w:tcPr>
          <w:p w14:paraId="7FD44C20" w14:textId="73DAC2FC"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r>
      <w:tr w:rsidR="000A0A14" w14:paraId="156A4569" w14:textId="77777777" w:rsidTr="002167F5">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0A0A14" w:rsidRPr="00523CF4" w:rsidRDefault="000A0A14" w:rsidP="000A0A14">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425DA3C" w14:textId="2A77452B"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1620</w:t>
            </w:r>
          </w:p>
        </w:tc>
        <w:tc>
          <w:tcPr>
            <w:tcW w:w="2186" w:type="dxa"/>
            <w:shd w:val="clear" w:color="auto" w:fill="auto"/>
          </w:tcPr>
          <w:p w14:paraId="4B320A3C" w14:textId="3CA553C5"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366</w:t>
            </w:r>
          </w:p>
        </w:tc>
        <w:tc>
          <w:tcPr>
            <w:tcW w:w="2186" w:type="dxa"/>
            <w:shd w:val="clear" w:color="auto" w:fill="auto"/>
          </w:tcPr>
          <w:p w14:paraId="59BF82DA" w14:textId="2D8B7B8B"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shd w:val="clear" w:color="auto" w:fill="auto"/>
          </w:tcPr>
          <w:p w14:paraId="230BC3FB" w14:textId="5B0F4834" w:rsidR="000A0A14" w:rsidRPr="00523CF4" w:rsidRDefault="000A0A14" w:rsidP="000A0A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1995</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096E57" w14:paraId="291342B9" w14:textId="77777777" w:rsidTr="00393B09">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096E57" w:rsidRPr="00523CF4" w:rsidRDefault="00096E57" w:rsidP="00096E57">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1F693B88" w14:textId="7FF7A4A4"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20</w:t>
            </w:r>
          </w:p>
        </w:tc>
        <w:tc>
          <w:tcPr>
            <w:tcW w:w="2186" w:type="dxa"/>
            <w:shd w:val="clear" w:color="auto" w:fill="auto"/>
          </w:tcPr>
          <w:p w14:paraId="231D96FE" w14:textId="5A74277B"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w:t>
            </w:r>
          </w:p>
        </w:tc>
        <w:tc>
          <w:tcPr>
            <w:tcW w:w="2186" w:type="dxa"/>
            <w:shd w:val="clear" w:color="auto" w:fill="auto"/>
          </w:tcPr>
          <w:p w14:paraId="413645CC" w14:textId="351B75EC"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w:t>
            </w:r>
          </w:p>
        </w:tc>
        <w:tc>
          <w:tcPr>
            <w:tcW w:w="2186" w:type="dxa"/>
            <w:shd w:val="clear" w:color="auto" w:fill="auto"/>
          </w:tcPr>
          <w:p w14:paraId="5A206D70" w14:textId="7987A936"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56</w:t>
            </w:r>
          </w:p>
        </w:tc>
      </w:tr>
      <w:tr w:rsidR="00096E57" w14:paraId="77FC9741" w14:textId="77777777" w:rsidTr="00393B09">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096E57" w:rsidRPr="00523CF4" w:rsidRDefault="00096E57" w:rsidP="00096E57">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3001AA60" w14:textId="64736B96"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shd w:val="clear" w:color="auto" w:fill="auto"/>
          </w:tcPr>
          <w:p w14:paraId="4AF1F0B4" w14:textId="3AF333C8"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shd w:val="clear" w:color="auto" w:fill="auto"/>
          </w:tcPr>
          <w:p w14:paraId="3EABFC56" w14:textId="1F1654C7"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shd w:val="clear" w:color="auto" w:fill="auto"/>
          </w:tcPr>
          <w:p w14:paraId="66FC4C00" w14:textId="36BF16F5"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w:t>
            </w:r>
          </w:p>
        </w:tc>
      </w:tr>
      <w:tr w:rsidR="00096E57" w14:paraId="7E12FF20" w14:textId="77777777" w:rsidTr="00393B09">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096E57" w:rsidRPr="00523CF4" w:rsidRDefault="00096E57" w:rsidP="00096E57">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2B2248EB" w14:textId="5BE0857A"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22</w:t>
            </w:r>
          </w:p>
        </w:tc>
        <w:tc>
          <w:tcPr>
            <w:tcW w:w="2186" w:type="dxa"/>
            <w:shd w:val="clear" w:color="auto" w:fill="auto"/>
          </w:tcPr>
          <w:p w14:paraId="5D543B3B" w14:textId="4F6D764E"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20</w:t>
            </w:r>
          </w:p>
        </w:tc>
        <w:tc>
          <w:tcPr>
            <w:tcW w:w="2186" w:type="dxa"/>
            <w:shd w:val="clear" w:color="auto" w:fill="auto"/>
          </w:tcPr>
          <w:p w14:paraId="03713ACD" w14:textId="35607823"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25</w:t>
            </w:r>
          </w:p>
        </w:tc>
        <w:tc>
          <w:tcPr>
            <w:tcW w:w="2186" w:type="dxa"/>
            <w:shd w:val="clear" w:color="auto" w:fill="auto"/>
          </w:tcPr>
          <w:p w14:paraId="29E98152" w14:textId="50ED9C79" w:rsidR="00096E57" w:rsidRPr="00523CF4" w:rsidRDefault="00096E57" w:rsidP="00096E5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67</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377B09FE" w:rsidR="00332EE6" w:rsidRPr="00523CF4" w:rsidRDefault="008319D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063B181D" w:rsidR="00052623" w:rsidRPr="00523CF4" w:rsidRDefault="008319D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2418C4E9" w:rsidR="00332EE6" w:rsidRPr="00523CF4" w:rsidRDefault="008319D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4C971D7" w:rsidR="00A231D9" w:rsidRPr="00523CF4" w:rsidRDefault="0038125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186</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B11F056" w:rsidR="00A231D9" w:rsidRPr="00523CF4" w:rsidRDefault="0038125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A3E085B" w:rsidR="00A231D9" w:rsidRPr="00523CF4" w:rsidRDefault="0038125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3AD3F407" w:rsidR="00332EE6" w:rsidRPr="00523CF4" w:rsidRDefault="005A3E2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5A3E27" w14:paraId="6ACB0BBF" w14:textId="77777777" w:rsidTr="00DF6CB4">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5A3E27" w:rsidRPr="00523CF4" w:rsidRDefault="005A3E27" w:rsidP="005A3E27">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0259A0ED" w:rsidR="005A3E27" w:rsidRPr="00523CF4" w:rsidRDefault="005A3E27" w:rsidP="005A3E2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shd w:val="clear" w:color="auto" w:fill="auto"/>
          </w:tcPr>
          <w:p w14:paraId="34F9E68F" w14:textId="437F5660" w:rsidR="005A3E27" w:rsidRPr="00523CF4" w:rsidRDefault="005A3E27" w:rsidP="005A3E2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shd w:val="clear" w:color="auto" w:fill="auto"/>
          </w:tcPr>
          <w:p w14:paraId="720ECB5F" w14:textId="07217626" w:rsidR="005A3E27" w:rsidRPr="00523CF4" w:rsidRDefault="005A3E27" w:rsidP="005A3E2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29BE4F0C" w:rsidR="005A3E27" w:rsidRPr="00523CF4" w:rsidRDefault="005A3E27" w:rsidP="005A3E27">
            <w:pPr>
              <w:pStyle w:val="MAPPA-Tabletext"/>
              <w:jc w:val="right"/>
              <w:rPr>
                <w:b w:val="0"/>
                <w:bCs w:val="0"/>
                <w:sz w:val="24"/>
                <w:szCs w:val="24"/>
                <w:lang w:val="en-GB"/>
              </w:rPr>
            </w:pPr>
            <w:r>
              <w:rPr>
                <w:noProof/>
              </w:rPr>
              <w:t>25</w:t>
            </w:r>
          </w:p>
        </w:tc>
      </w:tr>
      <w:tr w:rsidR="005A3E27" w14:paraId="44E15175" w14:textId="77777777" w:rsidTr="00DF6CB4">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5A3E27" w:rsidRPr="00523CF4" w:rsidRDefault="005A3E27" w:rsidP="005A3E27">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19A6985D" w14:textId="04EB3E87" w:rsidR="005A3E27" w:rsidRPr="00523CF4" w:rsidRDefault="005A3E27" w:rsidP="005A3E2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272FF4F7" w14:textId="4FCA793D" w:rsidR="005A3E27" w:rsidRPr="00523CF4" w:rsidRDefault="005A3E27" w:rsidP="005A3E2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75D55EA6" w14:textId="2599FBD8" w:rsidR="005A3E27" w:rsidRPr="00523CF4" w:rsidRDefault="005A3E27" w:rsidP="005A3E2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1F5F496A" w:rsidR="005A3E27" w:rsidRPr="00523CF4" w:rsidRDefault="005A3E27" w:rsidP="005A3E27">
            <w:pPr>
              <w:pStyle w:val="MAPPA-Tabletext"/>
              <w:jc w:val="right"/>
              <w:rPr>
                <w:b w:val="0"/>
                <w:bCs w:val="0"/>
                <w:sz w:val="24"/>
                <w:szCs w:val="24"/>
                <w:lang w:val="en-GB"/>
              </w:rPr>
            </w:pPr>
            <w:r>
              <w:rPr>
                <w:noProof/>
              </w:rPr>
              <w:t>2</w:t>
            </w:r>
          </w:p>
        </w:tc>
      </w:tr>
      <w:tr w:rsidR="005A3E27" w14:paraId="0F4C2376" w14:textId="77777777" w:rsidTr="00DF6CB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5A3E27" w:rsidRPr="00523CF4" w:rsidRDefault="005A3E27" w:rsidP="005A3E27">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259026F9" w:rsidR="005A3E27" w:rsidRPr="00523CF4" w:rsidRDefault="005A3E27" w:rsidP="005A3E27">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9</w:t>
            </w:r>
            <w:r>
              <w:fldChar w:fldCharType="end"/>
            </w:r>
          </w:p>
        </w:tc>
        <w:tc>
          <w:tcPr>
            <w:tcW w:w="2186" w:type="dxa"/>
            <w:shd w:val="clear" w:color="auto" w:fill="auto"/>
          </w:tcPr>
          <w:p w14:paraId="184256C5" w14:textId="2633F287" w:rsidR="005A3E27" w:rsidRPr="00523CF4" w:rsidRDefault="005A3E27" w:rsidP="005A3E27">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8</w:t>
            </w:r>
            <w:r>
              <w:fldChar w:fldCharType="end"/>
            </w:r>
          </w:p>
        </w:tc>
        <w:tc>
          <w:tcPr>
            <w:tcW w:w="2186" w:type="dxa"/>
            <w:shd w:val="clear" w:color="auto" w:fill="auto"/>
          </w:tcPr>
          <w:p w14:paraId="44078787" w14:textId="31EBF73E" w:rsidR="005A3E27" w:rsidRPr="00523CF4" w:rsidRDefault="005A3E27" w:rsidP="005A3E27">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10</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4478C2F7" w:rsidR="005A3E27" w:rsidRPr="00523CF4" w:rsidRDefault="005A3E27" w:rsidP="005A3E27">
            <w:pPr>
              <w:pStyle w:val="MAPPA-Tabletext"/>
              <w:jc w:val="right"/>
              <w:rPr>
                <w:b w:val="0"/>
                <w:bCs w:val="0"/>
                <w:sz w:val="24"/>
                <w:szCs w:val="24"/>
                <w:lang w:val="en-GB"/>
              </w:rPr>
            </w:pPr>
            <w:r>
              <w:rPr>
                <w:noProof/>
              </w:rPr>
              <w:t>27</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2D391BE2" w:rsidR="00FA3513" w:rsidRPr="00523CF4" w:rsidRDefault="00666CE7"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2EF7DF4" w:rsidR="00FA3513" w:rsidRPr="00523CF4" w:rsidRDefault="00666CE7"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8BFACBE" w:rsidR="00FA3513" w:rsidRPr="00523CF4" w:rsidRDefault="00666CE7"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2227928A" w:rsidR="00332EE6" w:rsidRPr="004265C9" w:rsidRDefault="001870E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159</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6AB78E88" w14:textId="77777777" w:rsidR="003922EB" w:rsidRDefault="003922EB" w:rsidP="003922EB">
      <w:pPr>
        <w:pStyle w:val="MAPPA-Bodytext"/>
        <w:rPr>
          <w:b/>
          <w:bCs/>
        </w:rPr>
      </w:pPr>
    </w:p>
    <w:p w14:paraId="2B1145E6" w14:textId="190B89F0" w:rsidR="003922EB" w:rsidRPr="003922EB" w:rsidRDefault="003922EB" w:rsidP="003922EB">
      <w:pPr>
        <w:pStyle w:val="MAPPA-Bodytext"/>
        <w:rPr>
          <w:b/>
          <w:bCs/>
          <w:sz w:val="24"/>
          <w:szCs w:val="24"/>
        </w:rPr>
      </w:pPr>
      <w:r w:rsidRPr="003922EB">
        <w:rPr>
          <w:b/>
          <w:bCs/>
          <w:sz w:val="24"/>
          <w:szCs w:val="24"/>
        </w:rPr>
        <w:t>Working Together to Keep Cheshire Safe: MAPPA Partnerships in Action</w:t>
      </w:r>
    </w:p>
    <w:p w14:paraId="50B342D9" w14:textId="77777777" w:rsidR="003922EB" w:rsidRPr="003922EB" w:rsidRDefault="003922EB" w:rsidP="003922EB">
      <w:pPr>
        <w:pStyle w:val="MAPPA-Bodytext"/>
        <w:rPr>
          <w:sz w:val="24"/>
          <w:szCs w:val="24"/>
        </w:rPr>
      </w:pPr>
      <w:r w:rsidRPr="003922EB">
        <w:rPr>
          <w:sz w:val="24"/>
          <w:szCs w:val="24"/>
        </w:rPr>
        <w:t>In Cheshire, protecting the public from individuals who pose a serious risk—such as those convicted of sexual, violent, or terrorist offences—is a shared responsibility. This work is coordinated through MAPPA (Multi-Agency Public Protection Arrangements), a statutory framework that brings together a wide range of agencies.</w:t>
      </w:r>
    </w:p>
    <w:p w14:paraId="081864D0" w14:textId="4A70FB3E" w:rsidR="003922EB" w:rsidRPr="003922EB" w:rsidRDefault="003922EB" w:rsidP="003922EB">
      <w:pPr>
        <w:pStyle w:val="MAPPA-Bodytext"/>
        <w:rPr>
          <w:b/>
          <w:bCs/>
          <w:sz w:val="24"/>
          <w:szCs w:val="24"/>
        </w:rPr>
      </w:pPr>
      <w:r w:rsidRPr="003922EB">
        <w:rPr>
          <w:b/>
          <w:bCs/>
          <w:sz w:val="24"/>
          <w:szCs w:val="24"/>
        </w:rPr>
        <w:t xml:space="preserve">Who’s </w:t>
      </w:r>
      <w:r w:rsidR="00E20F9E">
        <w:rPr>
          <w:b/>
          <w:bCs/>
          <w:sz w:val="24"/>
          <w:szCs w:val="24"/>
        </w:rPr>
        <w:t>i</w:t>
      </w:r>
      <w:r w:rsidRPr="003922EB">
        <w:rPr>
          <w:b/>
          <w:bCs/>
          <w:sz w:val="24"/>
          <w:szCs w:val="24"/>
        </w:rPr>
        <w:t>nvolved</w:t>
      </w:r>
      <w:r>
        <w:rPr>
          <w:b/>
          <w:bCs/>
          <w:sz w:val="24"/>
          <w:szCs w:val="24"/>
        </w:rPr>
        <w:t xml:space="preserve"> with the Cheshire area</w:t>
      </w:r>
      <w:r w:rsidRPr="003922EB">
        <w:rPr>
          <w:b/>
          <w:bCs/>
          <w:sz w:val="24"/>
          <w:szCs w:val="24"/>
        </w:rPr>
        <w:t>?</w:t>
      </w:r>
    </w:p>
    <w:p w14:paraId="2AE03B35" w14:textId="77777777" w:rsidR="003922EB" w:rsidRPr="003922EB" w:rsidRDefault="003922EB" w:rsidP="003922EB">
      <w:pPr>
        <w:pStyle w:val="MAPPA-Bodytext"/>
        <w:rPr>
          <w:sz w:val="24"/>
          <w:szCs w:val="24"/>
        </w:rPr>
      </w:pPr>
      <w:r w:rsidRPr="003922EB">
        <w:rPr>
          <w:sz w:val="24"/>
          <w:szCs w:val="24"/>
        </w:rPr>
        <w:t xml:space="preserve">The </w:t>
      </w:r>
      <w:r w:rsidRPr="003922EB">
        <w:rPr>
          <w:b/>
          <w:bCs/>
          <w:sz w:val="24"/>
          <w:szCs w:val="24"/>
        </w:rPr>
        <w:t>Responsible Authorities</w:t>
      </w:r>
      <w:r w:rsidRPr="003922EB">
        <w:rPr>
          <w:sz w:val="24"/>
          <w:szCs w:val="24"/>
        </w:rPr>
        <w:t xml:space="preserve"> for MAPPA in Cheshire are:</w:t>
      </w:r>
    </w:p>
    <w:p w14:paraId="774C2A35" w14:textId="77777777" w:rsidR="003922EB" w:rsidRPr="003922EB" w:rsidRDefault="003922EB" w:rsidP="003922EB">
      <w:pPr>
        <w:pStyle w:val="MAPPA-Bodytext"/>
        <w:numPr>
          <w:ilvl w:val="0"/>
          <w:numId w:val="5"/>
        </w:numPr>
        <w:rPr>
          <w:sz w:val="24"/>
          <w:szCs w:val="24"/>
        </w:rPr>
      </w:pPr>
      <w:r w:rsidRPr="003922EB">
        <w:rPr>
          <w:sz w:val="24"/>
          <w:szCs w:val="24"/>
        </w:rPr>
        <w:t>The Probation Service</w:t>
      </w:r>
    </w:p>
    <w:p w14:paraId="3FFC17CF" w14:textId="77777777" w:rsidR="003922EB" w:rsidRPr="003922EB" w:rsidRDefault="003922EB" w:rsidP="003922EB">
      <w:pPr>
        <w:pStyle w:val="MAPPA-Bodytext"/>
        <w:numPr>
          <w:ilvl w:val="0"/>
          <w:numId w:val="5"/>
        </w:numPr>
        <w:rPr>
          <w:sz w:val="24"/>
          <w:szCs w:val="24"/>
        </w:rPr>
      </w:pPr>
      <w:r w:rsidRPr="003922EB">
        <w:rPr>
          <w:sz w:val="24"/>
          <w:szCs w:val="24"/>
        </w:rPr>
        <w:t>His Majesty’s Prison Service (North West)</w:t>
      </w:r>
    </w:p>
    <w:p w14:paraId="452A310C" w14:textId="77777777" w:rsidR="003922EB" w:rsidRPr="003922EB" w:rsidRDefault="003922EB" w:rsidP="003922EB">
      <w:pPr>
        <w:pStyle w:val="MAPPA-Bodytext"/>
        <w:numPr>
          <w:ilvl w:val="0"/>
          <w:numId w:val="5"/>
        </w:numPr>
        <w:rPr>
          <w:sz w:val="24"/>
          <w:szCs w:val="24"/>
        </w:rPr>
      </w:pPr>
      <w:r w:rsidRPr="003922EB">
        <w:rPr>
          <w:sz w:val="24"/>
          <w:szCs w:val="24"/>
        </w:rPr>
        <w:t>Cheshire Constabulary</w:t>
      </w:r>
    </w:p>
    <w:p w14:paraId="7EA872D2" w14:textId="77777777" w:rsidR="003922EB" w:rsidRPr="003922EB" w:rsidRDefault="003922EB" w:rsidP="003922EB">
      <w:pPr>
        <w:pStyle w:val="MAPPA-Bodytext"/>
        <w:rPr>
          <w:sz w:val="24"/>
          <w:szCs w:val="24"/>
        </w:rPr>
      </w:pPr>
      <w:r w:rsidRPr="003922EB">
        <w:rPr>
          <w:sz w:val="24"/>
          <w:szCs w:val="24"/>
        </w:rPr>
        <w:t xml:space="preserve">Alongside these, a number of </w:t>
      </w:r>
      <w:r w:rsidRPr="003922EB">
        <w:rPr>
          <w:b/>
          <w:bCs/>
          <w:sz w:val="24"/>
          <w:szCs w:val="24"/>
        </w:rPr>
        <w:t>Duty to Co-operate agencies</w:t>
      </w:r>
      <w:r w:rsidRPr="003922EB">
        <w:rPr>
          <w:sz w:val="24"/>
          <w:szCs w:val="24"/>
        </w:rPr>
        <w:t xml:space="preserve"> play a vital role in supporting MAPPA’s work. These include:</w:t>
      </w:r>
    </w:p>
    <w:p w14:paraId="1F49DDD9" w14:textId="77777777" w:rsidR="003922EB" w:rsidRPr="003922EB" w:rsidRDefault="003922EB" w:rsidP="003922EB">
      <w:pPr>
        <w:pStyle w:val="MAPPA-Bodytext"/>
        <w:numPr>
          <w:ilvl w:val="0"/>
          <w:numId w:val="6"/>
        </w:numPr>
        <w:rPr>
          <w:sz w:val="24"/>
          <w:szCs w:val="24"/>
        </w:rPr>
      </w:pPr>
      <w:r w:rsidRPr="003922EB">
        <w:rPr>
          <w:sz w:val="24"/>
          <w:szCs w:val="24"/>
        </w:rPr>
        <w:t>Community Mental Health Teams</w:t>
      </w:r>
    </w:p>
    <w:p w14:paraId="6FD09589" w14:textId="77777777" w:rsidR="003922EB" w:rsidRPr="003922EB" w:rsidRDefault="003922EB" w:rsidP="003922EB">
      <w:pPr>
        <w:pStyle w:val="MAPPA-Bodytext"/>
        <w:numPr>
          <w:ilvl w:val="0"/>
          <w:numId w:val="6"/>
        </w:numPr>
        <w:rPr>
          <w:sz w:val="24"/>
          <w:szCs w:val="24"/>
        </w:rPr>
      </w:pPr>
      <w:r w:rsidRPr="003922EB">
        <w:rPr>
          <w:sz w:val="24"/>
          <w:szCs w:val="24"/>
        </w:rPr>
        <w:t>Housing Associations</w:t>
      </w:r>
    </w:p>
    <w:p w14:paraId="3005A274" w14:textId="77777777" w:rsidR="003922EB" w:rsidRPr="003922EB" w:rsidRDefault="003922EB" w:rsidP="003922EB">
      <w:pPr>
        <w:pStyle w:val="MAPPA-Bodytext"/>
        <w:numPr>
          <w:ilvl w:val="0"/>
          <w:numId w:val="6"/>
        </w:numPr>
        <w:rPr>
          <w:sz w:val="24"/>
          <w:szCs w:val="24"/>
        </w:rPr>
      </w:pPr>
      <w:r w:rsidRPr="003922EB">
        <w:rPr>
          <w:sz w:val="24"/>
          <w:szCs w:val="24"/>
        </w:rPr>
        <w:t>Safeguarding Children and Adult Boards</w:t>
      </w:r>
    </w:p>
    <w:p w14:paraId="63361561" w14:textId="77777777" w:rsidR="003922EB" w:rsidRPr="003922EB" w:rsidRDefault="003922EB" w:rsidP="003922EB">
      <w:pPr>
        <w:pStyle w:val="MAPPA-Bodytext"/>
        <w:numPr>
          <w:ilvl w:val="0"/>
          <w:numId w:val="6"/>
        </w:numPr>
        <w:rPr>
          <w:sz w:val="24"/>
          <w:szCs w:val="24"/>
        </w:rPr>
      </w:pPr>
      <w:r w:rsidRPr="003922EB">
        <w:rPr>
          <w:sz w:val="24"/>
          <w:szCs w:val="24"/>
        </w:rPr>
        <w:t>Job Centre Plus</w:t>
      </w:r>
    </w:p>
    <w:p w14:paraId="2CDF10E4" w14:textId="77777777" w:rsidR="003922EB" w:rsidRPr="003922EB" w:rsidRDefault="003922EB" w:rsidP="003922EB">
      <w:pPr>
        <w:pStyle w:val="MAPPA-Bodytext"/>
        <w:numPr>
          <w:ilvl w:val="0"/>
          <w:numId w:val="6"/>
        </w:numPr>
        <w:rPr>
          <w:sz w:val="24"/>
          <w:szCs w:val="24"/>
        </w:rPr>
      </w:pPr>
      <w:r w:rsidRPr="003922EB">
        <w:rPr>
          <w:sz w:val="24"/>
          <w:szCs w:val="24"/>
        </w:rPr>
        <w:t>The Youth Offending Service</w:t>
      </w:r>
    </w:p>
    <w:p w14:paraId="0497CED4" w14:textId="77777777" w:rsidR="003922EB" w:rsidRPr="003922EB" w:rsidRDefault="003922EB" w:rsidP="003922EB">
      <w:pPr>
        <w:pStyle w:val="MAPPA-Bodytext"/>
        <w:rPr>
          <w:sz w:val="24"/>
          <w:szCs w:val="24"/>
        </w:rPr>
      </w:pPr>
      <w:r w:rsidRPr="003922EB">
        <w:rPr>
          <w:sz w:val="24"/>
          <w:szCs w:val="24"/>
        </w:rPr>
        <w:t>These agencies work collaboratively with criminal justice partners to reduce harm, protect victims, and support the rehabilitation of offenders. All partners follow national guidance set by the National MAPPA Team.</w:t>
      </w:r>
    </w:p>
    <w:p w14:paraId="4EE63FE1" w14:textId="77777777" w:rsidR="003922EB" w:rsidRPr="003922EB" w:rsidRDefault="003922EB" w:rsidP="003922EB">
      <w:pPr>
        <w:pStyle w:val="MAPPA-Bodytext"/>
        <w:rPr>
          <w:b/>
          <w:bCs/>
          <w:sz w:val="24"/>
          <w:szCs w:val="24"/>
        </w:rPr>
      </w:pPr>
      <w:r w:rsidRPr="003922EB">
        <w:rPr>
          <w:b/>
          <w:bCs/>
          <w:sz w:val="24"/>
          <w:szCs w:val="24"/>
        </w:rPr>
        <w:t>Strategic Oversight</w:t>
      </w:r>
    </w:p>
    <w:p w14:paraId="722D82A9" w14:textId="77777777" w:rsidR="003922EB" w:rsidRPr="003922EB" w:rsidRDefault="003922EB" w:rsidP="003922EB">
      <w:pPr>
        <w:pStyle w:val="MAPPA-Bodytext"/>
        <w:rPr>
          <w:sz w:val="24"/>
          <w:szCs w:val="24"/>
        </w:rPr>
      </w:pPr>
      <w:r w:rsidRPr="003922EB">
        <w:rPr>
          <w:sz w:val="24"/>
          <w:szCs w:val="24"/>
        </w:rPr>
        <w:t xml:space="preserve">MAPPA in Cheshire is overseen by the Strategic Management Board (SMB), which meets at least three times a year. The SMB is made up of senior representatives from both Responsible Authorities and Duty to Co-operate agencies. Their role is to ensure their </w:t>
      </w:r>
      <w:proofErr w:type="spellStart"/>
      <w:r w:rsidRPr="003922EB">
        <w:rPr>
          <w:sz w:val="24"/>
          <w:szCs w:val="24"/>
        </w:rPr>
        <w:t>organisations</w:t>
      </w:r>
      <w:proofErr w:type="spellEnd"/>
      <w:r w:rsidRPr="003922EB">
        <w:rPr>
          <w:sz w:val="24"/>
          <w:szCs w:val="24"/>
        </w:rPr>
        <w:t xml:space="preserve"> are fulfilling their MAPPA responsibilities, sharing information effectively, and continuously improving local practices.</w:t>
      </w:r>
    </w:p>
    <w:p w14:paraId="56FA8B20" w14:textId="77777777" w:rsidR="003922EB" w:rsidRPr="003922EB" w:rsidRDefault="003922EB" w:rsidP="003922EB">
      <w:pPr>
        <w:pStyle w:val="MAPPA-Bodytext"/>
        <w:rPr>
          <w:sz w:val="24"/>
          <w:szCs w:val="24"/>
        </w:rPr>
      </w:pPr>
      <w:r w:rsidRPr="003922EB">
        <w:rPr>
          <w:sz w:val="24"/>
          <w:szCs w:val="24"/>
        </w:rPr>
        <w:t>We’re also proud to include a Lay Adviser, appointed by the Secretary of State, who brings an independent voice to the Board and ensures that the public’s perspective is considered in decision-making.</w:t>
      </w:r>
    </w:p>
    <w:p w14:paraId="64B81CAB" w14:textId="77777777" w:rsidR="003922EB" w:rsidRPr="003922EB" w:rsidRDefault="003922EB" w:rsidP="003922EB">
      <w:pPr>
        <w:pStyle w:val="MAPPA-Bodytext"/>
        <w:rPr>
          <w:b/>
          <w:bCs/>
          <w:sz w:val="24"/>
          <w:szCs w:val="24"/>
        </w:rPr>
      </w:pPr>
      <w:r w:rsidRPr="003922EB">
        <w:rPr>
          <w:b/>
          <w:bCs/>
          <w:sz w:val="24"/>
          <w:szCs w:val="24"/>
        </w:rPr>
        <w:t>Supporting Rehabilitation and Risk Management</w:t>
      </w:r>
    </w:p>
    <w:p w14:paraId="188304AE" w14:textId="0959E631" w:rsidR="003922EB" w:rsidRPr="003922EB" w:rsidRDefault="003922EB" w:rsidP="003922EB">
      <w:pPr>
        <w:pStyle w:val="MAPPA-Bodytext"/>
        <w:rPr>
          <w:sz w:val="24"/>
          <w:szCs w:val="24"/>
        </w:rPr>
      </w:pPr>
      <w:r w:rsidRPr="003922EB">
        <w:rPr>
          <w:sz w:val="24"/>
          <w:szCs w:val="24"/>
        </w:rPr>
        <w:t xml:space="preserve">While the core responsibility for managing high-risk offenders lies with the criminal justice agencies, effective public protection often requires broader support. For example, stable housing and employment significantly reduce the likelihood of reoffending. Duty to Co-operate agencies help assess risks and contribute to robust management plans, especially when offenders face </w:t>
      </w:r>
      <w:r w:rsidRPr="003922EB">
        <w:rPr>
          <w:sz w:val="24"/>
          <w:szCs w:val="24"/>
        </w:rPr>
        <w:lastRenderedPageBreak/>
        <w:t>mental health challenges or pose risks to children.</w:t>
      </w:r>
      <w:r w:rsidR="00BA7E78">
        <w:rPr>
          <w:sz w:val="24"/>
          <w:szCs w:val="24"/>
        </w:rPr>
        <w:t xml:space="preserve"> </w:t>
      </w:r>
      <w:r w:rsidRPr="003922EB">
        <w:rPr>
          <w:sz w:val="24"/>
          <w:szCs w:val="24"/>
        </w:rPr>
        <w:t xml:space="preserve">Regular MAPPA meetings </w:t>
      </w:r>
      <w:r w:rsidR="00BA7E78">
        <w:rPr>
          <w:sz w:val="24"/>
          <w:szCs w:val="24"/>
        </w:rPr>
        <w:t xml:space="preserve">at both Level 2 and 3 </w:t>
      </w:r>
      <w:r w:rsidRPr="003922EB">
        <w:rPr>
          <w:sz w:val="24"/>
          <w:szCs w:val="24"/>
        </w:rPr>
        <w:t>are held across Cheshire to manage high and very high-risk cases. These meetings allow agencies to share information and develop tailored plans to manage each offender safely and effectively.</w:t>
      </w:r>
    </w:p>
    <w:p w14:paraId="755754D5" w14:textId="77777777" w:rsidR="003922EB" w:rsidRPr="003922EB" w:rsidRDefault="003922EB" w:rsidP="003922EB">
      <w:pPr>
        <w:pStyle w:val="MAPPA-Bodytext"/>
        <w:rPr>
          <w:b/>
          <w:bCs/>
          <w:sz w:val="24"/>
          <w:szCs w:val="24"/>
        </w:rPr>
      </w:pPr>
      <w:r w:rsidRPr="003922EB">
        <w:rPr>
          <w:b/>
          <w:bCs/>
          <w:sz w:val="24"/>
          <w:szCs w:val="24"/>
        </w:rPr>
        <w:t>Strengthening Practice Through Sub-Groups</w:t>
      </w:r>
    </w:p>
    <w:p w14:paraId="325E767A" w14:textId="3F8F30DC" w:rsidR="003922EB" w:rsidRPr="003922EB" w:rsidRDefault="00BA7E78" w:rsidP="003922EB">
      <w:pPr>
        <w:pStyle w:val="MAPPA-Bodytext"/>
        <w:rPr>
          <w:sz w:val="24"/>
          <w:szCs w:val="24"/>
        </w:rPr>
      </w:pPr>
      <w:r>
        <w:rPr>
          <w:sz w:val="24"/>
          <w:szCs w:val="24"/>
        </w:rPr>
        <w:t>Following on from last year’s report, the t</w:t>
      </w:r>
      <w:r w:rsidR="003922EB" w:rsidRPr="003922EB">
        <w:rPr>
          <w:sz w:val="24"/>
          <w:szCs w:val="24"/>
        </w:rPr>
        <w:t>wo dedicated sub-groups support the work of the SMB:</w:t>
      </w:r>
    </w:p>
    <w:p w14:paraId="6CF3ECFA" w14:textId="77777777" w:rsidR="003922EB" w:rsidRPr="008A5E1D" w:rsidRDefault="003922EB" w:rsidP="003922EB">
      <w:pPr>
        <w:pStyle w:val="MAPPA-Bodytext"/>
        <w:numPr>
          <w:ilvl w:val="0"/>
          <w:numId w:val="7"/>
        </w:numPr>
        <w:rPr>
          <w:sz w:val="24"/>
          <w:szCs w:val="24"/>
        </w:rPr>
      </w:pPr>
      <w:r w:rsidRPr="003922EB">
        <w:rPr>
          <w:sz w:val="24"/>
          <w:szCs w:val="24"/>
        </w:rPr>
        <w:t xml:space="preserve">The </w:t>
      </w:r>
      <w:r w:rsidRPr="008A5E1D">
        <w:rPr>
          <w:sz w:val="24"/>
          <w:szCs w:val="24"/>
        </w:rPr>
        <w:t>Training Subgroup</w:t>
      </w:r>
    </w:p>
    <w:p w14:paraId="64D717AC" w14:textId="77777777" w:rsidR="003922EB" w:rsidRPr="008A5E1D" w:rsidRDefault="003922EB" w:rsidP="003922EB">
      <w:pPr>
        <w:pStyle w:val="MAPPA-Bodytext"/>
        <w:numPr>
          <w:ilvl w:val="0"/>
          <w:numId w:val="7"/>
        </w:numPr>
        <w:rPr>
          <w:sz w:val="24"/>
          <w:szCs w:val="24"/>
        </w:rPr>
      </w:pPr>
      <w:r w:rsidRPr="003922EB">
        <w:rPr>
          <w:sz w:val="24"/>
          <w:szCs w:val="24"/>
        </w:rPr>
        <w:t xml:space="preserve">The </w:t>
      </w:r>
      <w:r w:rsidRPr="008A5E1D">
        <w:rPr>
          <w:sz w:val="24"/>
          <w:szCs w:val="24"/>
        </w:rPr>
        <w:t>Evaluation and Monitoring Subgroup</w:t>
      </w:r>
    </w:p>
    <w:p w14:paraId="2AB40E35" w14:textId="2A138BE4" w:rsidR="003922EB" w:rsidRPr="003922EB" w:rsidRDefault="003922EB" w:rsidP="003922EB">
      <w:pPr>
        <w:pStyle w:val="MAPPA-Bodytext"/>
        <w:rPr>
          <w:sz w:val="24"/>
          <w:szCs w:val="24"/>
        </w:rPr>
      </w:pPr>
      <w:r w:rsidRPr="003922EB">
        <w:rPr>
          <w:sz w:val="24"/>
          <w:szCs w:val="24"/>
        </w:rPr>
        <w:t>These groups ensure that all agencies understand and fulfil their MAPPA roles. Their work includes auditing referrals and meetings, monitoring attendance, reviewing risk management plans, and sharing learning across the partnership. Safeguarding Boards are also actively involved in these sub-groups, helping to maintain strong communication and alignment across services.</w:t>
      </w:r>
      <w:r w:rsidR="00BA7E78">
        <w:rPr>
          <w:sz w:val="24"/>
          <w:szCs w:val="24"/>
        </w:rPr>
        <w:t xml:space="preserve"> Training continues to be delivered across the area to both probation staff and partnership agencies. Training also includes the delivery of two targeted sessions to the Newly Qualified Officers </w:t>
      </w:r>
      <w:r w:rsidR="00293241">
        <w:rPr>
          <w:sz w:val="24"/>
          <w:szCs w:val="24"/>
        </w:rPr>
        <w:t xml:space="preserve">across the </w:t>
      </w:r>
      <w:r w:rsidR="008C7EDF">
        <w:rPr>
          <w:sz w:val="24"/>
          <w:szCs w:val="24"/>
        </w:rPr>
        <w:t>Northwest</w:t>
      </w:r>
      <w:r w:rsidR="00293241">
        <w:rPr>
          <w:sz w:val="24"/>
          <w:szCs w:val="24"/>
        </w:rPr>
        <w:t xml:space="preserve"> region, </w:t>
      </w:r>
      <w:r w:rsidR="00BA7E78">
        <w:rPr>
          <w:sz w:val="24"/>
          <w:szCs w:val="24"/>
        </w:rPr>
        <w:t>which continues to be well received. Over the spring months,</w:t>
      </w:r>
      <w:r w:rsidR="008C7EDF">
        <w:rPr>
          <w:sz w:val="24"/>
          <w:szCs w:val="24"/>
        </w:rPr>
        <w:t xml:space="preserve"> the MAPPA</w:t>
      </w:r>
      <w:r w:rsidR="00BA7E78">
        <w:rPr>
          <w:sz w:val="24"/>
          <w:szCs w:val="24"/>
        </w:rPr>
        <w:t xml:space="preserve"> Level 1 Framework training has been rolled out to Probation Practitioners with a focus upon timely level setting</w:t>
      </w:r>
      <w:r w:rsidR="00293241">
        <w:rPr>
          <w:sz w:val="24"/>
          <w:szCs w:val="24"/>
        </w:rPr>
        <w:t xml:space="preserve"> and reviews</w:t>
      </w:r>
      <w:r w:rsidR="00BA7E78">
        <w:rPr>
          <w:sz w:val="24"/>
          <w:szCs w:val="24"/>
        </w:rPr>
        <w:t xml:space="preserve">, </w:t>
      </w:r>
      <w:r w:rsidR="00293241">
        <w:rPr>
          <w:sz w:val="24"/>
          <w:szCs w:val="24"/>
        </w:rPr>
        <w:t>whilst encouraging</w:t>
      </w:r>
      <w:r w:rsidR="00BA7E78">
        <w:rPr>
          <w:sz w:val="24"/>
          <w:szCs w:val="24"/>
        </w:rPr>
        <w:t xml:space="preserve"> a joined up and collaborative approach to</w:t>
      </w:r>
      <w:r w:rsidR="00293241">
        <w:rPr>
          <w:sz w:val="24"/>
          <w:szCs w:val="24"/>
        </w:rPr>
        <w:t xml:space="preserve"> ensure partnership agencies are involved in the </w:t>
      </w:r>
      <w:r w:rsidR="008C7EDF">
        <w:rPr>
          <w:sz w:val="24"/>
          <w:szCs w:val="24"/>
        </w:rPr>
        <w:t>decision-making</w:t>
      </w:r>
      <w:r w:rsidR="00293241">
        <w:rPr>
          <w:sz w:val="24"/>
          <w:szCs w:val="24"/>
        </w:rPr>
        <w:t xml:space="preserve"> process for the MAPPA management of eligible cases,</w:t>
      </w:r>
      <w:r w:rsidR="00BA7E78">
        <w:rPr>
          <w:sz w:val="24"/>
          <w:szCs w:val="24"/>
        </w:rPr>
        <w:t xml:space="preserve"> using the MAPPA Q document</w:t>
      </w:r>
      <w:r w:rsidR="00293241">
        <w:rPr>
          <w:sz w:val="24"/>
          <w:szCs w:val="24"/>
        </w:rPr>
        <w:t xml:space="preserve"> and</w:t>
      </w:r>
      <w:r w:rsidR="00BA7E78">
        <w:rPr>
          <w:sz w:val="24"/>
          <w:szCs w:val="24"/>
        </w:rPr>
        <w:t xml:space="preserve"> recording correctly</w:t>
      </w:r>
      <w:r w:rsidR="00293241">
        <w:rPr>
          <w:sz w:val="24"/>
          <w:szCs w:val="24"/>
        </w:rPr>
        <w:t xml:space="preserve">. There was also a focus upon ‘Why </w:t>
      </w:r>
      <w:proofErr w:type="spellStart"/>
      <w:r w:rsidR="00293241">
        <w:rPr>
          <w:sz w:val="24"/>
          <w:szCs w:val="24"/>
        </w:rPr>
        <w:t>ViSOR</w:t>
      </w:r>
      <w:proofErr w:type="spellEnd"/>
      <w:r w:rsidR="00293241">
        <w:rPr>
          <w:sz w:val="24"/>
          <w:szCs w:val="24"/>
        </w:rPr>
        <w:t xml:space="preserve"> is Mandatory’ for all staff</w:t>
      </w:r>
      <w:r w:rsidR="00B037B3">
        <w:rPr>
          <w:sz w:val="24"/>
          <w:szCs w:val="24"/>
        </w:rPr>
        <w:t xml:space="preserve">, encouraging </w:t>
      </w:r>
      <w:r w:rsidR="00A65F73">
        <w:rPr>
          <w:sz w:val="24"/>
          <w:szCs w:val="24"/>
        </w:rPr>
        <w:t>practitioners</w:t>
      </w:r>
      <w:r w:rsidR="00293241">
        <w:rPr>
          <w:sz w:val="24"/>
          <w:szCs w:val="24"/>
        </w:rPr>
        <w:t xml:space="preserve"> to use </w:t>
      </w:r>
      <w:proofErr w:type="spellStart"/>
      <w:r w:rsidR="00A65F73">
        <w:rPr>
          <w:sz w:val="24"/>
          <w:szCs w:val="24"/>
        </w:rPr>
        <w:t>ViSOR</w:t>
      </w:r>
      <w:proofErr w:type="spellEnd"/>
      <w:r w:rsidR="00A65F73">
        <w:rPr>
          <w:sz w:val="24"/>
          <w:szCs w:val="24"/>
        </w:rPr>
        <w:t xml:space="preserve"> </w:t>
      </w:r>
      <w:r w:rsidR="00293241">
        <w:rPr>
          <w:sz w:val="24"/>
          <w:szCs w:val="24"/>
        </w:rPr>
        <w:t xml:space="preserve">as a </w:t>
      </w:r>
      <w:r w:rsidR="00A65F73">
        <w:rPr>
          <w:sz w:val="24"/>
          <w:szCs w:val="24"/>
        </w:rPr>
        <w:t>‘</w:t>
      </w:r>
      <w:r w:rsidR="00293241">
        <w:rPr>
          <w:sz w:val="24"/>
          <w:szCs w:val="24"/>
        </w:rPr>
        <w:t>business-as-usual</w:t>
      </w:r>
      <w:r w:rsidR="00A65F73">
        <w:rPr>
          <w:sz w:val="24"/>
          <w:szCs w:val="24"/>
        </w:rPr>
        <w:t>’</w:t>
      </w:r>
      <w:r w:rsidR="00293241">
        <w:rPr>
          <w:sz w:val="24"/>
          <w:szCs w:val="24"/>
        </w:rPr>
        <w:t xml:space="preserve"> tool to drive up</w:t>
      </w:r>
      <w:r w:rsidR="00A65F73">
        <w:rPr>
          <w:sz w:val="24"/>
          <w:szCs w:val="24"/>
        </w:rPr>
        <w:t xml:space="preserve"> the</w:t>
      </w:r>
      <w:r w:rsidR="00293241">
        <w:rPr>
          <w:sz w:val="24"/>
          <w:szCs w:val="24"/>
        </w:rPr>
        <w:t xml:space="preserve"> use of the system</w:t>
      </w:r>
      <w:r w:rsidR="00D2227B">
        <w:rPr>
          <w:sz w:val="24"/>
          <w:szCs w:val="24"/>
        </w:rPr>
        <w:t xml:space="preserve"> and the sharing of information to inform risk assessments and to manage risk</w:t>
      </w:r>
      <w:r w:rsidR="00293241">
        <w:rPr>
          <w:sz w:val="24"/>
          <w:szCs w:val="24"/>
        </w:rPr>
        <w:t xml:space="preserve">. </w:t>
      </w:r>
    </w:p>
    <w:p w14:paraId="5891D03C" w14:textId="77777777" w:rsidR="003922EB" w:rsidRPr="003922EB" w:rsidRDefault="003922EB" w:rsidP="003922EB">
      <w:pPr>
        <w:pStyle w:val="MAPPA-Bodytext"/>
        <w:rPr>
          <w:b/>
          <w:bCs/>
          <w:sz w:val="24"/>
          <w:szCs w:val="24"/>
        </w:rPr>
      </w:pPr>
      <w:r w:rsidRPr="003922EB">
        <w:rPr>
          <w:b/>
          <w:bCs/>
          <w:sz w:val="24"/>
          <w:szCs w:val="24"/>
        </w:rPr>
        <w:t>Tackling Domestic Abuse: A Joint Approach</w:t>
      </w:r>
    </w:p>
    <w:p w14:paraId="6CEE647D" w14:textId="5DBB86F0" w:rsidR="003922EB" w:rsidRPr="003922EB" w:rsidRDefault="003922EB" w:rsidP="003922EB">
      <w:pPr>
        <w:pStyle w:val="MAPPA-Bodytext"/>
        <w:rPr>
          <w:sz w:val="24"/>
          <w:szCs w:val="24"/>
        </w:rPr>
      </w:pPr>
      <w:r w:rsidRPr="003922EB">
        <w:rPr>
          <w:sz w:val="24"/>
          <w:szCs w:val="24"/>
        </w:rPr>
        <w:t xml:space="preserve">Cheshire </w:t>
      </w:r>
      <w:r w:rsidR="00223C06">
        <w:rPr>
          <w:sz w:val="24"/>
          <w:szCs w:val="24"/>
        </w:rPr>
        <w:t>remains</w:t>
      </w:r>
      <w:r w:rsidRPr="003922EB">
        <w:rPr>
          <w:sz w:val="24"/>
          <w:szCs w:val="24"/>
        </w:rPr>
        <w:t xml:space="preserve"> committed to tackling domestic abuse through Multi-Agency Risk Assessment Conferences (MARACs). These meetings focus on protecting victims at high risk of serious harm by developing coordinated safety plans. MARACs complement MAPPA processes, and there are clear protocols linking the two.</w:t>
      </w:r>
    </w:p>
    <w:p w14:paraId="1091EF52" w14:textId="77777777" w:rsidR="003922EB" w:rsidRPr="003922EB" w:rsidRDefault="003922EB" w:rsidP="003922EB">
      <w:pPr>
        <w:pStyle w:val="MAPPA-Bodytext"/>
        <w:rPr>
          <w:sz w:val="24"/>
          <w:szCs w:val="24"/>
        </w:rPr>
      </w:pPr>
      <w:r w:rsidRPr="003922EB">
        <w:rPr>
          <w:sz w:val="24"/>
          <w:szCs w:val="24"/>
        </w:rPr>
        <w:t>Cheshire Police’s Harm Reduction Unit plays a key role in managing perpetrators of stalking, offering support to victims and professionals, and ensuring robust safeguarding measures are in place.</w:t>
      </w:r>
    </w:p>
    <w:p w14:paraId="3CA07145" w14:textId="14D3D88A" w:rsidR="003922EB" w:rsidRPr="003922EB" w:rsidRDefault="00293241" w:rsidP="003922EB">
      <w:pPr>
        <w:pStyle w:val="MAPPA-Bodytext"/>
        <w:rPr>
          <w:sz w:val="24"/>
          <w:szCs w:val="24"/>
        </w:rPr>
      </w:pPr>
      <w:r>
        <w:rPr>
          <w:sz w:val="24"/>
          <w:szCs w:val="24"/>
        </w:rPr>
        <w:t>The</w:t>
      </w:r>
      <w:r w:rsidR="003922EB" w:rsidRPr="003922EB">
        <w:rPr>
          <w:sz w:val="24"/>
          <w:szCs w:val="24"/>
        </w:rPr>
        <w:t xml:space="preserve"> new initiative by Cheshire Constabulary </w:t>
      </w:r>
      <w:r>
        <w:rPr>
          <w:sz w:val="24"/>
          <w:szCs w:val="24"/>
        </w:rPr>
        <w:t xml:space="preserve">continues into this year, with an </w:t>
      </w:r>
      <w:r w:rsidR="003922EB" w:rsidRPr="003922EB">
        <w:rPr>
          <w:sz w:val="24"/>
          <w:szCs w:val="24"/>
        </w:rPr>
        <w:t>assign</w:t>
      </w:r>
      <w:r>
        <w:rPr>
          <w:sz w:val="24"/>
          <w:szCs w:val="24"/>
        </w:rPr>
        <w:t>ed</w:t>
      </w:r>
      <w:r w:rsidR="003922EB" w:rsidRPr="003922EB">
        <w:rPr>
          <w:sz w:val="24"/>
          <w:szCs w:val="24"/>
        </w:rPr>
        <w:t xml:space="preserve"> officer to each of the ‘Top 5’ domestic abuse cases in every Local Policing Unit (LPU). These officers oversee all related investigations and callouts, ensuring a focused and consistent approach.</w:t>
      </w:r>
      <w:r>
        <w:rPr>
          <w:sz w:val="24"/>
          <w:szCs w:val="24"/>
        </w:rPr>
        <w:t xml:space="preserve"> </w:t>
      </w:r>
      <w:r w:rsidR="003922EB" w:rsidRPr="003922EB">
        <w:rPr>
          <w:sz w:val="24"/>
          <w:szCs w:val="24"/>
        </w:rPr>
        <w:t>This initiative, known as the SDAP scheme, is designed to improve outcomes for victims and reduce the demand placed on police services. It uses an actuarial assessment based on Recency, Frequency, Gravity, and Number of Victims (RFGV) to identify the highest-risk perpetrators across Cheshire—resulting in a monthly list of 45 individuals.</w:t>
      </w:r>
    </w:p>
    <w:p w14:paraId="0A30EB00" w14:textId="4CAA1406" w:rsidR="00332EE6" w:rsidRPr="006754CB" w:rsidRDefault="003922EB" w:rsidP="006754CB">
      <w:pPr>
        <w:pStyle w:val="MAPPA-Bodytext"/>
        <w:rPr>
          <w:sz w:val="24"/>
          <w:szCs w:val="24"/>
        </w:rPr>
        <w:sectPr w:rsidR="00332EE6" w:rsidRPr="006754CB" w:rsidSect="00867C9E">
          <w:type w:val="continuous"/>
          <w:pgSz w:w="11905" w:h="16837" w:code="9"/>
          <w:pgMar w:top="720" w:right="720" w:bottom="720" w:left="720" w:header="720" w:footer="567" w:gutter="0"/>
          <w:cols w:space="720"/>
          <w:noEndnote/>
        </w:sectPr>
      </w:pPr>
      <w:r w:rsidRPr="003922EB">
        <w:rPr>
          <w:sz w:val="24"/>
          <w:szCs w:val="24"/>
        </w:rPr>
        <w:t>Details of these cases are shared with Probation to ensure that practitioners are aware and can reflect this status in their risk assessments and management plans. Domestic Abuse Coordinators have also been recruited to every LPU to drive this work forward</w:t>
      </w:r>
      <w:r w:rsidR="00293241">
        <w:rPr>
          <w:sz w:val="24"/>
          <w:szCs w:val="24"/>
        </w:rPr>
        <w:t xml:space="preserve">. </w:t>
      </w:r>
      <w:r w:rsidRPr="003922EB">
        <w:rPr>
          <w:sz w:val="24"/>
          <w:szCs w:val="24"/>
        </w:rPr>
        <w:t>This joint approach has led to a rise in MAPPA referrals for domestic abuse perpetrators, particularly in Category 2 and 3 cases</w:t>
      </w:r>
      <w:r w:rsidR="00293241">
        <w:rPr>
          <w:sz w:val="24"/>
          <w:szCs w:val="24"/>
        </w:rPr>
        <w:t xml:space="preserve"> and as expected this </w:t>
      </w:r>
      <w:r w:rsidRPr="003922EB">
        <w:rPr>
          <w:sz w:val="24"/>
          <w:szCs w:val="24"/>
        </w:rPr>
        <w:t>trend continue</w:t>
      </w:r>
      <w:r w:rsidR="00293241">
        <w:rPr>
          <w:sz w:val="24"/>
          <w:szCs w:val="24"/>
        </w:rPr>
        <w:t>d</w:t>
      </w:r>
      <w:r w:rsidRPr="003922EB">
        <w:rPr>
          <w:sz w:val="24"/>
          <w:szCs w:val="24"/>
        </w:rPr>
        <w:t xml:space="preserve"> into 2024–25, helping us to better protect victims and manage risk across the county</w:t>
      </w:r>
    </w:p>
    <w:p w14:paraId="6620B6A1" w14:textId="6813A1AA" w:rsidR="00332EE6" w:rsidRPr="006754CB" w:rsidRDefault="00332EE6" w:rsidP="006754CB">
      <w:pPr>
        <w:pStyle w:val="MAPPA-HeadingPara"/>
        <w:rPr>
          <w:lang w:val="en-GB"/>
        </w:rPr>
        <w:sectPr w:rsidR="00332EE6" w:rsidRPr="006754CB"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6754CB">
      <w:pPr>
        <w:pStyle w:val="MAPPA-Bodytext"/>
        <w:spacing w:before="4800"/>
        <w:ind w:left="720" w:firstLine="720"/>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4"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3643367"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84D76" w14:textId="77777777" w:rsidR="00957A09" w:rsidRDefault="00957A09" w:rsidP="001A5708">
      <w:pPr>
        <w:pStyle w:val="MAPPA-Bodytext"/>
      </w:pPr>
      <w:r>
        <w:separator/>
      </w:r>
    </w:p>
  </w:endnote>
  <w:endnote w:type="continuationSeparator" w:id="0">
    <w:p w14:paraId="7F63360D" w14:textId="77777777" w:rsidR="00957A09" w:rsidRDefault="00957A09" w:rsidP="001A5708">
      <w:pPr>
        <w:pStyle w:val="MAPPA-Bodytext"/>
      </w:pPr>
      <w:r>
        <w:continuationSeparator/>
      </w:r>
    </w:p>
  </w:endnote>
  <w:endnote w:type="continuationNotice" w:id="1">
    <w:p w14:paraId="372DB053" w14:textId="77777777" w:rsidR="00957A09" w:rsidRDefault="00957A09"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EE5CF" w14:textId="77777777" w:rsidR="00957A09" w:rsidRDefault="00957A09" w:rsidP="001A5708">
      <w:pPr>
        <w:pStyle w:val="MAPPA-Bodytext"/>
      </w:pPr>
      <w:r>
        <w:separator/>
      </w:r>
    </w:p>
  </w:footnote>
  <w:footnote w:type="continuationSeparator" w:id="0">
    <w:p w14:paraId="7AAE565E" w14:textId="77777777" w:rsidR="00957A09" w:rsidRDefault="00957A09" w:rsidP="001A5708">
      <w:pPr>
        <w:pStyle w:val="MAPPA-Bodytext"/>
      </w:pPr>
      <w:r>
        <w:continuationSeparator/>
      </w:r>
    </w:p>
  </w:footnote>
  <w:footnote w:type="continuationNotice" w:id="1">
    <w:p w14:paraId="2AD15B3D" w14:textId="77777777" w:rsidR="00957A09" w:rsidRDefault="00957A09"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9212B"/>
    <w:multiLevelType w:val="multilevel"/>
    <w:tmpl w:val="56EC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91578"/>
    <w:multiLevelType w:val="multilevel"/>
    <w:tmpl w:val="8E22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BE4939"/>
    <w:multiLevelType w:val="multilevel"/>
    <w:tmpl w:val="BED6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333450"/>
    <w:multiLevelType w:val="multilevel"/>
    <w:tmpl w:val="2764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4"/>
  </w:num>
  <w:num w:numId="2" w16cid:durableId="1275559666">
    <w:abstractNumId w:val="6"/>
  </w:num>
  <w:num w:numId="3" w16cid:durableId="427392215">
    <w:abstractNumId w:val="0"/>
  </w:num>
  <w:num w:numId="4" w16cid:durableId="349258590">
    <w:abstractNumId w:val="2"/>
  </w:num>
  <w:num w:numId="5" w16cid:durableId="2116056379">
    <w:abstractNumId w:val="5"/>
  </w:num>
  <w:num w:numId="6" w16cid:durableId="1225986529">
    <w:abstractNumId w:val="3"/>
  </w:num>
  <w:num w:numId="7" w16cid:durableId="106045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323B"/>
    <w:rsid w:val="0009506C"/>
    <w:rsid w:val="00096E57"/>
    <w:rsid w:val="000A0A14"/>
    <w:rsid w:val="000A6775"/>
    <w:rsid w:val="000B3DC7"/>
    <w:rsid w:val="000D082C"/>
    <w:rsid w:val="000E3453"/>
    <w:rsid w:val="000E3C5B"/>
    <w:rsid w:val="000F355B"/>
    <w:rsid w:val="000F65BF"/>
    <w:rsid w:val="00104025"/>
    <w:rsid w:val="00105344"/>
    <w:rsid w:val="001056B8"/>
    <w:rsid w:val="001143B7"/>
    <w:rsid w:val="00127B7C"/>
    <w:rsid w:val="00140627"/>
    <w:rsid w:val="001435D5"/>
    <w:rsid w:val="00146AC1"/>
    <w:rsid w:val="00152647"/>
    <w:rsid w:val="00154D3E"/>
    <w:rsid w:val="00157F24"/>
    <w:rsid w:val="001638BB"/>
    <w:rsid w:val="0017287F"/>
    <w:rsid w:val="0017380D"/>
    <w:rsid w:val="001800EB"/>
    <w:rsid w:val="001870E0"/>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53D9"/>
    <w:rsid w:val="002171AC"/>
    <w:rsid w:val="00223C06"/>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3241"/>
    <w:rsid w:val="0029421B"/>
    <w:rsid w:val="00296A85"/>
    <w:rsid w:val="002A5E53"/>
    <w:rsid w:val="002B1B3E"/>
    <w:rsid w:val="002B3DF0"/>
    <w:rsid w:val="002C0567"/>
    <w:rsid w:val="002C2403"/>
    <w:rsid w:val="002C39F4"/>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81257"/>
    <w:rsid w:val="00391BEB"/>
    <w:rsid w:val="003922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3E27"/>
    <w:rsid w:val="005A4FD4"/>
    <w:rsid w:val="005B2BD3"/>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66792"/>
    <w:rsid w:val="00666CE7"/>
    <w:rsid w:val="00672210"/>
    <w:rsid w:val="00673321"/>
    <w:rsid w:val="006754CB"/>
    <w:rsid w:val="00683239"/>
    <w:rsid w:val="00683618"/>
    <w:rsid w:val="00684DD2"/>
    <w:rsid w:val="006877F7"/>
    <w:rsid w:val="00687BD5"/>
    <w:rsid w:val="0069414D"/>
    <w:rsid w:val="00694A98"/>
    <w:rsid w:val="006954C2"/>
    <w:rsid w:val="00695CEC"/>
    <w:rsid w:val="0069789C"/>
    <w:rsid w:val="006A056D"/>
    <w:rsid w:val="006A1519"/>
    <w:rsid w:val="006A45B8"/>
    <w:rsid w:val="006A7F33"/>
    <w:rsid w:val="006B2A8A"/>
    <w:rsid w:val="006B75D2"/>
    <w:rsid w:val="006C58FB"/>
    <w:rsid w:val="006D6914"/>
    <w:rsid w:val="006E2307"/>
    <w:rsid w:val="006E46E2"/>
    <w:rsid w:val="006E71D8"/>
    <w:rsid w:val="006F27F5"/>
    <w:rsid w:val="007000D6"/>
    <w:rsid w:val="007043B9"/>
    <w:rsid w:val="007059C7"/>
    <w:rsid w:val="007119AB"/>
    <w:rsid w:val="00711B4E"/>
    <w:rsid w:val="007131AC"/>
    <w:rsid w:val="00716097"/>
    <w:rsid w:val="00717E7B"/>
    <w:rsid w:val="007203E9"/>
    <w:rsid w:val="00722F6A"/>
    <w:rsid w:val="00724145"/>
    <w:rsid w:val="00730FAC"/>
    <w:rsid w:val="00735E92"/>
    <w:rsid w:val="007362FD"/>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4671"/>
    <w:rsid w:val="008258A0"/>
    <w:rsid w:val="008319DC"/>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A5E1D"/>
    <w:rsid w:val="008C1531"/>
    <w:rsid w:val="008C3C42"/>
    <w:rsid w:val="008C6282"/>
    <w:rsid w:val="008C7EDF"/>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54E72"/>
    <w:rsid w:val="00957A09"/>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26530"/>
    <w:rsid w:val="00A34DE7"/>
    <w:rsid w:val="00A40FC6"/>
    <w:rsid w:val="00A44770"/>
    <w:rsid w:val="00A55FDE"/>
    <w:rsid w:val="00A63E9A"/>
    <w:rsid w:val="00A65F73"/>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3BE4"/>
    <w:rsid w:val="00AF7C22"/>
    <w:rsid w:val="00B01E0C"/>
    <w:rsid w:val="00B037B3"/>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02F7"/>
    <w:rsid w:val="00B95D25"/>
    <w:rsid w:val="00BA2863"/>
    <w:rsid w:val="00BA7E78"/>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4926"/>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227B"/>
    <w:rsid w:val="00D26C99"/>
    <w:rsid w:val="00D3139B"/>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0F9E"/>
    <w:rsid w:val="00E27F78"/>
    <w:rsid w:val="00E30C79"/>
    <w:rsid w:val="00E32C81"/>
    <w:rsid w:val="00E50500"/>
    <w:rsid w:val="00E53FDC"/>
    <w:rsid w:val="00E6063B"/>
    <w:rsid w:val="00E6461E"/>
    <w:rsid w:val="00E653CC"/>
    <w:rsid w:val="00E74A0C"/>
    <w:rsid w:val="00E75826"/>
    <w:rsid w:val="00E758B3"/>
    <w:rsid w:val="00E840A7"/>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2232"/>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8571">
      <w:bodyDiv w:val="1"/>
      <w:marLeft w:val="0"/>
      <w:marRight w:val="0"/>
      <w:marTop w:val="0"/>
      <w:marBottom w:val="0"/>
      <w:divBdr>
        <w:top w:val="none" w:sz="0" w:space="0" w:color="auto"/>
        <w:left w:val="none" w:sz="0" w:space="0" w:color="auto"/>
        <w:bottom w:val="none" w:sz="0" w:space="0" w:color="auto"/>
        <w:right w:val="none" w:sz="0" w:space="0" w:color="auto"/>
      </w:divBdr>
    </w:div>
    <w:div w:id="368337748">
      <w:bodyDiv w:val="1"/>
      <w:marLeft w:val="0"/>
      <w:marRight w:val="0"/>
      <w:marTop w:val="0"/>
      <w:marBottom w:val="0"/>
      <w:divBdr>
        <w:top w:val="none" w:sz="0" w:space="0" w:color="auto"/>
        <w:left w:val="none" w:sz="0" w:space="0" w:color="auto"/>
        <w:bottom w:val="none" w:sz="0" w:space="0" w:color="auto"/>
        <w:right w:val="none" w:sz="0" w:space="0" w:color="auto"/>
      </w:divBdr>
    </w:div>
    <w:div w:id="414403316">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58851615">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11871688">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874578473">
      <w:bodyDiv w:val="1"/>
      <w:marLeft w:val="0"/>
      <w:marRight w:val="0"/>
      <w:marTop w:val="0"/>
      <w:marBottom w:val="0"/>
      <w:divBdr>
        <w:top w:val="none" w:sz="0" w:space="0" w:color="auto"/>
        <w:left w:val="none" w:sz="0" w:space="0" w:color="auto"/>
        <w:bottom w:val="none" w:sz="0" w:space="0" w:color="auto"/>
        <w:right w:val="none" w:sz="0" w:space="0" w:color="auto"/>
      </w:divBdr>
    </w:div>
    <w:div w:id="903877281">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0361558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497914503">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85345739">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3.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6.xml"/><Relationship Id="rId27" Type="http://schemas.openxmlformats.org/officeDocument/2006/relationships/image" Target="media/image7.png"/><Relationship Id="rId30"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3618</Words>
  <Characters>19523</Characters>
  <Application>Microsoft Office Word</Application>
  <DocSecurity>4</DocSecurity>
  <Lines>627</Lines>
  <Paragraphs>189</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2025-10-27T12:01:00Z</dcterms:created>
  <dcterms:modified xsi:type="dcterms:W3CDTF">2025-10-27T12:01:00Z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