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1B2AAE2E" w:rsidR="003C0362" w:rsidRPr="00D5409B" w:rsidRDefault="00F90407" w:rsidP="00D5409B">
      <w:pPr>
        <w:pStyle w:val="Heading1"/>
        <w:rPr>
          <w:rStyle w:val="IntenseReference"/>
          <w:b w:val="0"/>
          <w:bCs w:val="0"/>
          <w:smallCaps w:val="0"/>
          <w:color w:val="7030A0"/>
          <w:spacing w:val="0"/>
        </w:rPr>
      </w:pPr>
      <w:r>
        <w:rPr>
          <w:rStyle w:val="IntenseReference"/>
          <w:b w:val="0"/>
          <w:bCs w:val="0"/>
          <w:smallCaps w:val="0"/>
          <w:color w:val="7030A0"/>
          <w:spacing w:val="0"/>
        </w:rPr>
        <w:t>Wiltshire</w:t>
      </w:r>
    </w:p>
    <w:p w14:paraId="3BD9C663" w14:textId="49C904AB" w:rsidR="009311B4" w:rsidRPr="0069414D" w:rsidRDefault="00DE487F" w:rsidP="00233AB5">
      <w:pPr>
        <w:pStyle w:val="Default"/>
        <w:rPr>
          <w:rFonts w:ascii="Arial" w:hAnsi="Arial" w:cs="Arial"/>
          <w:color w:val="7030A0"/>
          <w:sz w:val="68"/>
          <w:szCs w:val="68"/>
        </w:rPr>
      </w:pPr>
      <w:r>
        <w:rPr>
          <w:noProof/>
        </w:rPr>
        <w:drawing>
          <wp:inline distT="0" distB="0" distL="0" distR="0" wp14:anchorId="1AEE6777" wp14:editId="68EF75C2">
            <wp:extent cx="7102475" cy="4083923"/>
            <wp:effectExtent l="0" t="0" r="3175" b="0"/>
            <wp:docPr id="4" name="Picture 3" descr="Stonehenge with grass and blue sky with Stoneheng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tonehenge with grass and blue sky with Stonehenge in the backgroun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02475" cy="4083923"/>
                    </a:xfrm>
                    <a:prstGeom prst="rect">
                      <a:avLst/>
                    </a:prstGeom>
                    <a:noFill/>
                    <a:ln>
                      <a:noFill/>
                    </a:ln>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225D7630" w14:textId="77777777" w:rsidR="00A55C9C" w:rsidRDefault="00A55C9C" w:rsidP="00A5743C">
      <w:pPr>
        <w:pStyle w:val="Style1"/>
        <w:jc w:val="both"/>
        <w:rPr>
          <w:color w:val="auto"/>
          <w:sz w:val="24"/>
          <w:szCs w:val="24"/>
        </w:rPr>
        <w:sectPr w:rsidR="00A55C9C" w:rsidSect="00867C9E">
          <w:type w:val="continuous"/>
          <w:pgSz w:w="11905" w:h="16837" w:code="9"/>
          <w:pgMar w:top="720" w:right="720" w:bottom="720" w:left="720" w:header="720" w:footer="567" w:gutter="0"/>
          <w:cols w:num="2" w:space="720"/>
          <w:noEndnote/>
          <w:rtlGutter/>
        </w:sectPr>
      </w:pPr>
    </w:p>
    <w:p w14:paraId="4466CFD3" w14:textId="558035E1" w:rsidR="00A5743C" w:rsidRPr="00DE487F" w:rsidRDefault="00DE487F" w:rsidP="00A5743C">
      <w:pPr>
        <w:pStyle w:val="Style1"/>
        <w:jc w:val="both"/>
        <w:rPr>
          <w:color w:val="auto"/>
          <w:sz w:val="24"/>
          <w:szCs w:val="24"/>
        </w:rPr>
      </w:pPr>
      <w:r w:rsidRPr="00DE487F">
        <w:rPr>
          <w:noProof/>
          <w:sz w:val="24"/>
          <w:szCs w:val="24"/>
        </w:rPr>
        <w:drawing>
          <wp:anchor distT="0" distB="0" distL="114300" distR="114300" simplePos="0" relativeHeight="251659264" behindDoc="0" locked="0" layoutInCell="1" allowOverlap="1" wp14:anchorId="0C63ECF6" wp14:editId="5B18C41E">
            <wp:simplePos x="0" y="0"/>
            <wp:positionH relativeFrom="column">
              <wp:posOffset>3550920</wp:posOffset>
            </wp:positionH>
            <wp:positionV relativeFrom="paragraph">
              <wp:posOffset>-121920</wp:posOffset>
            </wp:positionV>
            <wp:extent cx="3093720" cy="1685925"/>
            <wp:effectExtent l="0" t="0" r="0" b="9525"/>
            <wp:wrapThrough wrapText="bothSides">
              <wp:wrapPolygon edited="0">
                <wp:start x="0" y="0"/>
                <wp:lineTo x="0" y="21478"/>
                <wp:lineTo x="21414" y="21478"/>
                <wp:lineTo x="21414" y="0"/>
                <wp:lineTo x="0" y="0"/>
              </wp:wrapPolygon>
            </wp:wrapThrough>
            <wp:docPr id="3" name="Picture 2" descr="A horse drawn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horse drawn on a hill&#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372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auto"/>
          <w:sz w:val="24"/>
          <w:szCs w:val="24"/>
        </w:rPr>
        <w:t xml:space="preserve">Hello and a very warm welcome to Wiltshire </w:t>
      </w:r>
      <w:r w:rsidR="009C1BE0" w:rsidRPr="00DE487F">
        <w:rPr>
          <w:color w:val="auto"/>
          <w:sz w:val="24"/>
          <w:szCs w:val="24"/>
        </w:rPr>
        <w:t xml:space="preserve">MAPPA areas 2024 – 2025 </w:t>
      </w:r>
      <w:r w:rsidR="00A5743C">
        <w:rPr>
          <w:color w:val="auto"/>
          <w:sz w:val="24"/>
          <w:szCs w:val="24"/>
        </w:rPr>
        <w:t>A</w:t>
      </w:r>
      <w:r w:rsidR="009C1BE0" w:rsidRPr="00DE487F">
        <w:rPr>
          <w:color w:val="auto"/>
          <w:sz w:val="24"/>
          <w:szCs w:val="24"/>
        </w:rPr>
        <w:t xml:space="preserve">nnual </w:t>
      </w:r>
      <w:r w:rsidR="00A5743C">
        <w:rPr>
          <w:color w:val="auto"/>
          <w:sz w:val="24"/>
          <w:szCs w:val="24"/>
        </w:rPr>
        <w:t>R</w:t>
      </w:r>
      <w:r w:rsidR="009C1BE0" w:rsidRPr="00DE487F">
        <w:rPr>
          <w:color w:val="auto"/>
          <w:sz w:val="24"/>
          <w:szCs w:val="24"/>
        </w:rPr>
        <w:t>eport</w:t>
      </w:r>
      <w:r w:rsidR="00A5743C">
        <w:rPr>
          <w:color w:val="auto"/>
          <w:sz w:val="24"/>
          <w:szCs w:val="24"/>
        </w:rPr>
        <w:t>.</w:t>
      </w:r>
      <w:r w:rsidR="00A5743C" w:rsidRPr="00A5743C">
        <w:rPr>
          <w:color w:val="auto"/>
          <w:sz w:val="24"/>
          <w:szCs w:val="24"/>
        </w:rPr>
        <w:t xml:space="preserve"> </w:t>
      </w:r>
      <w:r w:rsidR="00A5743C" w:rsidRPr="003C22CF">
        <w:rPr>
          <w:color w:val="auto"/>
          <w:sz w:val="24"/>
          <w:szCs w:val="24"/>
        </w:rPr>
        <w:t xml:space="preserve">This </w:t>
      </w:r>
      <w:r w:rsidR="00A5743C">
        <w:rPr>
          <w:color w:val="auto"/>
          <w:sz w:val="24"/>
          <w:szCs w:val="24"/>
        </w:rPr>
        <w:t>r</w:t>
      </w:r>
      <w:r w:rsidR="00A5743C" w:rsidRPr="003C22CF">
        <w:rPr>
          <w:color w:val="auto"/>
          <w:sz w:val="24"/>
          <w:szCs w:val="24"/>
        </w:rPr>
        <w:t>eport provides an overview of multi-agency public protection arrangements across Wiltshire, highlighting key developments, performance outcomes, and collaborative efforts over the past year. It reflects the continued commitment of all statutory partners to safeguarding communities through effective risk management of individuals subject to MAPPA. The report outlines progress made in strengthening referral pathways, enhancing inter-agency training, and improving strategic oversight, while also recognising the contributions of partner agencies and lay advisors in maintaining high standards of public protection.</w:t>
      </w:r>
    </w:p>
    <w:p w14:paraId="3023DFA5" w14:textId="34C0AFD5" w:rsidR="00332EE6" w:rsidRDefault="00DE487F" w:rsidP="00924E79">
      <w:pPr>
        <w:pStyle w:val="Style1"/>
        <w:jc w:val="both"/>
        <w:rPr>
          <w:color w:val="auto"/>
          <w:sz w:val="24"/>
          <w:szCs w:val="24"/>
        </w:rPr>
      </w:pPr>
      <w:r>
        <w:rPr>
          <w:color w:val="auto"/>
          <w:sz w:val="24"/>
          <w:szCs w:val="24"/>
        </w:rPr>
        <w:t>For victims, sexual and violent offences cause immeasurable harm and concern</w:t>
      </w:r>
      <w:r w:rsidR="00E17754">
        <w:rPr>
          <w:color w:val="auto"/>
          <w:sz w:val="24"/>
          <w:szCs w:val="24"/>
        </w:rPr>
        <w:t>,</w:t>
      </w:r>
      <w:r>
        <w:rPr>
          <w:color w:val="auto"/>
          <w:sz w:val="24"/>
          <w:szCs w:val="24"/>
        </w:rPr>
        <w:t xml:space="preserve"> both physically and emotionally. </w:t>
      </w:r>
      <w:r w:rsidR="00E17754">
        <w:rPr>
          <w:color w:val="auto"/>
          <w:sz w:val="24"/>
          <w:szCs w:val="24"/>
        </w:rPr>
        <w:t>Reassuringly, t</w:t>
      </w:r>
      <w:r>
        <w:rPr>
          <w:color w:val="auto"/>
          <w:sz w:val="24"/>
          <w:szCs w:val="24"/>
        </w:rPr>
        <w:t>he number of sexual and violent crimes that individuals commit</w:t>
      </w:r>
      <w:r w:rsidR="00E17754">
        <w:rPr>
          <w:color w:val="auto"/>
          <w:sz w:val="24"/>
          <w:szCs w:val="24"/>
        </w:rPr>
        <w:t xml:space="preserve"> represent a small proportion of the total recorded crimes within Wiltshire. However, they remain the focus of the Police, Probation and Prison Services. </w:t>
      </w:r>
    </w:p>
    <w:p w14:paraId="20AD4E73" w14:textId="77777777" w:rsidR="00A5743C" w:rsidRDefault="00A5743C" w:rsidP="00A5743C">
      <w:pPr>
        <w:pStyle w:val="Style1"/>
        <w:jc w:val="both"/>
        <w:rPr>
          <w:color w:val="auto"/>
          <w:sz w:val="24"/>
          <w:szCs w:val="24"/>
        </w:rPr>
      </w:pPr>
      <w:r>
        <w:rPr>
          <w:color w:val="auto"/>
          <w:sz w:val="24"/>
          <w:szCs w:val="24"/>
        </w:rPr>
        <w:t xml:space="preserve">I </w:t>
      </w:r>
      <w:r w:rsidRPr="00DE487F">
        <w:rPr>
          <w:color w:val="auto"/>
          <w:sz w:val="24"/>
          <w:szCs w:val="24"/>
        </w:rPr>
        <w:t>hope to bring you all information and assurances around our local picture and showcase some of the essential work</w:t>
      </w:r>
      <w:r>
        <w:rPr>
          <w:color w:val="auto"/>
          <w:sz w:val="24"/>
          <w:szCs w:val="24"/>
        </w:rPr>
        <w:t xml:space="preserve"> that has been completed </w:t>
      </w:r>
      <w:r w:rsidRPr="00DE487F">
        <w:rPr>
          <w:color w:val="auto"/>
          <w:sz w:val="24"/>
          <w:szCs w:val="24"/>
        </w:rPr>
        <w:t xml:space="preserve">within </w:t>
      </w:r>
      <w:r>
        <w:rPr>
          <w:color w:val="auto"/>
          <w:sz w:val="24"/>
          <w:szCs w:val="24"/>
        </w:rPr>
        <w:t xml:space="preserve">Wiltshire </w:t>
      </w:r>
      <w:r w:rsidRPr="00DE487F">
        <w:rPr>
          <w:color w:val="auto"/>
          <w:sz w:val="24"/>
          <w:szCs w:val="24"/>
        </w:rPr>
        <w:t xml:space="preserve">MAPPA. As always, Public Protection is the heart of how MAPPA operate and this year has seen a </w:t>
      </w:r>
      <w:r>
        <w:rPr>
          <w:color w:val="auto"/>
          <w:sz w:val="24"/>
          <w:szCs w:val="24"/>
        </w:rPr>
        <w:t>series</w:t>
      </w:r>
      <w:r w:rsidRPr="00DE487F">
        <w:rPr>
          <w:color w:val="auto"/>
          <w:sz w:val="24"/>
          <w:szCs w:val="24"/>
        </w:rPr>
        <w:t xml:space="preserve"> of reviews into how Wiltshire work together to manage the violent and sexual risks within the Community and within our local Prison systems</w:t>
      </w:r>
      <w:r>
        <w:rPr>
          <w:color w:val="auto"/>
          <w:sz w:val="24"/>
          <w:szCs w:val="24"/>
        </w:rPr>
        <w:t xml:space="preserve">. </w:t>
      </w:r>
    </w:p>
    <w:p w14:paraId="4B1E19E0" w14:textId="77777777" w:rsidR="00A55C9C" w:rsidRDefault="00A55C9C" w:rsidP="00924E79">
      <w:pPr>
        <w:pStyle w:val="Style1"/>
        <w:jc w:val="both"/>
        <w:rPr>
          <w:color w:val="auto"/>
          <w:sz w:val="24"/>
          <w:szCs w:val="24"/>
        </w:rPr>
      </w:pPr>
    </w:p>
    <w:p w14:paraId="51599AE2" w14:textId="77777777" w:rsidR="00D01ADE" w:rsidRDefault="00D01ADE" w:rsidP="00924E79">
      <w:pPr>
        <w:pStyle w:val="Style1"/>
        <w:jc w:val="both"/>
        <w:rPr>
          <w:color w:val="auto"/>
          <w:sz w:val="24"/>
          <w:szCs w:val="24"/>
        </w:rPr>
      </w:pPr>
      <w:r>
        <w:rPr>
          <w:color w:val="auto"/>
          <w:sz w:val="24"/>
          <w:szCs w:val="24"/>
        </w:rPr>
        <w:t>SMB Chair</w:t>
      </w:r>
    </w:p>
    <w:p w14:paraId="3182F3F0" w14:textId="2F14F076" w:rsidR="00D01ADE" w:rsidRDefault="00D01ADE" w:rsidP="00924E79">
      <w:pPr>
        <w:pStyle w:val="Style1"/>
        <w:jc w:val="both"/>
        <w:rPr>
          <w:color w:val="auto"/>
          <w:sz w:val="24"/>
          <w:szCs w:val="24"/>
        </w:rPr>
      </w:pPr>
      <w:r>
        <w:rPr>
          <w:color w:val="auto"/>
          <w:sz w:val="24"/>
          <w:szCs w:val="24"/>
        </w:rPr>
        <w:t>Assistant Chief Constable Coles</w:t>
      </w:r>
    </w:p>
    <w:p w14:paraId="768BCCA7" w14:textId="31D435F1" w:rsidR="00D01ADE" w:rsidRDefault="00D01ADE" w:rsidP="00924E79">
      <w:pPr>
        <w:pStyle w:val="Style1"/>
        <w:jc w:val="both"/>
        <w:rPr>
          <w:color w:val="auto"/>
          <w:sz w:val="24"/>
          <w:szCs w:val="24"/>
        </w:rPr>
        <w:sectPr w:rsidR="00D01ADE" w:rsidSect="00A55C9C">
          <w:type w:val="continuous"/>
          <w:pgSz w:w="11905" w:h="16837" w:code="9"/>
          <w:pgMar w:top="720" w:right="720" w:bottom="720" w:left="720" w:header="720" w:footer="567" w:gutter="0"/>
          <w:cols w:space="720"/>
          <w:noEndnote/>
          <w:rtlGutter/>
        </w:sectPr>
      </w:pPr>
      <w:r>
        <w:rPr>
          <w:color w:val="auto"/>
          <w:sz w:val="24"/>
          <w:szCs w:val="24"/>
        </w:rPr>
        <w:t xml:space="preserve">Wiltshire Police </w:t>
      </w:r>
    </w:p>
    <w:p w14:paraId="7B239F90" w14:textId="77777777" w:rsidR="00A5743C" w:rsidRDefault="00A5743C" w:rsidP="00924E79">
      <w:pPr>
        <w:pStyle w:val="Style1"/>
        <w:jc w:val="both"/>
        <w:rPr>
          <w:color w:val="auto"/>
          <w:sz w:val="24"/>
          <w:szCs w:val="24"/>
        </w:rPr>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DBC1B0F" w14:textId="77777777" w:rsidR="0078309E" w:rsidRDefault="0078309E" w:rsidP="003F01A6">
      <w:pPr>
        <w:pStyle w:val="Style1"/>
      </w:pPr>
    </w:p>
    <w:p w14:paraId="6B9FBE81" w14:textId="55B3CC94"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611FC909" w14:textId="77777777" w:rsidR="0078309E"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p>
    <w:p w14:paraId="3E80D52D" w14:textId="77777777" w:rsidR="0078309E" w:rsidRDefault="0078309E" w:rsidP="00332EE6">
      <w:pPr>
        <w:pStyle w:val="MAPPA-Bodytext"/>
        <w:rPr>
          <w:sz w:val="24"/>
          <w:szCs w:val="24"/>
          <w:lang w:val="en-GB"/>
        </w:rPr>
      </w:pPr>
    </w:p>
    <w:p w14:paraId="7469E0C5" w14:textId="77777777" w:rsidR="0078309E" w:rsidRDefault="0078309E" w:rsidP="00332EE6">
      <w:pPr>
        <w:pStyle w:val="MAPPA-Bodytext"/>
        <w:rPr>
          <w:sz w:val="24"/>
          <w:szCs w:val="24"/>
          <w:lang w:val="en-GB"/>
        </w:rPr>
      </w:pPr>
    </w:p>
    <w:p w14:paraId="1DC760A5" w14:textId="1CE0ECF7" w:rsidR="005C1E3D" w:rsidRDefault="005C1E3D" w:rsidP="00332EE6">
      <w:pPr>
        <w:pStyle w:val="MAPPA-Bodytext"/>
        <w:rPr>
          <w:sz w:val="24"/>
          <w:szCs w:val="24"/>
          <w:lang w:val="en-GB"/>
        </w:rPr>
      </w:pP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324FAE6"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814</w:t>
            </w:r>
          </w:p>
        </w:tc>
        <w:tc>
          <w:tcPr>
            <w:tcW w:w="2186" w:type="dxa"/>
          </w:tcPr>
          <w:p w14:paraId="1638E0FC" w14:textId="3D021914"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155</w:t>
            </w:r>
          </w:p>
        </w:tc>
        <w:tc>
          <w:tcPr>
            <w:tcW w:w="2186" w:type="dxa"/>
          </w:tcPr>
          <w:p w14:paraId="1F1BCFAF" w14:textId="1488DCA6"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08FB1F87" w14:textId="3AAAFAE2"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969</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C678AC4"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10F8D0CE" w14:textId="3B4352CD"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46F3891" w14:textId="20CC54E5"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9D9E254" w14:textId="59E1A789"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40E52483"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31B68517"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421C927B"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5D2C4B54"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85774C0"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814</w:t>
            </w:r>
          </w:p>
        </w:tc>
        <w:tc>
          <w:tcPr>
            <w:tcW w:w="2186" w:type="dxa"/>
          </w:tcPr>
          <w:p w14:paraId="4B320A3C" w14:textId="2E26D4AD"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59BF82DA" w14:textId="22B9AC0B"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30BC3FB" w14:textId="4809E881" w:rsidR="006F27F5" w:rsidRPr="00523CF4" w:rsidRDefault="0078309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3D5B8A0"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31D96FE" w14:textId="781314A4"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413645CC" w14:textId="548D038A"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5A206D70" w14:textId="29DA3955"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3D62FEC"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3AF9337F"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053962E9"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66FC4C00" w14:textId="05943AF9"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7D38380E"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5D543B3B" w14:textId="482A912E"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03713ACD" w14:textId="22A4ECCC"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c>
          <w:tcPr>
            <w:tcW w:w="2186" w:type="dxa"/>
          </w:tcPr>
          <w:p w14:paraId="29E98152" w14:textId="71BB532D" w:rsidR="00AA3E8E" w:rsidRPr="00523CF4" w:rsidRDefault="009F306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3A72DB10" w:rsidR="00332EE6" w:rsidRPr="00523CF4" w:rsidRDefault="009F306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4437D8C2" w:rsidR="00052623" w:rsidRPr="00523CF4" w:rsidRDefault="009F306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0545B378" w:rsidR="00332EE6" w:rsidRPr="00523CF4" w:rsidRDefault="009F306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88402D4" w:rsidR="00A231D9" w:rsidRPr="00523CF4" w:rsidRDefault="009F306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117</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B6D37F7" w:rsidR="00A231D9" w:rsidRPr="00523CF4" w:rsidRDefault="009F306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808B401" w:rsidR="00A231D9" w:rsidRPr="00523CF4" w:rsidRDefault="009F306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10EE69D3" w:rsidR="00332EE6" w:rsidRPr="00523CF4" w:rsidRDefault="009F306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55E86DD" w:rsidR="00AA3E8E" w:rsidRPr="00523CF4" w:rsidRDefault="009F306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F9E68F" w14:textId="3668A381" w:rsidR="00AA3E8E" w:rsidRPr="00523CF4" w:rsidRDefault="009F306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720ECB5F" w14:textId="67554FD2" w:rsidR="00AA3E8E" w:rsidRPr="00523CF4" w:rsidRDefault="009F306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0F28321" w:rsidR="00AA3E8E" w:rsidRPr="00523CF4" w:rsidRDefault="009F3060" w:rsidP="00B06F75">
            <w:pPr>
              <w:pStyle w:val="MAPPA-Tabletext"/>
              <w:jc w:val="right"/>
              <w:rPr>
                <w:b w:val="0"/>
                <w:bCs w:val="0"/>
                <w:sz w:val="24"/>
                <w:szCs w:val="24"/>
                <w:lang w:val="en-GB"/>
              </w:rPr>
            </w:pPr>
            <w:r>
              <w:rPr>
                <w:b w:val="0"/>
                <w:bCs w:val="0"/>
                <w:sz w:val="24"/>
                <w:szCs w:val="24"/>
                <w:lang w:val="en-GB"/>
              </w:rPr>
              <w:t>14</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129D5CE9" w:rsidR="00AA3E8E" w:rsidRPr="00523CF4" w:rsidRDefault="009F306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3A021AE8" w:rsidR="00AA3E8E" w:rsidRPr="00523CF4" w:rsidRDefault="009F306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7DCEFBF6" w:rsidR="00AA3E8E" w:rsidRPr="00523CF4" w:rsidRDefault="009F306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8A509BA" w:rsidR="00AA3E8E" w:rsidRPr="00523CF4" w:rsidRDefault="009F3060"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E72D3B3" w:rsidR="00AA3E8E" w:rsidRPr="00523CF4" w:rsidRDefault="009F306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184256C5" w14:textId="56305D88" w:rsidR="00AA3E8E" w:rsidRPr="00523CF4" w:rsidRDefault="009F306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44078787" w14:textId="18810CA4" w:rsidR="00AA3E8E" w:rsidRPr="00523CF4" w:rsidRDefault="009F306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812B917" w:rsidR="00AA3E8E" w:rsidRPr="00523CF4" w:rsidRDefault="009F3060" w:rsidP="00B06F75">
            <w:pPr>
              <w:pStyle w:val="MAPPA-Tabletext"/>
              <w:jc w:val="right"/>
              <w:rPr>
                <w:b w:val="0"/>
                <w:bCs w:val="0"/>
                <w:sz w:val="24"/>
                <w:szCs w:val="24"/>
                <w:lang w:val="en-GB"/>
              </w:rPr>
            </w:pPr>
            <w:r>
              <w:rPr>
                <w:b w:val="0"/>
                <w:bCs w:val="0"/>
                <w:sz w:val="24"/>
                <w:szCs w:val="24"/>
                <w:lang w:val="en-GB"/>
              </w:rPr>
              <w:t>14</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1539F8B" w:rsidR="00FA3513" w:rsidRPr="00523CF4" w:rsidRDefault="009F3060"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FB9D397" w:rsidR="00FA3513" w:rsidRPr="00523CF4" w:rsidRDefault="00070BA4"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6F72045" w:rsidR="00FA3513" w:rsidRPr="00523CF4" w:rsidRDefault="00070BA4"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3C7A0482" w:rsidR="00332EE6" w:rsidRPr="004265C9" w:rsidRDefault="008B5DD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119</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1ECD335D" w14:textId="77777777" w:rsidR="00495F0F" w:rsidRDefault="00495F0F" w:rsidP="00332EE6">
      <w:pPr>
        <w:pStyle w:val="MAPPA-HeadingPara"/>
        <w:rPr>
          <w:color w:val="auto"/>
          <w:sz w:val="24"/>
          <w:lang w:val="en-GB"/>
        </w:rPr>
      </w:pPr>
    </w:p>
    <w:p w14:paraId="7AD303AF" w14:textId="77777777" w:rsidR="00495F0F" w:rsidRDefault="00495F0F" w:rsidP="00495F0F">
      <w:pPr>
        <w:pStyle w:val="MAPPA-HeadingPara"/>
        <w:rPr>
          <w:color w:val="auto"/>
          <w:sz w:val="24"/>
          <w:lang w:val="en-GB"/>
        </w:rPr>
      </w:pPr>
      <w:r w:rsidRPr="00495F0F">
        <w:rPr>
          <w:color w:val="auto"/>
          <w:sz w:val="24"/>
          <w:lang w:val="en-GB"/>
        </w:rPr>
        <w:t xml:space="preserve">This year, the offence of </w:t>
      </w:r>
      <w:r w:rsidRPr="00495F0F">
        <w:rPr>
          <w:i/>
          <w:iCs/>
          <w:color w:val="auto"/>
          <w:sz w:val="24"/>
          <w:lang w:val="en-GB"/>
        </w:rPr>
        <w:t>Coercive and Controlling Behaviour</w:t>
      </w:r>
      <w:r w:rsidRPr="00495F0F">
        <w:rPr>
          <w:color w:val="auto"/>
          <w:sz w:val="24"/>
          <w:lang w:val="en-GB"/>
        </w:rPr>
        <w:t xml:space="preserve"> was added to the MAPPA eligible offences list, marking a significant development in recognising the risks associated with non-physical forms of abuse. This inclusion enables agencies to refer individuals convicted of this offence for multi-agency management under MAPPA, where appropriate. It strengthens our ability to assess and manage risk in domestic abuse cases, enhances victim safeguarding, and promotes a more comprehensive approach to public protection. The change also supports improved consistency in how such cases are identified and managed across partner agencies.</w:t>
      </w:r>
      <w:r>
        <w:rPr>
          <w:color w:val="auto"/>
          <w:sz w:val="24"/>
          <w:lang w:val="en-GB"/>
        </w:rPr>
        <w:t xml:space="preserve"> Data collection around the impact of this within Wiltshire MAPPA area is ongoing and forms part of referral assessment.</w:t>
      </w:r>
    </w:p>
    <w:p w14:paraId="2ACF141C" w14:textId="0C41459E" w:rsidR="00495F0F" w:rsidRDefault="00495F0F" w:rsidP="00495F0F">
      <w:pPr>
        <w:pStyle w:val="MAPPA-HeadingPara"/>
        <w:rPr>
          <w:color w:val="auto"/>
          <w:sz w:val="24"/>
          <w:lang w:val="en-GB"/>
        </w:rPr>
      </w:pPr>
      <w:r>
        <w:rPr>
          <w:color w:val="auto"/>
          <w:sz w:val="24"/>
          <w:lang w:val="en-GB"/>
        </w:rPr>
        <w:t>We have also continued to focus on q</w:t>
      </w:r>
      <w:r w:rsidRPr="00237A6E">
        <w:rPr>
          <w:color w:val="auto"/>
          <w:sz w:val="24"/>
          <w:lang w:val="en-GB"/>
        </w:rPr>
        <w:t xml:space="preserve">uality within MAPPA referrals </w:t>
      </w:r>
      <w:r>
        <w:rPr>
          <w:color w:val="auto"/>
          <w:sz w:val="24"/>
          <w:lang w:val="en-GB"/>
        </w:rPr>
        <w:t xml:space="preserve">which </w:t>
      </w:r>
      <w:r w:rsidRPr="00237A6E">
        <w:rPr>
          <w:color w:val="auto"/>
          <w:sz w:val="24"/>
          <w:lang w:val="en-GB"/>
        </w:rPr>
        <w:t xml:space="preserve">is enhanced through robust screening processes, regular multi-agency training, and reflective practice. Referrals are reviewed to ensure they meet threshold criteria and contain sufficient detail to support effective risk assessment and management. Feedback loops between agencies help identify areas for improvement, while learning from audits, case reviews, and </w:t>
      </w:r>
      <w:r>
        <w:rPr>
          <w:color w:val="auto"/>
          <w:sz w:val="24"/>
          <w:lang w:val="en-GB"/>
        </w:rPr>
        <w:t xml:space="preserve">where appropriate, </w:t>
      </w:r>
      <w:r w:rsidRPr="00237A6E">
        <w:rPr>
          <w:color w:val="auto"/>
          <w:sz w:val="24"/>
          <w:lang w:val="en-GB"/>
        </w:rPr>
        <w:t>Serious Case Reviews informs ongoing development. This collaborative approach ensures that referrals are timely, appropriate, and contribute meaningfully to public protection.</w:t>
      </w:r>
    </w:p>
    <w:p w14:paraId="4CF93DBA" w14:textId="77777777" w:rsidR="00A5743C" w:rsidRDefault="000F516B" w:rsidP="00332EE6">
      <w:pPr>
        <w:pStyle w:val="MAPPA-HeadingPara"/>
        <w:rPr>
          <w:color w:val="auto"/>
          <w:sz w:val="24"/>
          <w:lang w:val="en-GB"/>
        </w:rPr>
      </w:pPr>
      <w:r w:rsidRPr="000F516B">
        <w:rPr>
          <w:color w:val="auto"/>
          <w:sz w:val="24"/>
          <w:lang w:val="en-GB"/>
        </w:rPr>
        <w:t xml:space="preserve">Wiltshire </w:t>
      </w:r>
      <w:r>
        <w:rPr>
          <w:color w:val="auto"/>
          <w:sz w:val="24"/>
          <w:lang w:val="en-GB"/>
        </w:rPr>
        <w:t>Police</w:t>
      </w:r>
      <w:r w:rsidRPr="000F516B">
        <w:rPr>
          <w:color w:val="auto"/>
          <w:sz w:val="24"/>
          <w:lang w:val="en-GB"/>
        </w:rPr>
        <w:t xml:space="preserve"> has welcomed a new senior management team this year</w:t>
      </w:r>
      <w:r>
        <w:rPr>
          <w:color w:val="auto"/>
          <w:sz w:val="24"/>
          <w:lang w:val="en-GB"/>
        </w:rPr>
        <w:t xml:space="preserve"> within their Offender Management and MAPPA structure</w:t>
      </w:r>
      <w:r w:rsidRPr="000F516B">
        <w:rPr>
          <w:color w:val="auto"/>
          <w:sz w:val="24"/>
          <w:lang w:val="en-GB"/>
        </w:rPr>
        <w:t>, bringing fresh leadership and renewed strategic focus to multi-agency working.</w:t>
      </w:r>
      <w:r>
        <w:rPr>
          <w:color w:val="auto"/>
          <w:sz w:val="24"/>
          <w:lang w:val="en-GB"/>
        </w:rPr>
        <w:t xml:space="preserve"> Alongside the Co-ordinator,</w:t>
      </w:r>
      <w:r w:rsidRPr="000F516B">
        <w:rPr>
          <w:color w:val="auto"/>
          <w:sz w:val="24"/>
          <w:lang w:val="en-GB"/>
        </w:rPr>
        <w:t xml:space="preserve"> </w:t>
      </w:r>
      <w:r>
        <w:rPr>
          <w:color w:val="auto"/>
          <w:sz w:val="24"/>
          <w:lang w:val="en-GB"/>
        </w:rPr>
        <w:t>t</w:t>
      </w:r>
      <w:r w:rsidRPr="000F516B">
        <w:rPr>
          <w:color w:val="auto"/>
          <w:sz w:val="24"/>
          <w:lang w:val="en-GB"/>
        </w:rPr>
        <w:t xml:space="preserve">he team has prioritised strengthening MAPPA oversight, enhancing partnership engagement, and driving continuous improvement across public protection functions. Early collaboration has already led to clearer governance structures </w:t>
      </w:r>
    </w:p>
    <w:p w14:paraId="79E69E80" w14:textId="77777777" w:rsidR="00A5743C" w:rsidRDefault="00A5743C" w:rsidP="00332EE6">
      <w:pPr>
        <w:pStyle w:val="MAPPA-HeadingPara"/>
        <w:rPr>
          <w:color w:val="auto"/>
          <w:sz w:val="24"/>
          <w:lang w:val="en-GB"/>
        </w:rPr>
      </w:pPr>
    </w:p>
    <w:p w14:paraId="576463D1" w14:textId="10C1E7CF" w:rsidR="000F516B" w:rsidRDefault="000F516B" w:rsidP="00332EE6">
      <w:pPr>
        <w:pStyle w:val="MAPPA-HeadingPara"/>
        <w:rPr>
          <w:color w:val="auto"/>
          <w:sz w:val="24"/>
          <w:lang w:val="en-GB"/>
        </w:rPr>
      </w:pPr>
      <w:r w:rsidRPr="000F516B">
        <w:rPr>
          <w:color w:val="auto"/>
          <w:sz w:val="24"/>
          <w:lang w:val="en-GB"/>
        </w:rPr>
        <w:t>and a more proactive approach to risk management</w:t>
      </w:r>
      <w:r>
        <w:rPr>
          <w:color w:val="auto"/>
          <w:sz w:val="24"/>
          <w:lang w:val="en-GB"/>
        </w:rPr>
        <w:t xml:space="preserve"> and has included new incentivised risk management groups focusing on early engagement and risk management. </w:t>
      </w:r>
    </w:p>
    <w:p w14:paraId="4B41A4D1" w14:textId="77777777" w:rsidR="003C22CF" w:rsidRDefault="003C22CF" w:rsidP="003C22CF">
      <w:pPr>
        <w:pStyle w:val="MAPPA-HeadingPara"/>
        <w:rPr>
          <w:color w:val="auto"/>
          <w:sz w:val="24"/>
          <w:lang w:val="en-GB"/>
        </w:rPr>
      </w:pPr>
      <w:r w:rsidRPr="000C0899">
        <w:rPr>
          <w:color w:val="auto"/>
          <w:sz w:val="24"/>
          <w:lang w:val="en-GB"/>
        </w:rPr>
        <w:t>The audit findings for this reporting period were highly positive, confirming that MAPPA processes are being delivered effectively and in line with national standards. Key areas such as risk management, multi-agency collaboration, and case oversight were commended, with no significant concerns raised. These results reflect the strong commitment of all partners to public protection and continuous improvement.</w:t>
      </w:r>
      <w:r>
        <w:rPr>
          <w:color w:val="auto"/>
          <w:sz w:val="24"/>
          <w:lang w:val="en-GB"/>
        </w:rPr>
        <w:t xml:space="preserve"> </w:t>
      </w:r>
    </w:p>
    <w:p w14:paraId="2AB40C6B" w14:textId="1803E133" w:rsidR="00237A6E" w:rsidRDefault="00237A6E" w:rsidP="00332EE6">
      <w:pPr>
        <w:pStyle w:val="MAPPA-HeadingPara"/>
        <w:rPr>
          <w:color w:val="auto"/>
          <w:sz w:val="24"/>
          <w:lang w:val="en-GB"/>
        </w:rPr>
      </w:pPr>
      <w:r w:rsidRPr="00237A6E">
        <w:rPr>
          <w:color w:val="auto"/>
          <w:sz w:val="24"/>
          <w:lang w:val="en-GB"/>
        </w:rPr>
        <w:t xml:space="preserve">Partner agencies </w:t>
      </w:r>
      <w:r w:rsidR="003C22CF">
        <w:rPr>
          <w:color w:val="auto"/>
          <w:sz w:val="24"/>
          <w:lang w:val="en-GB"/>
        </w:rPr>
        <w:t xml:space="preserve">within Wiltshire </w:t>
      </w:r>
      <w:r>
        <w:rPr>
          <w:color w:val="auto"/>
          <w:sz w:val="24"/>
          <w:lang w:val="en-GB"/>
        </w:rPr>
        <w:t>have been</w:t>
      </w:r>
      <w:r w:rsidRPr="00237A6E">
        <w:rPr>
          <w:color w:val="auto"/>
          <w:sz w:val="24"/>
          <w:lang w:val="en-GB"/>
        </w:rPr>
        <w:t xml:space="preserve"> supported through a </w:t>
      </w:r>
      <w:r>
        <w:rPr>
          <w:color w:val="auto"/>
          <w:sz w:val="24"/>
          <w:lang w:val="en-GB"/>
        </w:rPr>
        <w:t xml:space="preserve">local, </w:t>
      </w:r>
      <w:r w:rsidRPr="00237A6E">
        <w:rPr>
          <w:color w:val="auto"/>
          <w:sz w:val="24"/>
          <w:lang w:val="en-GB"/>
        </w:rPr>
        <w:t>structured programme of MAPPA training, which includes induction sessions</w:t>
      </w:r>
      <w:r>
        <w:rPr>
          <w:color w:val="auto"/>
          <w:sz w:val="24"/>
          <w:lang w:val="en-GB"/>
        </w:rPr>
        <w:t xml:space="preserve"> and </w:t>
      </w:r>
      <w:r w:rsidRPr="00237A6E">
        <w:rPr>
          <w:color w:val="auto"/>
          <w:sz w:val="24"/>
          <w:lang w:val="en-GB"/>
        </w:rPr>
        <w:t>refresher workshops</w:t>
      </w:r>
      <w:r>
        <w:rPr>
          <w:color w:val="auto"/>
          <w:sz w:val="24"/>
          <w:lang w:val="en-GB"/>
        </w:rPr>
        <w:t xml:space="preserve"> </w:t>
      </w:r>
      <w:r w:rsidRPr="00237A6E">
        <w:rPr>
          <w:color w:val="auto"/>
          <w:sz w:val="24"/>
          <w:lang w:val="en-GB"/>
        </w:rPr>
        <w:t>tailored to emerging risks and learning. Training is designed</w:t>
      </w:r>
      <w:r>
        <w:rPr>
          <w:color w:val="auto"/>
          <w:sz w:val="24"/>
          <w:lang w:val="en-GB"/>
        </w:rPr>
        <w:t xml:space="preserve"> with a bespoke focus to each of our agencies</w:t>
      </w:r>
      <w:r w:rsidRPr="00237A6E">
        <w:rPr>
          <w:color w:val="auto"/>
          <w:sz w:val="24"/>
          <w:lang w:val="en-GB"/>
        </w:rPr>
        <w:t xml:space="preserve"> to enhance understanding of MAPPA processes, thresholds, and roles, ensuring consistent and informed referrals. We </w:t>
      </w:r>
      <w:r>
        <w:rPr>
          <w:color w:val="auto"/>
          <w:sz w:val="24"/>
          <w:lang w:val="en-GB"/>
        </w:rPr>
        <w:t>have also</w:t>
      </w:r>
      <w:r w:rsidRPr="00237A6E">
        <w:rPr>
          <w:color w:val="auto"/>
          <w:sz w:val="24"/>
          <w:lang w:val="en-GB"/>
        </w:rPr>
        <w:t xml:space="preserve"> work</w:t>
      </w:r>
      <w:r>
        <w:rPr>
          <w:color w:val="auto"/>
          <w:sz w:val="24"/>
          <w:lang w:val="en-GB"/>
        </w:rPr>
        <w:t>ed</w:t>
      </w:r>
      <w:r w:rsidRPr="00237A6E">
        <w:rPr>
          <w:color w:val="auto"/>
          <w:sz w:val="24"/>
          <w:lang w:val="en-GB"/>
        </w:rPr>
        <w:t xml:space="preserve"> collaboratively with agencies to review referral quality, provide constructive feedback, and share best practice. This joint approach fosters a culture of continuous improvement and strengthens multi-agency working in the interest of public protection.</w:t>
      </w:r>
    </w:p>
    <w:p w14:paraId="6C370BDD" w14:textId="77777777" w:rsidR="00A55C9C" w:rsidRDefault="00237A6E" w:rsidP="00332EE6">
      <w:pPr>
        <w:pStyle w:val="MAPPA-HeadingPara"/>
        <w:rPr>
          <w:color w:val="auto"/>
          <w:sz w:val="24"/>
          <w:lang w:val="en-GB"/>
        </w:rPr>
        <w:sectPr w:rsidR="00A55C9C" w:rsidSect="00867C9E">
          <w:type w:val="continuous"/>
          <w:pgSz w:w="11905" w:h="16837" w:code="9"/>
          <w:pgMar w:top="720" w:right="720" w:bottom="720" w:left="720" w:header="720" w:footer="567" w:gutter="0"/>
          <w:cols w:num="2" w:space="720"/>
          <w:noEndnote/>
        </w:sectPr>
      </w:pPr>
      <w:r>
        <w:rPr>
          <w:color w:val="auto"/>
          <w:sz w:val="24"/>
          <w:lang w:val="en-GB"/>
        </w:rPr>
        <w:t xml:space="preserve">Of particular note has been working in combination with Avon and Somerset MAPPA area, along with our Health partners to give focus to the arrangements and day to day working within </w:t>
      </w:r>
      <w:r w:rsidR="000F516B">
        <w:rPr>
          <w:color w:val="auto"/>
          <w:sz w:val="24"/>
          <w:lang w:val="en-GB"/>
        </w:rPr>
        <w:t xml:space="preserve">the management of Mental Health MAPPA nominals. </w:t>
      </w:r>
      <w:r w:rsidR="003C22CF">
        <w:rPr>
          <w:color w:val="auto"/>
          <w:sz w:val="24"/>
          <w:lang w:val="en-GB"/>
        </w:rPr>
        <w:t xml:space="preserve">A series </w:t>
      </w:r>
      <w:r w:rsidR="00495F0F">
        <w:rPr>
          <w:color w:val="auto"/>
          <w:sz w:val="24"/>
          <w:lang w:val="en-GB"/>
        </w:rPr>
        <w:t xml:space="preserve">of </w:t>
      </w:r>
      <w:r w:rsidR="00495F0F" w:rsidRPr="00237A6E">
        <w:rPr>
          <w:color w:val="auto"/>
          <w:sz w:val="24"/>
          <w:lang w:val="en-GB"/>
        </w:rPr>
        <w:t>internal</w:t>
      </w:r>
      <w:r w:rsidR="008F74BC">
        <w:rPr>
          <w:color w:val="auto"/>
          <w:sz w:val="24"/>
          <w:lang w:val="en-GB"/>
        </w:rPr>
        <w:t xml:space="preserve"> workshops</w:t>
      </w:r>
      <w:r w:rsidRPr="00237A6E">
        <w:rPr>
          <w:color w:val="auto"/>
          <w:sz w:val="24"/>
          <w:lang w:val="en-GB"/>
        </w:rPr>
        <w:t xml:space="preserve"> w</w:t>
      </w:r>
      <w:r w:rsidR="003C22CF">
        <w:rPr>
          <w:color w:val="auto"/>
          <w:sz w:val="24"/>
          <w:lang w:val="en-GB"/>
        </w:rPr>
        <w:t>ere</w:t>
      </w:r>
      <w:r w:rsidRPr="00237A6E">
        <w:rPr>
          <w:color w:val="auto"/>
          <w:sz w:val="24"/>
          <w:lang w:val="en-GB"/>
        </w:rPr>
        <w:t xml:space="preserve"> delivered in collaboration with our </w:t>
      </w:r>
      <w:r w:rsidR="008007D1">
        <w:rPr>
          <w:color w:val="auto"/>
          <w:sz w:val="24"/>
          <w:lang w:val="en-GB"/>
        </w:rPr>
        <w:t xml:space="preserve">Mental </w:t>
      </w:r>
      <w:r w:rsidR="003C22CF">
        <w:rPr>
          <w:color w:val="auto"/>
          <w:sz w:val="24"/>
          <w:lang w:val="en-GB"/>
        </w:rPr>
        <w:t xml:space="preserve">Health </w:t>
      </w:r>
      <w:r w:rsidR="008F74BC">
        <w:rPr>
          <w:color w:val="auto"/>
          <w:sz w:val="24"/>
          <w:lang w:val="en-GB"/>
        </w:rPr>
        <w:t>Trust</w:t>
      </w:r>
      <w:r w:rsidRPr="00237A6E">
        <w:rPr>
          <w:color w:val="auto"/>
          <w:sz w:val="24"/>
          <w:lang w:val="en-GB"/>
        </w:rPr>
        <w:t>, Avon and Wiltshire Partnership (AWP), and focused on reviewing local MAPPA arrangements. Together,</w:t>
      </w:r>
      <w:r w:rsidR="00B123BA">
        <w:rPr>
          <w:color w:val="auto"/>
          <w:sz w:val="24"/>
          <w:lang w:val="en-GB"/>
        </w:rPr>
        <w:t xml:space="preserve"> opportunities were</w:t>
      </w:r>
      <w:r w:rsidRPr="00237A6E">
        <w:rPr>
          <w:color w:val="auto"/>
          <w:sz w:val="24"/>
          <w:lang w:val="en-GB"/>
        </w:rPr>
        <w:t xml:space="preserve"> explored to enhance the quality and consistency of referrals, as well as strengthen data management and case oversight within the </w:t>
      </w:r>
    </w:p>
    <w:p w14:paraId="43CAD394" w14:textId="77777777" w:rsidR="00A55C9C" w:rsidRDefault="00A55C9C" w:rsidP="00332EE6">
      <w:pPr>
        <w:pStyle w:val="MAPPA-HeadingPara"/>
        <w:rPr>
          <w:color w:val="auto"/>
          <w:sz w:val="24"/>
          <w:lang w:val="en-GB"/>
        </w:rPr>
      </w:pPr>
    </w:p>
    <w:p w14:paraId="05D14C50" w14:textId="77777777" w:rsidR="00D01ADE" w:rsidRDefault="00D01ADE" w:rsidP="00332EE6">
      <w:pPr>
        <w:pStyle w:val="MAPPA-HeadingPara"/>
        <w:rPr>
          <w:color w:val="auto"/>
          <w:sz w:val="24"/>
          <w:lang w:val="en-GB"/>
        </w:rPr>
        <w:sectPr w:rsidR="00D01ADE" w:rsidSect="00A55C9C">
          <w:type w:val="continuous"/>
          <w:pgSz w:w="11905" w:h="16837" w:code="9"/>
          <w:pgMar w:top="720" w:right="720" w:bottom="720" w:left="720" w:header="720" w:footer="567" w:gutter="0"/>
          <w:cols w:space="720"/>
          <w:noEndnote/>
        </w:sectPr>
      </w:pPr>
    </w:p>
    <w:p w14:paraId="272A9615" w14:textId="22CD949B" w:rsidR="00237A6E" w:rsidRDefault="00237A6E" w:rsidP="00332EE6">
      <w:pPr>
        <w:pStyle w:val="MAPPA-HeadingPara"/>
        <w:rPr>
          <w:color w:val="auto"/>
          <w:sz w:val="24"/>
          <w:lang w:val="en-GB"/>
        </w:rPr>
      </w:pPr>
      <w:r w:rsidRPr="00237A6E">
        <w:rPr>
          <w:color w:val="auto"/>
          <w:sz w:val="24"/>
          <w:lang w:val="en-GB"/>
        </w:rPr>
        <w:t>group. Key outcomes included the development of a</w:t>
      </w:r>
      <w:r w:rsidR="008007D1">
        <w:rPr>
          <w:color w:val="auto"/>
          <w:sz w:val="24"/>
          <w:lang w:val="en-GB"/>
        </w:rPr>
        <w:t xml:space="preserve"> consistent training package for staff,</w:t>
      </w:r>
      <w:r w:rsidRPr="00237A6E">
        <w:rPr>
          <w:color w:val="auto"/>
          <w:sz w:val="24"/>
          <w:lang w:val="en-GB"/>
        </w:rPr>
        <w:t xml:space="preserve"> agreement on improved data recording practices, and a commitment to joint refresher training sessions aimed at reinforcing MAPPA thresholds and expectations.</w:t>
      </w:r>
    </w:p>
    <w:p w14:paraId="7FAD4E11" w14:textId="40C41D26" w:rsidR="00237A6E" w:rsidRDefault="00237A6E" w:rsidP="00332EE6">
      <w:pPr>
        <w:pStyle w:val="MAPPA-HeadingPara"/>
        <w:rPr>
          <w:color w:val="auto"/>
          <w:sz w:val="24"/>
          <w:lang w:val="en-GB"/>
        </w:rPr>
      </w:pPr>
      <w:r w:rsidRPr="00237A6E">
        <w:rPr>
          <w:color w:val="auto"/>
          <w:sz w:val="24"/>
          <w:lang w:val="en-GB"/>
        </w:rPr>
        <w:t>Recruitment of a new MAPPA Lay Advisor was successfully progressed this year, following approval from the National MAPPA Team, ensuring continued community representation and oversight within the strategic management of MAPPA.</w:t>
      </w:r>
    </w:p>
    <w:p w14:paraId="26430228" w14:textId="370CDD39" w:rsidR="00495F0F" w:rsidRDefault="00495F0F" w:rsidP="00332EE6">
      <w:pPr>
        <w:pStyle w:val="MAPPA-HeadingPara"/>
        <w:rPr>
          <w:color w:val="auto"/>
          <w:sz w:val="24"/>
          <w:lang w:val="en-GB"/>
        </w:rPr>
      </w:pPr>
      <w:r w:rsidRPr="00495F0F">
        <w:rPr>
          <w:color w:val="auto"/>
          <w:sz w:val="24"/>
          <w:lang w:val="en-GB"/>
        </w:rPr>
        <w:t>A key focus for the coming year will be the review and refresh of the Local MAPPA Business Plan. This process is essential to ensure that strategic priorities remain aligned with emerging risks, national guidance, and local needs. By revisiting our objectives and actions, we aim to strengthen multi-agency coordination, improve operational delivery, and ensure that resources are targeted effectively. The review will also provide an opportunity to reflect on progress made, identify areas for development, and engage partners in shaping a shared vision for public protection across Wiltshire.</w:t>
      </w:r>
    </w:p>
    <w:p w14:paraId="4969427F" w14:textId="77777777" w:rsidR="00D01ADE" w:rsidRDefault="00D01ADE" w:rsidP="00332EE6">
      <w:pPr>
        <w:pStyle w:val="MAPPA-HeadingPara"/>
        <w:rPr>
          <w:color w:val="auto"/>
          <w:sz w:val="24"/>
          <w:lang w:val="en-GB"/>
        </w:rPr>
        <w:sectPr w:rsidR="00D01ADE" w:rsidSect="00D01ADE">
          <w:type w:val="continuous"/>
          <w:pgSz w:w="11905" w:h="16837" w:code="9"/>
          <w:pgMar w:top="720" w:right="720" w:bottom="720" w:left="720" w:header="720" w:footer="567" w:gutter="0"/>
          <w:cols w:num="2" w:space="720"/>
          <w:noEndnote/>
        </w:sectPr>
      </w:pPr>
    </w:p>
    <w:p w14:paraId="3393B7BC" w14:textId="3BB755B5" w:rsidR="00BB66FD" w:rsidRDefault="00BB66FD" w:rsidP="00332EE6">
      <w:pPr>
        <w:pStyle w:val="MAPPA-HeadingPara"/>
        <w:rPr>
          <w:color w:val="auto"/>
          <w:sz w:val="24"/>
          <w:lang w:val="en-GB"/>
        </w:rPr>
      </w:pPr>
    </w:p>
    <w:p w14:paraId="16CF1E64" w14:textId="77777777" w:rsidR="00A55C9C" w:rsidRDefault="00A55C9C" w:rsidP="00332EE6">
      <w:pPr>
        <w:pStyle w:val="MAPPA-HeadingPara"/>
        <w:rPr>
          <w:color w:val="auto"/>
          <w:sz w:val="24"/>
          <w:lang w:val="en-GB"/>
        </w:rPr>
        <w:sectPr w:rsidR="00A55C9C" w:rsidSect="00A55C9C">
          <w:type w:val="continuous"/>
          <w:pgSz w:w="11905" w:h="16837" w:code="9"/>
          <w:pgMar w:top="720" w:right="720" w:bottom="720" w:left="720" w:header="720" w:footer="567" w:gutter="0"/>
          <w:cols w:space="720"/>
          <w:noEndnote/>
        </w:sectPr>
      </w:pPr>
    </w:p>
    <w:p w14:paraId="11B40691" w14:textId="55D76B16" w:rsidR="00332EE6" w:rsidRPr="00AE7391" w:rsidRDefault="00332EE6" w:rsidP="00332EE6">
      <w:pPr>
        <w:pStyle w:val="MAPPA-HeadingPara"/>
        <w:rPr>
          <w:color w:val="auto"/>
          <w:sz w:val="24"/>
          <w:lang w:val="en-GB"/>
        </w:rPr>
      </w:pPr>
    </w:p>
    <w:p w14:paraId="5B255C0C" w14:textId="14D1C216" w:rsidR="00332EE6" w:rsidRPr="00AE7391" w:rsidRDefault="00332EE6" w:rsidP="00AE7391">
      <w:pPr>
        <w:pStyle w:val="MAPPA-HeadingPara"/>
        <w:rPr>
          <w:sz w:val="24"/>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3"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0BA4"/>
    <w:rsid w:val="000739BA"/>
    <w:rsid w:val="000809B8"/>
    <w:rsid w:val="00080DFC"/>
    <w:rsid w:val="0009323B"/>
    <w:rsid w:val="0009506C"/>
    <w:rsid w:val="000A6775"/>
    <w:rsid w:val="000B3DC7"/>
    <w:rsid w:val="000B6A94"/>
    <w:rsid w:val="000C0899"/>
    <w:rsid w:val="000D082C"/>
    <w:rsid w:val="000E3453"/>
    <w:rsid w:val="000E3C5B"/>
    <w:rsid w:val="000F355B"/>
    <w:rsid w:val="000F516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3DAE"/>
    <w:rsid w:val="00206B09"/>
    <w:rsid w:val="0020762B"/>
    <w:rsid w:val="002171AC"/>
    <w:rsid w:val="00224C51"/>
    <w:rsid w:val="00230E77"/>
    <w:rsid w:val="00233AB5"/>
    <w:rsid w:val="00237A6E"/>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4F55"/>
    <w:rsid w:val="003B63B3"/>
    <w:rsid w:val="003B6695"/>
    <w:rsid w:val="003C0362"/>
    <w:rsid w:val="003C22CF"/>
    <w:rsid w:val="003C36DD"/>
    <w:rsid w:val="003D3D7F"/>
    <w:rsid w:val="003D5C17"/>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95F0F"/>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E5B67"/>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1513"/>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09E"/>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007D1"/>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0FA5"/>
    <w:rsid w:val="008A3A68"/>
    <w:rsid w:val="008B5DD5"/>
    <w:rsid w:val="008C1531"/>
    <w:rsid w:val="008C3C42"/>
    <w:rsid w:val="008C6282"/>
    <w:rsid w:val="008D1CDE"/>
    <w:rsid w:val="008D26FC"/>
    <w:rsid w:val="008E15B2"/>
    <w:rsid w:val="008E2C4B"/>
    <w:rsid w:val="008F243E"/>
    <w:rsid w:val="008F2A10"/>
    <w:rsid w:val="008F69D6"/>
    <w:rsid w:val="008F74BC"/>
    <w:rsid w:val="00900E5D"/>
    <w:rsid w:val="0090299B"/>
    <w:rsid w:val="00904927"/>
    <w:rsid w:val="0091273E"/>
    <w:rsid w:val="00912A31"/>
    <w:rsid w:val="009134FD"/>
    <w:rsid w:val="00913F81"/>
    <w:rsid w:val="00916D29"/>
    <w:rsid w:val="0092048C"/>
    <w:rsid w:val="00924E79"/>
    <w:rsid w:val="009311B4"/>
    <w:rsid w:val="00934DF5"/>
    <w:rsid w:val="009365BE"/>
    <w:rsid w:val="00940740"/>
    <w:rsid w:val="009423B9"/>
    <w:rsid w:val="009451A3"/>
    <w:rsid w:val="00953406"/>
    <w:rsid w:val="0095383C"/>
    <w:rsid w:val="00962504"/>
    <w:rsid w:val="009644E6"/>
    <w:rsid w:val="00965E28"/>
    <w:rsid w:val="0097154D"/>
    <w:rsid w:val="0097502F"/>
    <w:rsid w:val="00982C08"/>
    <w:rsid w:val="00985C16"/>
    <w:rsid w:val="00986F99"/>
    <w:rsid w:val="009934FE"/>
    <w:rsid w:val="009A077B"/>
    <w:rsid w:val="009A2F9E"/>
    <w:rsid w:val="009A51C1"/>
    <w:rsid w:val="009B2502"/>
    <w:rsid w:val="009B6413"/>
    <w:rsid w:val="009B7898"/>
    <w:rsid w:val="009C1BE0"/>
    <w:rsid w:val="009C1ED5"/>
    <w:rsid w:val="009C3B63"/>
    <w:rsid w:val="009C3D25"/>
    <w:rsid w:val="009C6961"/>
    <w:rsid w:val="009D37D4"/>
    <w:rsid w:val="009E77A2"/>
    <w:rsid w:val="009F0030"/>
    <w:rsid w:val="009F12C4"/>
    <w:rsid w:val="009F3060"/>
    <w:rsid w:val="009F3A55"/>
    <w:rsid w:val="00A02438"/>
    <w:rsid w:val="00A06CCA"/>
    <w:rsid w:val="00A11B78"/>
    <w:rsid w:val="00A1656D"/>
    <w:rsid w:val="00A231D9"/>
    <w:rsid w:val="00A23250"/>
    <w:rsid w:val="00A24965"/>
    <w:rsid w:val="00A34DE7"/>
    <w:rsid w:val="00A40FC6"/>
    <w:rsid w:val="00A44770"/>
    <w:rsid w:val="00A55C9C"/>
    <w:rsid w:val="00A55FDE"/>
    <w:rsid w:val="00A5743C"/>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E7391"/>
    <w:rsid w:val="00AF7C22"/>
    <w:rsid w:val="00B01E0C"/>
    <w:rsid w:val="00B0446D"/>
    <w:rsid w:val="00B06F75"/>
    <w:rsid w:val="00B123BA"/>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6FD"/>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1E1B"/>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1ADE"/>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E487F"/>
    <w:rsid w:val="00DF1F1D"/>
    <w:rsid w:val="00E03F8D"/>
    <w:rsid w:val="00E17754"/>
    <w:rsid w:val="00E20257"/>
    <w:rsid w:val="00E27F78"/>
    <w:rsid w:val="00E32C81"/>
    <w:rsid w:val="00E50500"/>
    <w:rsid w:val="00E53FDC"/>
    <w:rsid w:val="00E6063B"/>
    <w:rsid w:val="00E6461E"/>
    <w:rsid w:val="00E653CC"/>
    <w:rsid w:val="00E75826"/>
    <w:rsid w:val="00E758B3"/>
    <w:rsid w:val="00EA28A2"/>
    <w:rsid w:val="00EA5086"/>
    <w:rsid w:val="00EA59CB"/>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407"/>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96087">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3150</Words>
  <Characters>17182</Characters>
  <Application>Microsoft Office Word</Application>
  <DocSecurity>4</DocSecurity>
  <Lines>668</Lines>
  <Paragraphs>170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2025-10-27T12:02:00Z</dcterms:created>
  <dcterms:modified xsi:type="dcterms:W3CDTF">2025-10-27T12:02:00Z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