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710AAEB8">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1FEFCB8B" w:rsidR="003C0362" w:rsidRPr="00D5409B" w:rsidRDefault="00972F58" w:rsidP="00D5409B">
      <w:pPr>
        <w:pStyle w:val="Heading1"/>
        <w:rPr>
          <w:rStyle w:val="IntenseReference"/>
          <w:b w:val="0"/>
          <w:bCs w:val="0"/>
          <w:smallCaps w:val="0"/>
          <w:color w:val="7030A0"/>
          <w:spacing w:val="0"/>
        </w:rPr>
      </w:pPr>
      <w:r>
        <w:rPr>
          <w:rStyle w:val="IntenseReference"/>
          <w:b w:val="0"/>
          <w:bCs w:val="0"/>
          <w:smallCaps w:val="0"/>
          <w:color w:val="7030A0"/>
          <w:spacing w:val="0"/>
        </w:rPr>
        <w:t>Surrey</w:t>
      </w:r>
    </w:p>
    <w:p w14:paraId="3BD9C663" w14:textId="4D605A61" w:rsidR="009311B4" w:rsidRPr="0069414D" w:rsidRDefault="00597335" w:rsidP="00233AB5">
      <w:pPr>
        <w:pStyle w:val="Default"/>
        <w:rPr>
          <w:rFonts w:ascii="Arial" w:hAnsi="Arial" w:cs="Arial"/>
          <w:color w:val="7030A0"/>
          <w:sz w:val="68"/>
          <w:szCs w:val="68"/>
        </w:rPr>
      </w:pPr>
      <w:r>
        <w:rPr>
          <w:noProof/>
        </w:rPr>
        <w:drawing>
          <wp:anchor distT="0" distB="0" distL="114300" distR="114300" simplePos="0" relativeHeight="251660288" behindDoc="0" locked="0" layoutInCell="1" allowOverlap="1" wp14:anchorId="76B82AAF" wp14:editId="67D91EE1">
            <wp:simplePos x="0" y="0"/>
            <wp:positionH relativeFrom="column">
              <wp:posOffset>662305</wp:posOffset>
            </wp:positionH>
            <wp:positionV relativeFrom="paragraph">
              <wp:posOffset>516255</wp:posOffset>
            </wp:positionV>
            <wp:extent cx="6350400" cy="3592800"/>
            <wp:effectExtent l="0" t="0" r="0" b="8255"/>
            <wp:wrapTopAndBottom/>
            <wp:docPr id="144615774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57745"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6350400" cy="359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2662F5" w14:textId="77777777" w:rsidR="00597335" w:rsidRDefault="003C0362" w:rsidP="008D1CDE">
      <w:pPr>
        <w:pStyle w:val="Heading1"/>
      </w:pPr>
      <w:r w:rsidRPr="0069414D">
        <w:t>Annual Report</w:t>
      </w:r>
      <w:r w:rsidR="00597335">
        <w:t xml:space="preserve"> </w:t>
      </w:r>
    </w:p>
    <w:p w14:paraId="33C8252F" w14:textId="09ED56C4" w:rsidR="009311B4" w:rsidRDefault="00597335" w:rsidP="008D1CDE">
      <w:pPr>
        <w:pStyle w:val="Heading1"/>
      </w:pPr>
      <w:r>
        <w:t>2024-2025</w:t>
      </w:r>
    </w:p>
    <w:p w14:paraId="5681D774" w14:textId="2B8E5BB4" w:rsidR="00C260DF" w:rsidRDefault="00CD0AE4" w:rsidP="00CD0AE4">
      <w:pPr>
        <w:spacing w:line="240" w:lineRule="atLeast"/>
        <w:jc w:val="right"/>
      </w:pPr>
      <w:r>
        <w:rPr>
          <w:noProof/>
        </w:rPr>
        <w:drawing>
          <wp:inline distT="0" distB="0" distL="0" distR="0" wp14:anchorId="27438F79" wp14:editId="328CC0BD">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5676B1AC" w14:textId="77777777" w:rsidR="00F5029A" w:rsidRDefault="00F5029A" w:rsidP="00F5029A">
      <w:pPr>
        <w:rPr>
          <w:rFonts w:cs="Arial"/>
        </w:rPr>
      </w:pPr>
      <w:r>
        <w:rPr>
          <w:rFonts w:cs="Arial"/>
        </w:rPr>
        <w:t>This report is presented on behalf of the Surrey and Sussex Strategic Management Board, highlighting the performance and practice development of Multi-Agency Public Protection Arrangements in Surrey, West Sussex, East Sussex and Brighton and Hove Unitary Authority.</w:t>
      </w:r>
    </w:p>
    <w:p w14:paraId="228B0A06" w14:textId="77777777" w:rsidR="00F5029A" w:rsidRDefault="00F5029A" w:rsidP="00F5029A">
      <w:pPr>
        <w:rPr>
          <w:rFonts w:cs="Arial"/>
        </w:rPr>
      </w:pPr>
      <w:r>
        <w:rPr>
          <w:rFonts w:cs="Arial"/>
        </w:rPr>
        <w:t>The role of the Strategic Management Board (SMB) is to provide oversight and assurance of effective public protection arrangements in the counties. The SMB is made up of the three Responsible Authorities (RA), who are the Police, the Probation Service and the Prison Service. Alongside the responsible authorities are key Duty to Co-operate agencies (DTC), who include partners from Child and Adult Safeguarding, Youth Offending Services, Health, Department of Work and Pensions, Local Authority Housing and Home Office Immigration Enforcement. The SMB meets three to four times a year to review progress and to ensure effective and efficient arrangements are in place to achieve the priority of protecting the public from harm caused by those subject to MAPP arrangements and to reduce their re-offending.</w:t>
      </w:r>
    </w:p>
    <w:p w14:paraId="4B0C494B" w14:textId="77777777" w:rsidR="00F5029A" w:rsidRDefault="00F5029A" w:rsidP="00F5029A">
      <w:pPr>
        <w:rPr>
          <w:rFonts w:cs="Arial"/>
        </w:rPr>
      </w:pPr>
      <w:r w:rsidRPr="00444452">
        <w:rPr>
          <w:rFonts w:cs="Arial"/>
        </w:rPr>
        <w:t xml:space="preserve">As with every year, the significant majority of offenders who fall under </w:t>
      </w:r>
      <w:r>
        <w:rPr>
          <w:rFonts w:cs="Arial"/>
        </w:rPr>
        <w:t>M</w:t>
      </w:r>
      <w:r w:rsidRPr="00444452">
        <w:rPr>
          <w:rFonts w:cs="Arial"/>
        </w:rPr>
        <w:t>ulti</w:t>
      </w:r>
      <w:r>
        <w:rPr>
          <w:rFonts w:cs="Arial"/>
        </w:rPr>
        <w:t>-</w:t>
      </w:r>
      <w:r w:rsidRPr="00444452">
        <w:rPr>
          <w:rFonts w:cs="Arial"/>
        </w:rPr>
        <w:t xml:space="preserve">Agency </w:t>
      </w:r>
      <w:r>
        <w:rPr>
          <w:rFonts w:cs="Arial"/>
        </w:rPr>
        <w:t>P</w:t>
      </w:r>
      <w:r w:rsidRPr="00444452">
        <w:rPr>
          <w:rFonts w:cs="Arial"/>
        </w:rPr>
        <w:t xml:space="preserve">ublic </w:t>
      </w:r>
      <w:r>
        <w:rPr>
          <w:rFonts w:cs="Arial"/>
        </w:rPr>
        <w:t>P</w:t>
      </w:r>
      <w:r w:rsidRPr="00444452">
        <w:rPr>
          <w:rFonts w:cs="Arial"/>
        </w:rPr>
        <w:t xml:space="preserve">rotection Arrangements </w:t>
      </w:r>
      <w:r>
        <w:rPr>
          <w:rFonts w:cs="Arial"/>
        </w:rPr>
        <w:t xml:space="preserve">(MAPPA) at any one time </w:t>
      </w:r>
      <w:r w:rsidRPr="00444452">
        <w:rPr>
          <w:rFonts w:cs="Arial"/>
        </w:rPr>
        <w:t xml:space="preserve">are Registered Sex Offenders. </w:t>
      </w:r>
      <w:r>
        <w:rPr>
          <w:rFonts w:cs="Arial"/>
        </w:rPr>
        <w:t>These offenders, or ‘nominals’ as they are known, fall under MAPPA Category 1. Violent offenders are identified as Category 2.</w:t>
      </w:r>
    </w:p>
    <w:p w14:paraId="7AE1B3E1" w14:textId="77777777" w:rsidR="00F5029A" w:rsidRDefault="00F5029A" w:rsidP="00F5029A">
      <w:pPr>
        <w:rPr>
          <w:rFonts w:cs="Arial"/>
        </w:rPr>
      </w:pPr>
      <w:r>
        <w:rPr>
          <w:rFonts w:cs="Arial"/>
        </w:rPr>
        <w:t xml:space="preserve">There are a number of reasons for the higher number of Category 1 nominals, and it doesn’t necessarily mean there are more sexual than violent offenders in Surrey or Sussex. To be registered as a Category 2 nominal, the offender must have been sentenced to a period of 12 months custody or more. Category 1 nominals, however, can be sentenced to less than 12 months custody or subject to a community order, and still qualify for MAPPA registration. They also tend to be subject to restrictions for longer periods in the community, as a result of ancillary orders such as Sexual Harm Prevention Orders, often running alongside sex offender registration requirements, which in turn results in the nominal being in the MAPPA process for longer periods than other category offenders.  </w:t>
      </w:r>
    </w:p>
    <w:p w14:paraId="10AAB82A" w14:textId="77777777" w:rsidR="00F5029A" w:rsidRDefault="00F5029A" w:rsidP="00F5029A">
      <w:pPr>
        <w:rPr>
          <w:rFonts w:cs="Arial"/>
        </w:rPr>
      </w:pPr>
      <w:r>
        <w:rPr>
          <w:rFonts w:cs="Arial"/>
        </w:rPr>
        <w:t>The Criminal Justice System has been through a period of continuing change in policy and operational delivery. This has included a number of measures to reduce prison capacity pressures, which has in turn required MAPPA to work at pace to manage some earlier than originally anticipated releases.</w:t>
      </w:r>
    </w:p>
    <w:p w14:paraId="2C12CB8C" w14:textId="77777777" w:rsidR="00F5029A" w:rsidRDefault="00F5029A" w:rsidP="00F5029A">
      <w:pPr>
        <w:rPr>
          <w:rFonts w:cs="Arial"/>
        </w:rPr>
      </w:pPr>
      <w:r>
        <w:rPr>
          <w:rFonts w:cs="Arial"/>
        </w:rPr>
        <w:t>During 2024/25, we have broadened our thresholding considerations in accordance with national guidance to include more domestic abuse related offences, falling under our Category 3 ‘Other Dangerous Offender’ definition. This is to not only enhance the wider multi-agency approaches to tacking violence specifically committed against intimate partners, but also to respond robustly to continuing concerns in regard to violence against women and girls. Adult and child safeguarding continues to be our highest priority when overseeing risk management practice in the community, as we further develop our understanding of the growing application of technology in sexual offending, child grooming and within abusive and controlling relationships.</w:t>
      </w:r>
    </w:p>
    <w:p w14:paraId="67C72568" w14:textId="77777777" w:rsidR="00F5029A" w:rsidRDefault="00F5029A" w:rsidP="00F5029A">
      <w:pPr>
        <w:rPr>
          <w:rFonts w:cs="Arial"/>
        </w:rPr>
      </w:pPr>
      <w:r>
        <w:rPr>
          <w:rFonts w:cs="Arial"/>
        </w:rPr>
        <w:t>In our last report, we referenced our improvement plans, to further strengthen the quality of practice by ensuring all those working in and around MAPPA fully understood their responsibilities and their contributions to safe and effective risk management. Our internal audits have indicated a positive trend in enhancing information sharing arrangements, risk assessment, release planning, victim safety arrangements and wider risk management. Whilst there will always be aspects of practice that can be better, the direction of travel is encouraging.</w:t>
      </w:r>
    </w:p>
    <w:p w14:paraId="4E826D2D" w14:textId="77777777" w:rsidR="00F5029A" w:rsidRDefault="00F5029A" w:rsidP="00F5029A">
      <w:pPr>
        <w:rPr>
          <w:rFonts w:cs="Arial"/>
        </w:rPr>
      </w:pPr>
      <w:r>
        <w:rPr>
          <w:rFonts w:cs="Arial"/>
        </w:rPr>
        <w:t>We anticipate that MAPPA in Surrey and Sussex will continue to operate in a challenging and dynamic criminal justice environment. There continue to be operational pressures in our prisons; police have a large number of registered sex offenders to monitor in the community; and workload demands are ever present for the probation service alongside our duty to co-operate agencies. Challenges continue in the areas of safe and appropriate accommodation for offenders and access to health and social care services, particularly for older offenders who present with a range of complex health and social care needs.</w:t>
      </w:r>
    </w:p>
    <w:p w14:paraId="1D211EE9" w14:textId="77777777" w:rsidR="00F5029A" w:rsidRDefault="00F5029A" w:rsidP="00F5029A">
      <w:pPr>
        <w:rPr>
          <w:rFonts w:cs="Arial"/>
        </w:rPr>
      </w:pPr>
      <w:r>
        <w:rPr>
          <w:rFonts w:cs="Arial"/>
        </w:rPr>
        <w:t>We remain confident, however, our both our capacity and ability to successfully navigate these challenges and continue to deliver effective multi-agency public protection arrangements in the region.</w:t>
      </w:r>
    </w:p>
    <w:p w14:paraId="0BC258CC" w14:textId="77777777" w:rsidR="00F5029A" w:rsidRDefault="00F5029A" w:rsidP="00F5029A">
      <w:pPr>
        <w:rPr>
          <w:rFonts w:cs="Arial"/>
        </w:rPr>
      </w:pPr>
    </w:p>
    <w:p w14:paraId="283014DB" w14:textId="77777777" w:rsidR="00F5029A" w:rsidRDefault="00F5029A" w:rsidP="00F5029A">
      <w:pPr>
        <w:rPr>
          <w:rFonts w:cs="Arial"/>
          <w:b/>
          <w:bCs/>
        </w:rPr>
      </w:pPr>
      <w:r>
        <w:rPr>
          <w:rFonts w:cs="Arial"/>
          <w:b/>
          <w:bCs/>
        </w:rPr>
        <w:t>Chairs for the Surrey &amp; Sussex MAPPA Strategic Management Board:</w:t>
      </w:r>
    </w:p>
    <w:p w14:paraId="579CD133" w14:textId="77777777" w:rsidR="00F5029A" w:rsidRDefault="00F5029A" w:rsidP="00F5029A">
      <w:pPr>
        <w:rPr>
          <w:rFonts w:cs="Arial"/>
          <w:b/>
          <w:bCs/>
        </w:rPr>
      </w:pPr>
      <w:r w:rsidRPr="002B333F">
        <w:rPr>
          <w:rFonts w:cs="Arial"/>
          <w:b/>
          <w:bCs/>
        </w:rPr>
        <w:t xml:space="preserve">Mark Burden (Head of Public Protection, Kent, Surrey &amp; Sussex Probation Service) </w:t>
      </w:r>
      <w:r>
        <w:rPr>
          <w:rFonts w:cs="Arial"/>
          <w:b/>
          <w:bCs/>
        </w:rPr>
        <w:t xml:space="preserve">and </w:t>
      </w:r>
      <w:r w:rsidRPr="002B333F">
        <w:rPr>
          <w:rFonts w:cs="Arial"/>
          <w:b/>
          <w:bCs/>
        </w:rPr>
        <w:t>Assistant Chief Constable Tanya Jones (Specialist Crime Command and Public Protection, Surrey Police &amp; Sussex Police</w:t>
      </w:r>
      <w:r>
        <w:rPr>
          <w:rFonts w:cs="Arial"/>
          <w:b/>
          <w:bCs/>
        </w:rPr>
        <w:t>)</w:t>
      </w: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33B97"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922BC9C"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835</w:t>
            </w:r>
          </w:p>
        </w:tc>
        <w:tc>
          <w:tcPr>
            <w:tcW w:w="2186" w:type="dxa"/>
          </w:tcPr>
          <w:p w14:paraId="1638E0FC" w14:textId="54AA7799"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211</w:t>
            </w:r>
          </w:p>
        </w:tc>
        <w:tc>
          <w:tcPr>
            <w:tcW w:w="2186" w:type="dxa"/>
          </w:tcPr>
          <w:p w14:paraId="1F1BCFAF" w14:textId="2ABB1B00"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sz w:val="24"/>
                <w:szCs w:val="24"/>
              </w:rPr>
              <w:t>-</w:t>
            </w:r>
          </w:p>
        </w:tc>
        <w:tc>
          <w:tcPr>
            <w:tcW w:w="2186" w:type="dxa"/>
          </w:tcPr>
          <w:p w14:paraId="08FB1F87" w14:textId="6707907C"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1046</w:t>
            </w:r>
          </w:p>
        </w:tc>
      </w:tr>
      <w:tr w:rsidR="00F33B97"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283EDBCF"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3</w:t>
            </w:r>
          </w:p>
        </w:tc>
        <w:tc>
          <w:tcPr>
            <w:tcW w:w="2186" w:type="dxa"/>
          </w:tcPr>
          <w:p w14:paraId="10F8D0CE" w14:textId="0E836A38"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0</w:t>
            </w:r>
          </w:p>
        </w:tc>
        <w:tc>
          <w:tcPr>
            <w:tcW w:w="2186" w:type="dxa"/>
          </w:tcPr>
          <w:p w14:paraId="346F3891" w14:textId="628EADE6"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2</w:t>
            </w:r>
          </w:p>
        </w:tc>
        <w:tc>
          <w:tcPr>
            <w:tcW w:w="2186" w:type="dxa"/>
          </w:tcPr>
          <w:p w14:paraId="29D9E254" w14:textId="16B23C4E"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5</w:t>
            </w:r>
          </w:p>
        </w:tc>
      </w:tr>
      <w:tr w:rsidR="00F33B97"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4EC03774"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1</w:t>
            </w:r>
          </w:p>
        </w:tc>
        <w:tc>
          <w:tcPr>
            <w:tcW w:w="2186" w:type="dxa"/>
          </w:tcPr>
          <w:p w14:paraId="26751848" w14:textId="3F1C430B"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0</w:t>
            </w:r>
          </w:p>
        </w:tc>
        <w:tc>
          <w:tcPr>
            <w:tcW w:w="2186" w:type="dxa"/>
          </w:tcPr>
          <w:p w14:paraId="75314FEE" w14:textId="3A44D809"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0</w:t>
            </w:r>
          </w:p>
        </w:tc>
        <w:tc>
          <w:tcPr>
            <w:tcW w:w="2186" w:type="dxa"/>
          </w:tcPr>
          <w:p w14:paraId="7FD44C20" w14:textId="7E209F57"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1</w:t>
            </w:r>
          </w:p>
        </w:tc>
      </w:tr>
      <w:tr w:rsidR="00F33B97"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48DD726"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839</w:t>
            </w:r>
          </w:p>
        </w:tc>
        <w:tc>
          <w:tcPr>
            <w:tcW w:w="2186" w:type="dxa"/>
          </w:tcPr>
          <w:p w14:paraId="4B320A3C" w14:textId="1083A11A"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211</w:t>
            </w:r>
          </w:p>
        </w:tc>
        <w:tc>
          <w:tcPr>
            <w:tcW w:w="2186" w:type="dxa"/>
          </w:tcPr>
          <w:p w14:paraId="59BF82DA" w14:textId="24C8232F"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2</w:t>
            </w:r>
          </w:p>
        </w:tc>
        <w:tc>
          <w:tcPr>
            <w:tcW w:w="2186" w:type="dxa"/>
          </w:tcPr>
          <w:p w14:paraId="230BC3FB" w14:textId="2CFA9984"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1052</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33B97"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D324DB8"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7</w:t>
            </w:r>
          </w:p>
        </w:tc>
        <w:tc>
          <w:tcPr>
            <w:tcW w:w="2186" w:type="dxa"/>
          </w:tcPr>
          <w:p w14:paraId="231D96FE" w14:textId="3DDC8DC5"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4</w:t>
            </w:r>
          </w:p>
        </w:tc>
        <w:tc>
          <w:tcPr>
            <w:tcW w:w="2186" w:type="dxa"/>
          </w:tcPr>
          <w:p w14:paraId="413645CC" w14:textId="51379735"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6</w:t>
            </w:r>
          </w:p>
        </w:tc>
        <w:tc>
          <w:tcPr>
            <w:tcW w:w="2186" w:type="dxa"/>
          </w:tcPr>
          <w:p w14:paraId="5A206D70" w14:textId="5CB0A185"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17</w:t>
            </w:r>
          </w:p>
        </w:tc>
      </w:tr>
      <w:tr w:rsidR="00F33B97"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F316047"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2</w:t>
            </w:r>
          </w:p>
        </w:tc>
        <w:tc>
          <w:tcPr>
            <w:tcW w:w="2186" w:type="dxa"/>
          </w:tcPr>
          <w:p w14:paraId="4AF1F0B4" w14:textId="24477264"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0</w:t>
            </w:r>
          </w:p>
        </w:tc>
        <w:tc>
          <w:tcPr>
            <w:tcW w:w="2186" w:type="dxa"/>
          </w:tcPr>
          <w:p w14:paraId="3EABFC56" w14:textId="63FC1DB3"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2</w:t>
            </w:r>
          </w:p>
        </w:tc>
        <w:tc>
          <w:tcPr>
            <w:tcW w:w="2186" w:type="dxa"/>
          </w:tcPr>
          <w:p w14:paraId="66FC4C00" w14:textId="5A0C3EC8"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4</w:t>
            </w:r>
          </w:p>
        </w:tc>
      </w:tr>
      <w:tr w:rsidR="00F33B97"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2D167EF"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9</w:t>
            </w:r>
          </w:p>
        </w:tc>
        <w:tc>
          <w:tcPr>
            <w:tcW w:w="2186" w:type="dxa"/>
          </w:tcPr>
          <w:p w14:paraId="5D543B3B" w14:textId="568CF72B"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4</w:t>
            </w:r>
          </w:p>
        </w:tc>
        <w:tc>
          <w:tcPr>
            <w:tcW w:w="2186" w:type="dxa"/>
          </w:tcPr>
          <w:p w14:paraId="03713ACD" w14:textId="78F30110"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8</w:t>
            </w:r>
          </w:p>
        </w:tc>
        <w:tc>
          <w:tcPr>
            <w:tcW w:w="2186" w:type="dxa"/>
          </w:tcPr>
          <w:p w14:paraId="29E98152" w14:textId="1D7CB7DA"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Cs/>
                <w:sz w:val="24"/>
                <w:szCs w:val="24"/>
              </w:rPr>
              <w:fldChar w:fldCharType="begin"/>
            </w:r>
            <w:r w:rsidRPr="00F33B97">
              <w:rPr>
                <w:b w:val="0"/>
                <w:bCs/>
                <w:sz w:val="24"/>
                <w:szCs w:val="24"/>
              </w:rPr>
              <w:instrText xml:space="preserve"> =Sum(ABOVE) </w:instrText>
            </w:r>
            <w:r w:rsidRPr="00F33B97">
              <w:rPr>
                <w:bCs/>
                <w:sz w:val="24"/>
                <w:szCs w:val="24"/>
              </w:rPr>
              <w:fldChar w:fldCharType="separate"/>
            </w:r>
            <w:r w:rsidRPr="00F33B97">
              <w:rPr>
                <w:b w:val="0"/>
                <w:bCs/>
                <w:noProof/>
                <w:sz w:val="24"/>
                <w:szCs w:val="24"/>
              </w:rPr>
              <w:t>21</w:t>
            </w:r>
            <w:r w:rsidRPr="00F33B97">
              <w:rPr>
                <w:bCs/>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3C3B6343" w:rsidR="00332EE6"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F33B97">
              <w:rPr>
                <w:sz w:val="24"/>
                <w:szCs w:val="24"/>
                <w:lang w:val="en-GB"/>
              </w:rPr>
              <w:t>0</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4A586AC7" w:rsidR="00052623" w:rsidRPr="00F33B97" w:rsidRDefault="00046A9D" w:rsidP="00F33B97">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24</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52AF7454" w:rsidR="00332EE6"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F33B97">
              <w:rPr>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047A1345" w:rsidR="00A231D9"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F33B97">
              <w:rPr>
                <w:sz w:val="24"/>
                <w:szCs w:val="24"/>
              </w:rPr>
              <w:t>129</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2C604E08" w:rsidR="00A231D9"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F33B97">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59E4A79" w:rsidR="00A231D9"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F33B97">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693E1BC1" w:rsidR="00332EE6" w:rsidRPr="00523CF4"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F33B97"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6F13302A"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0</w:t>
            </w:r>
          </w:p>
        </w:tc>
        <w:tc>
          <w:tcPr>
            <w:tcW w:w="2186" w:type="dxa"/>
          </w:tcPr>
          <w:p w14:paraId="34F9E68F" w14:textId="4E2BA7A4"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1</w:t>
            </w:r>
          </w:p>
        </w:tc>
        <w:tc>
          <w:tcPr>
            <w:tcW w:w="2186" w:type="dxa"/>
          </w:tcPr>
          <w:p w14:paraId="720ECB5F" w14:textId="7BCB21DB"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3</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ADEC240" w:rsidR="00F33B97" w:rsidRPr="00F33B97" w:rsidRDefault="00F33B97" w:rsidP="00F33B97">
            <w:pPr>
              <w:pStyle w:val="MAPPA-Tabletext"/>
              <w:jc w:val="center"/>
              <w:rPr>
                <w:b w:val="0"/>
                <w:sz w:val="24"/>
                <w:szCs w:val="24"/>
                <w:lang w:val="en-GB"/>
              </w:rPr>
            </w:pPr>
            <w:r w:rsidRPr="00F33B97">
              <w:rPr>
                <w:b w:val="0"/>
                <w:noProof/>
                <w:sz w:val="24"/>
                <w:szCs w:val="24"/>
              </w:rPr>
              <w:t>4</w:t>
            </w:r>
          </w:p>
        </w:tc>
      </w:tr>
      <w:tr w:rsidR="00F33B97"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0ECED61D"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1</w:t>
            </w:r>
          </w:p>
        </w:tc>
        <w:tc>
          <w:tcPr>
            <w:tcW w:w="2186" w:type="dxa"/>
          </w:tcPr>
          <w:p w14:paraId="272FF4F7" w14:textId="2FF8C73D"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0</w:t>
            </w:r>
          </w:p>
        </w:tc>
        <w:tc>
          <w:tcPr>
            <w:tcW w:w="2186" w:type="dxa"/>
          </w:tcPr>
          <w:p w14:paraId="75D55EA6" w14:textId="76004B8B" w:rsidR="00F33B97" w:rsidRPr="00F33B97"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33B97">
              <w:rPr>
                <w:b w:val="0"/>
                <w:bCs/>
                <w:noProof/>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45F1247" w:rsidR="00F33B97" w:rsidRPr="00F33B97" w:rsidRDefault="00F33B97" w:rsidP="00F33B97">
            <w:pPr>
              <w:pStyle w:val="MAPPA-Tabletext"/>
              <w:jc w:val="center"/>
              <w:rPr>
                <w:b w:val="0"/>
                <w:sz w:val="24"/>
                <w:szCs w:val="24"/>
                <w:lang w:val="en-GB"/>
              </w:rPr>
            </w:pPr>
            <w:r w:rsidRPr="00F33B97">
              <w:rPr>
                <w:b w:val="0"/>
                <w:noProof/>
                <w:sz w:val="24"/>
                <w:szCs w:val="24"/>
              </w:rPr>
              <w:t>1</w:t>
            </w:r>
          </w:p>
        </w:tc>
      </w:tr>
      <w:tr w:rsidR="00F33B97"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E4CEE28" w:rsidR="00F33B97" w:rsidRPr="00F33B97" w:rsidRDefault="00F33B97" w:rsidP="00F33B97">
            <w:pPr>
              <w:pStyle w:val="MAPPA-Tabletex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F33B97">
              <w:rPr>
                <w:sz w:val="24"/>
                <w:szCs w:val="24"/>
              </w:rPr>
              <w:fldChar w:fldCharType="begin"/>
            </w:r>
            <w:r w:rsidRPr="00F33B97">
              <w:rPr>
                <w:b w:val="0"/>
                <w:sz w:val="24"/>
                <w:szCs w:val="24"/>
              </w:rPr>
              <w:instrText xml:space="preserve"> =SUM(ABOVE) </w:instrText>
            </w:r>
            <w:r w:rsidRPr="00F33B97">
              <w:rPr>
                <w:sz w:val="24"/>
                <w:szCs w:val="24"/>
              </w:rPr>
              <w:fldChar w:fldCharType="separate"/>
            </w:r>
            <w:r w:rsidRPr="00F33B97">
              <w:rPr>
                <w:b w:val="0"/>
                <w:noProof/>
                <w:sz w:val="24"/>
                <w:szCs w:val="24"/>
              </w:rPr>
              <w:t>1</w:t>
            </w:r>
            <w:r w:rsidRPr="00F33B97">
              <w:rPr>
                <w:sz w:val="24"/>
                <w:szCs w:val="24"/>
              </w:rPr>
              <w:fldChar w:fldCharType="end"/>
            </w:r>
          </w:p>
        </w:tc>
        <w:tc>
          <w:tcPr>
            <w:tcW w:w="2186" w:type="dxa"/>
          </w:tcPr>
          <w:p w14:paraId="184256C5" w14:textId="78594F7E" w:rsidR="00F33B97" w:rsidRPr="00F33B97" w:rsidRDefault="00F33B97" w:rsidP="00F33B97">
            <w:pPr>
              <w:pStyle w:val="MAPPA-Tabletex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F33B97">
              <w:rPr>
                <w:sz w:val="24"/>
                <w:szCs w:val="24"/>
              </w:rPr>
              <w:fldChar w:fldCharType="begin"/>
            </w:r>
            <w:r w:rsidRPr="00F33B97">
              <w:rPr>
                <w:b w:val="0"/>
                <w:sz w:val="24"/>
                <w:szCs w:val="24"/>
              </w:rPr>
              <w:instrText xml:space="preserve"> =SUM(ABOVE) </w:instrText>
            </w:r>
            <w:r w:rsidRPr="00F33B97">
              <w:rPr>
                <w:sz w:val="24"/>
                <w:szCs w:val="24"/>
              </w:rPr>
              <w:fldChar w:fldCharType="separate"/>
            </w:r>
            <w:r w:rsidRPr="00F33B97">
              <w:rPr>
                <w:b w:val="0"/>
                <w:noProof/>
                <w:sz w:val="24"/>
                <w:szCs w:val="24"/>
              </w:rPr>
              <w:t>1</w:t>
            </w:r>
            <w:r w:rsidRPr="00F33B97">
              <w:rPr>
                <w:sz w:val="24"/>
                <w:szCs w:val="24"/>
              </w:rPr>
              <w:fldChar w:fldCharType="end"/>
            </w:r>
          </w:p>
        </w:tc>
        <w:tc>
          <w:tcPr>
            <w:tcW w:w="2186" w:type="dxa"/>
          </w:tcPr>
          <w:p w14:paraId="44078787" w14:textId="154B823F" w:rsidR="00F33B97" w:rsidRPr="00F33B97" w:rsidRDefault="00F33B97" w:rsidP="00F33B97">
            <w:pPr>
              <w:pStyle w:val="MAPPA-Tabletex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F33B97">
              <w:rPr>
                <w:sz w:val="24"/>
                <w:szCs w:val="24"/>
              </w:rPr>
              <w:fldChar w:fldCharType="begin"/>
            </w:r>
            <w:r w:rsidRPr="00F33B97">
              <w:rPr>
                <w:b w:val="0"/>
                <w:sz w:val="24"/>
                <w:szCs w:val="24"/>
              </w:rPr>
              <w:instrText xml:space="preserve"> =SUM(ABOVE) </w:instrText>
            </w:r>
            <w:r w:rsidRPr="00F33B97">
              <w:rPr>
                <w:sz w:val="24"/>
                <w:szCs w:val="24"/>
              </w:rPr>
              <w:fldChar w:fldCharType="separate"/>
            </w:r>
            <w:r w:rsidRPr="00F33B97">
              <w:rPr>
                <w:b w:val="0"/>
                <w:noProof/>
                <w:sz w:val="24"/>
                <w:szCs w:val="24"/>
              </w:rPr>
              <w:t>3</w:t>
            </w:r>
            <w:r w:rsidRPr="00F33B97">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CD06CE7" w:rsidR="00F33B97" w:rsidRPr="00F33B97" w:rsidRDefault="00F33B97" w:rsidP="00F33B97">
            <w:pPr>
              <w:pStyle w:val="MAPPA-Tabletext"/>
              <w:jc w:val="center"/>
              <w:rPr>
                <w:b w:val="0"/>
                <w:sz w:val="24"/>
                <w:szCs w:val="24"/>
                <w:lang w:val="en-GB"/>
              </w:rPr>
            </w:pPr>
            <w:r w:rsidRPr="00F33B97">
              <w:rPr>
                <w:b w:val="0"/>
                <w:noProof/>
                <w:sz w:val="24"/>
                <w:szCs w:val="24"/>
              </w:rPr>
              <w:t>5</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33B97"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C6EEDA4" w:rsidR="00F33B97" w:rsidRPr="00F33B97" w:rsidRDefault="00F33B97" w:rsidP="00F33B97">
            <w:pPr>
              <w:pStyle w:val="MAPPA-Tabletext"/>
              <w:jc w:val="center"/>
              <w:rPr>
                <w:b w:val="0"/>
                <w:bCs w:val="0"/>
                <w:sz w:val="24"/>
                <w:szCs w:val="24"/>
                <w:lang w:val="en-GB"/>
              </w:rPr>
            </w:pPr>
            <w:r w:rsidRPr="00F33B97">
              <w:rPr>
                <w:b w:val="0"/>
                <w:bCs w:val="0"/>
                <w:noProof/>
                <w:sz w:val="24"/>
                <w:szCs w:val="24"/>
              </w:rPr>
              <w:t>2</w:t>
            </w:r>
          </w:p>
        </w:tc>
      </w:tr>
      <w:tr w:rsidR="00F33B97"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69FA298" w:rsidR="00F33B97" w:rsidRPr="00F33B97" w:rsidRDefault="00F33B97" w:rsidP="00F33B97">
            <w:pPr>
              <w:pStyle w:val="MAPPA-Tabletext"/>
              <w:jc w:val="center"/>
              <w:rPr>
                <w:b w:val="0"/>
                <w:bCs w:val="0"/>
                <w:sz w:val="24"/>
                <w:szCs w:val="24"/>
                <w:lang w:val="en-GB"/>
              </w:rPr>
            </w:pPr>
            <w:r w:rsidRPr="00F33B97">
              <w:rPr>
                <w:b w:val="0"/>
                <w:bCs w:val="0"/>
                <w:noProof/>
                <w:sz w:val="24"/>
                <w:szCs w:val="24"/>
              </w:rPr>
              <w:t>0</w:t>
            </w:r>
          </w:p>
        </w:tc>
      </w:tr>
      <w:tr w:rsidR="00F33B97"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33B97" w:rsidRPr="00523CF4" w:rsidRDefault="00F33B97" w:rsidP="00F33B97">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52D57EA" w:rsidR="00F33B97" w:rsidRPr="00F33B97" w:rsidRDefault="00F33B97" w:rsidP="00F33B97">
            <w:pPr>
              <w:pStyle w:val="MAPPA-Tabletext"/>
              <w:jc w:val="center"/>
              <w:rPr>
                <w:b w:val="0"/>
                <w:bCs w:val="0"/>
                <w:sz w:val="24"/>
                <w:szCs w:val="24"/>
                <w:lang w:val="en-GB"/>
              </w:rPr>
            </w:pPr>
            <w:r w:rsidRPr="00F33B97">
              <w:rPr>
                <w:sz w:val="24"/>
                <w:szCs w:val="24"/>
              </w:rPr>
              <w:fldChar w:fldCharType="begin"/>
            </w:r>
            <w:r w:rsidRPr="00F33B97">
              <w:rPr>
                <w:b w:val="0"/>
                <w:bCs w:val="0"/>
                <w:sz w:val="24"/>
                <w:szCs w:val="24"/>
              </w:rPr>
              <w:instrText xml:space="preserve"> =sum(above) </w:instrText>
            </w:r>
            <w:r w:rsidRPr="00F33B97">
              <w:rPr>
                <w:sz w:val="24"/>
                <w:szCs w:val="24"/>
              </w:rPr>
              <w:fldChar w:fldCharType="separate"/>
            </w:r>
            <w:r w:rsidRPr="00F33B97">
              <w:rPr>
                <w:b w:val="0"/>
                <w:bCs w:val="0"/>
                <w:noProof/>
                <w:sz w:val="24"/>
                <w:szCs w:val="24"/>
              </w:rPr>
              <w:t>2</w:t>
            </w:r>
            <w:r w:rsidRPr="00F33B97">
              <w:rPr>
                <w:sz w:val="24"/>
                <w:szCs w:val="24"/>
              </w:rP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3B912BF6" w:rsidR="00332EE6" w:rsidRPr="004265C9" w:rsidRDefault="00F33B97" w:rsidP="00F33B97">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76</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375AE4CF" w:rsidR="00332EE6" w:rsidRPr="0069414D" w:rsidRDefault="00690AB5" w:rsidP="00296A85">
      <w:pPr>
        <w:pStyle w:val="Heading1"/>
        <w:jc w:val="left"/>
      </w:pPr>
      <w:r>
        <w:t>Lay advis</w:t>
      </w:r>
      <w:r w:rsidR="008C3906">
        <w:t>e</w:t>
      </w:r>
      <w:r>
        <w:t>r reflections</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2917D5F" w14:textId="77777777" w:rsidR="00690AB5" w:rsidRDefault="00690AB5" w:rsidP="00690AB5">
      <w:pPr>
        <w:rPr>
          <w:rFonts w:cs="Arial"/>
        </w:rPr>
      </w:pPr>
      <w:r>
        <w:rPr>
          <w:rFonts w:cs="Arial"/>
        </w:rPr>
        <w:t>MAPPA lay advisers are volunteer members of the public, appointed by the Secretary of State for Justice, to reflect the views of the community and bring independent scrutiny of the effectiveness of MAPPA in its work to protect the public.  We aim to act as critical friends to both the Lead and Duty to Cooperate (DTC) agencies to support the development of robust risk management plans in respect of MAPPA offenders released into the community.</w:t>
      </w:r>
    </w:p>
    <w:p w14:paraId="3732AE77" w14:textId="77777777" w:rsidR="00690AB5" w:rsidRDefault="00690AB5" w:rsidP="00690AB5">
      <w:pPr>
        <w:rPr>
          <w:rFonts w:cs="Arial"/>
        </w:rPr>
      </w:pPr>
      <w:r>
        <w:rPr>
          <w:rFonts w:cs="Arial"/>
        </w:rPr>
        <w:t xml:space="preserve">Surrey has two lay advisers. John Hutchings was first appointed as an adviser in </w:t>
      </w:r>
      <w:r w:rsidRPr="00DF3DD2">
        <w:rPr>
          <w:rFonts w:cs="Arial"/>
        </w:rPr>
        <w:t>November 2021</w:t>
      </w:r>
      <w:r>
        <w:rPr>
          <w:rFonts w:cs="Arial"/>
        </w:rPr>
        <w:t xml:space="preserve"> and Philippa Helme in January 2023. We have been able to attend most of the Level 2 and Level 3 meetings that took place each month, and also meetings of the MAPPA National Security Division involving Surrey-based offenders.  We also attended the meetings of the MAPPA Strategic Management Board, which meets three times a year.  </w:t>
      </w:r>
    </w:p>
    <w:p w14:paraId="175B6A9C" w14:textId="77777777" w:rsidR="00690AB5" w:rsidRDefault="00690AB5" w:rsidP="00690AB5">
      <w:pPr>
        <w:rPr>
          <w:rFonts w:cs="Arial"/>
        </w:rPr>
      </w:pPr>
      <w:r>
        <w:rPr>
          <w:rFonts w:cs="Arial"/>
        </w:rPr>
        <w:t xml:space="preserve">We work closely with the lay advisers for Sussex (Tony Coyne and Marian </w:t>
      </w:r>
      <w:proofErr w:type="spellStart"/>
      <w:r>
        <w:rPr>
          <w:rFonts w:cs="Arial"/>
        </w:rPr>
        <w:t>Trendall</w:t>
      </w:r>
      <w:proofErr w:type="spellEnd"/>
      <w:r>
        <w:rPr>
          <w:rFonts w:cs="Arial"/>
        </w:rPr>
        <w:t xml:space="preserve">) and are grateful to them for their support and friendly co-operation. Marian’s second term came to an end in </w:t>
      </w:r>
      <w:r w:rsidRPr="00DF3DD2">
        <w:rPr>
          <w:rFonts w:cs="Arial"/>
        </w:rPr>
        <w:t>May 2025</w:t>
      </w:r>
      <w:r>
        <w:rPr>
          <w:rFonts w:cs="Arial"/>
        </w:rPr>
        <w:t xml:space="preserve">. We would like to acknowledge the significant contribution which Marian made to MAPPA in the region, and the ready support and helpful advice that she gave to her fellow advisers. </w:t>
      </w:r>
    </w:p>
    <w:p w14:paraId="3D367594" w14:textId="77777777" w:rsidR="00690AB5" w:rsidRDefault="00690AB5" w:rsidP="00690AB5">
      <w:pPr>
        <w:rPr>
          <w:rFonts w:cs="Arial"/>
        </w:rPr>
      </w:pPr>
      <w:r>
        <w:rPr>
          <w:rFonts w:cs="Arial"/>
        </w:rPr>
        <w:t xml:space="preserve">We are grateful for the support we receive from the MAPPA Administrators in Surrey, </w:t>
      </w:r>
      <w:r w:rsidRPr="00DF3DD2">
        <w:rPr>
          <w:rFonts w:cs="Arial"/>
        </w:rPr>
        <w:t>who are pivotal to the effectiveness of the arrangements. We welcome increased engagement with the central MAPPA policy team in the Ministry of Justice, who have initiated what we hope will be regular online meetings with lay advisers around the country</w:t>
      </w:r>
      <w:r>
        <w:rPr>
          <w:rFonts w:cs="Arial"/>
        </w:rPr>
        <w:t>. We would like to see more joint training and knowledge-sharing among MAPPA lay advisers nationally.</w:t>
      </w:r>
    </w:p>
    <w:p w14:paraId="39A5ACFF" w14:textId="77777777" w:rsidR="00690AB5" w:rsidRDefault="00690AB5" w:rsidP="00690AB5">
      <w:pPr>
        <w:rPr>
          <w:rFonts w:cs="Arial"/>
        </w:rPr>
      </w:pPr>
      <w:r>
        <w:rPr>
          <w:rFonts w:cs="Arial"/>
        </w:rPr>
        <w:t xml:space="preserve">We continue to be impressed by the effectiveness of those chairing MAPPA meetings at all levels, and by the competence and commitment of the staff participating. We have observed a high level of co-operation between partner agencies and generally good attendance, </w:t>
      </w:r>
      <w:r w:rsidRPr="00DF3DD2">
        <w:rPr>
          <w:rFonts w:cs="Arial"/>
        </w:rPr>
        <w:t xml:space="preserve">though not always by those with direct responsibility for supporting the individual under discussion. </w:t>
      </w:r>
      <w:r>
        <w:rPr>
          <w:rFonts w:cs="Arial"/>
        </w:rPr>
        <w:t xml:space="preserve">We continue to be concerned about the shortage of appropriate housing for offenders, especially for </w:t>
      </w:r>
      <w:r w:rsidRPr="00DF3DD2">
        <w:rPr>
          <w:rFonts w:cs="Arial"/>
        </w:rPr>
        <w:t>those with particular needs or behavioural issues.</w:t>
      </w:r>
      <w:r>
        <w:rPr>
          <w:rFonts w:cs="Arial"/>
        </w:rPr>
        <w:t xml:space="preserve"> </w:t>
      </w:r>
    </w:p>
    <w:p w14:paraId="23EA93AC" w14:textId="77777777" w:rsidR="00690AB5" w:rsidRDefault="00690AB5" w:rsidP="00690AB5">
      <w:pPr>
        <w:rPr>
          <w:rFonts w:cs="Arial"/>
        </w:rPr>
      </w:pPr>
    </w:p>
    <w:p w14:paraId="792FE993" w14:textId="68B997BB" w:rsidR="00690AB5" w:rsidRDefault="00690AB5" w:rsidP="00690AB5">
      <w:pPr>
        <w:rPr>
          <w:b/>
          <w:bCs/>
        </w:rPr>
      </w:pPr>
      <w:r>
        <w:rPr>
          <w:b/>
          <w:bCs/>
        </w:rPr>
        <w:t>Philippa Helme</w:t>
      </w:r>
      <w:r w:rsidR="0013065C">
        <w:rPr>
          <w:b/>
          <w:bCs/>
        </w:rPr>
        <w:t xml:space="preserve"> and John Hutchings</w:t>
      </w:r>
    </w:p>
    <w:p w14:paraId="426C988E" w14:textId="31AAB6F9" w:rsidR="00332EE6" w:rsidRPr="0013065C" w:rsidRDefault="00690AB5" w:rsidP="0013065C">
      <w:pPr>
        <w:rPr>
          <w:b/>
          <w:bCs/>
        </w:rPr>
      </w:pPr>
      <w:r>
        <w:rPr>
          <w:b/>
          <w:bCs/>
        </w:rPr>
        <w:t>MAPPA lay advisers for Surrey</w:t>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00A628BF" w:rsidR="00782444" w:rsidRPr="00B01E0C" w:rsidRDefault="00782444" w:rsidP="00332EE6">
      <w:pPr>
        <w:pStyle w:val="MAPPA-Bodytext"/>
        <w:jc w:val="center"/>
        <w:rPr>
          <w:b/>
          <w:color w:val="7030A0"/>
          <w:sz w:val="26"/>
          <w:szCs w:val="26"/>
          <w:lang w:val="en-GB"/>
        </w:rPr>
      </w:pPr>
    </w:p>
    <w:p w14:paraId="3AD48DFA" w14:textId="0175C571" w:rsidR="00332EE6" w:rsidRPr="006954C2" w:rsidRDefault="00F5029A" w:rsidP="00080DFC">
      <w:pPr>
        <w:pStyle w:val="MAPPA-Bodytext"/>
        <w:spacing w:line="240" w:lineRule="atLeast"/>
        <w:jc w:val="center"/>
        <w:rPr>
          <w:b/>
          <w:color w:val="7030A0"/>
          <w:sz w:val="24"/>
          <w:szCs w:val="24"/>
          <w:lang w:val="en-GB"/>
        </w:rPr>
      </w:pPr>
      <w:r>
        <w:rPr>
          <w:noProof/>
        </w:rPr>
        <w:drawing>
          <wp:anchor distT="0" distB="0" distL="114300" distR="114300" simplePos="0" relativeHeight="251662336" behindDoc="1" locked="0" layoutInCell="1" allowOverlap="1" wp14:anchorId="0A85211F" wp14:editId="2BC7FEF5">
            <wp:simplePos x="0" y="0"/>
            <wp:positionH relativeFrom="column">
              <wp:posOffset>4781550</wp:posOffset>
            </wp:positionH>
            <wp:positionV relativeFrom="paragraph">
              <wp:posOffset>34925</wp:posOffset>
            </wp:positionV>
            <wp:extent cx="1348105" cy="1543050"/>
            <wp:effectExtent l="0" t="0" r="4445" b="0"/>
            <wp:wrapTight wrapText="bothSides">
              <wp:wrapPolygon edited="0">
                <wp:start x="0" y="0"/>
                <wp:lineTo x="0" y="21333"/>
                <wp:lineTo x="21366" y="21333"/>
                <wp:lineTo x="21366" y="0"/>
                <wp:lineTo x="0" y="0"/>
              </wp:wrapPolygon>
            </wp:wrapTight>
            <wp:docPr id="19938132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13235" name="Picture 1">
                      <a:extLst>
                        <a:ext uri="{C183D7F6-B498-43B3-948B-1728B52AA6E4}">
                          <adec:decorative xmlns:adec="http://schemas.microsoft.com/office/drawing/2017/decorative" val="1"/>
                        </a:ext>
                      </a:extLst>
                    </pic:cNvPr>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34810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4"/>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5F0A5E14">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1C05C3D8" w:rsidR="0052760C"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1FECEB44">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476795" cy="1156692"/>
                    </a:xfrm>
                    <a:prstGeom prst="rect">
                      <a:avLst/>
                    </a:prstGeom>
                    <a:noFill/>
                    <a:ln>
                      <a:noFill/>
                    </a:ln>
                  </pic:spPr>
                </pic:pic>
              </a:graphicData>
            </a:graphic>
          </wp:inline>
        </w:drawing>
      </w:r>
      <w:r w:rsidR="00F5029A">
        <w:rPr>
          <w:rFonts w:cs="Arial"/>
        </w:rPr>
        <w:t xml:space="preserve">  </w:t>
      </w:r>
    </w:p>
    <w:p w14:paraId="05E8E856" w14:textId="77777777" w:rsidR="00F5029A" w:rsidRDefault="00F5029A" w:rsidP="00AA7FE7">
      <w:pPr>
        <w:spacing w:line="240" w:lineRule="atLeast"/>
        <w:rPr>
          <w:rFonts w:cs="Arial"/>
        </w:rPr>
      </w:pPr>
    </w:p>
    <w:p w14:paraId="6E7C4EE9" w14:textId="2D544FC0" w:rsidR="00F5029A" w:rsidRPr="006954C2" w:rsidRDefault="00F5029A" w:rsidP="00AA7FE7">
      <w:pPr>
        <w:spacing w:line="240" w:lineRule="atLeast"/>
        <w:rPr>
          <w:rFonts w:cs="Arial"/>
        </w:rPr>
      </w:pPr>
    </w:p>
    <w:sectPr w:rsidR="00F5029A"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F28F6" w14:textId="77777777" w:rsidR="00161115" w:rsidRDefault="00161115" w:rsidP="001A5708">
      <w:pPr>
        <w:pStyle w:val="MAPPA-Bodytext"/>
      </w:pPr>
      <w:r>
        <w:separator/>
      </w:r>
    </w:p>
  </w:endnote>
  <w:endnote w:type="continuationSeparator" w:id="0">
    <w:p w14:paraId="1751FFFF" w14:textId="77777777" w:rsidR="00161115" w:rsidRDefault="00161115" w:rsidP="001A5708">
      <w:pPr>
        <w:pStyle w:val="MAPPA-Bodytext"/>
      </w:pPr>
      <w:r>
        <w:continuationSeparator/>
      </w:r>
    </w:p>
  </w:endnote>
  <w:endnote w:type="continuationNotice" w:id="1">
    <w:p w14:paraId="26353498" w14:textId="77777777" w:rsidR="00161115" w:rsidRDefault="00161115"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A24E5" w14:textId="77777777" w:rsidR="00161115" w:rsidRDefault="00161115" w:rsidP="001A5708">
      <w:pPr>
        <w:pStyle w:val="MAPPA-Bodytext"/>
      </w:pPr>
      <w:r>
        <w:separator/>
      </w:r>
    </w:p>
  </w:footnote>
  <w:footnote w:type="continuationSeparator" w:id="0">
    <w:p w14:paraId="32B643F6" w14:textId="77777777" w:rsidR="00161115" w:rsidRDefault="00161115" w:rsidP="001A5708">
      <w:pPr>
        <w:pStyle w:val="MAPPA-Bodytext"/>
      </w:pPr>
      <w:r>
        <w:continuationSeparator/>
      </w:r>
    </w:p>
  </w:footnote>
  <w:footnote w:type="continuationNotice" w:id="1">
    <w:p w14:paraId="381F989D" w14:textId="77777777" w:rsidR="00161115" w:rsidRDefault="00161115"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46A9D"/>
    <w:rsid w:val="00051C64"/>
    <w:rsid w:val="00052623"/>
    <w:rsid w:val="000536B2"/>
    <w:rsid w:val="000575B1"/>
    <w:rsid w:val="000576D6"/>
    <w:rsid w:val="00062F55"/>
    <w:rsid w:val="000739BA"/>
    <w:rsid w:val="000809B8"/>
    <w:rsid w:val="00080DFC"/>
    <w:rsid w:val="0009323B"/>
    <w:rsid w:val="0009506C"/>
    <w:rsid w:val="000A6775"/>
    <w:rsid w:val="000B3DC7"/>
    <w:rsid w:val="000C6592"/>
    <w:rsid w:val="000D082C"/>
    <w:rsid w:val="000E3453"/>
    <w:rsid w:val="000E3C5B"/>
    <w:rsid w:val="000F355B"/>
    <w:rsid w:val="000F65BF"/>
    <w:rsid w:val="00104025"/>
    <w:rsid w:val="00105344"/>
    <w:rsid w:val="001143B7"/>
    <w:rsid w:val="00126CEC"/>
    <w:rsid w:val="00127B7C"/>
    <w:rsid w:val="00127CD1"/>
    <w:rsid w:val="0013065C"/>
    <w:rsid w:val="00140627"/>
    <w:rsid w:val="001435D5"/>
    <w:rsid w:val="00146AC1"/>
    <w:rsid w:val="00152647"/>
    <w:rsid w:val="00154D3E"/>
    <w:rsid w:val="00157F24"/>
    <w:rsid w:val="00161115"/>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4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9733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0AB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906"/>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2F58"/>
    <w:rsid w:val="0097502F"/>
    <w:rsid w:val="00980C43"/>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978C9"/>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34C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3B97"/>
    <w:rsid w:val="00F346C9"/>
    <w:rsid w:val="00F3592D"/>
    <w:rsid w:val="00F37895"/>
    <w:rsid w:val="00F43667"/>
    <w:rsid w:val="00F44D5D"/>
    <w:rsid w:val="00F5029A"/>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13B8F8-2F39-4B29-8CEE-0304E12C2943}"/>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3363</Words>
  <Characters>17827</Characters>
  <Application>Microsoft Office Word</Application>
  <DocSecurity>0</DocSecurity>
  <Lines>698</Lines>
  <Paragraphs>171</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2025-10-27T11:54:00Z</dcterms:created>
  <dcterms:modified xsi:type="dcterms:W3CDTF">2025-10-28T12:12:00Z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