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b w:val="1"/>
          <w:sz w:val="36"/>
          <w:szCs w:val="36"/>
          <w:rtl w:val="0"/>
        </w:rPr>
        <w:t xml:space="preserve">Joint Schedule 6 (Key Subcontractors)</w:t>
      </w:r>
      <w:r w:rsidDel="00000000" w:rsidR="00000000" w:rsidRPr="00000000">
        <w:rPr>
          <w:rtl w:val="0"/>
        </w:rPr>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42"/>
        </w:tabs>
        <w:spacing w:after="240" w:before="120" w:line="240" w:lineRule="auto"/>
        <w:ind w:left="36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Restrictions on certain subcontractors</w:t>
      </w:r>
    </w:p>
    <w:p w:rsidR="00000000" w:rsidDel="00000000" w:rsidP="00000000" w:rsidRDefault="00000000" w:rsidRPr="00000000" w14:paraId="0000000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00" w:right="0" w:hanging="54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Supplier is entitled to sub-contract its obligations under the Framework Contract to the Key Subcontractors set out in the Framework Award Form. </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00" w:right="0" w:hanging="540"/>
        <w:jc w:val="left"/>
        <w:rPr>
          <w:rFonts w:ascii="Arial" w:cs="Arial" w:eastAsia="Arial" w:hAnsi="Arial"/>
          <w:b w:val="1"/>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Supplier is entitled to sub-contract its obligations under a Call-Off Contract to Key Subcontractors listed in the Framework Award Form who are specifically nominated in the Order Form.</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00" w:right="0" w:hanging="54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during the Contract Period the Supplier wishes to enter into a new Key Sub-contract or replace a Key Subcontractor, it must obtain the prior written consent of CCS and the Buyer and the Supplier shall, at the time of requesting such consent, provide CCS and the Buyer with the information detailed in Paragraph 1.4.  The decision of CCS and the Buyer to consent or not will not be unreasonably withheld or delayed.  Where CCS consents to the appointment of a new Key Subcontractor then they will be added to section 18 of the Framework Award Form.  Where the Buyer consents to the appointment of a new Key Subcontractor then they will be added to Key Subcontractor section of the Order Form.  CCS and the Buyer may reasonably withhold their consent to the appointment of a Key Subcontractor if it considers that:</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50" w:right="0" w:hanging="85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appointment of a proposed Key Subcontractor may prejudice the provision of the Deliverables or may be contrary to its interests;</w:t>
      </w:r>
    </w:p>
    <w:p w:rsidR="00000000" w:rsidDel="00000000" w:rsidP="00000000" w:rsidRDefault="00000000" w:rsidRPr="00000000" w14:paraId="0000000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50" w:right="0" w:hanging="85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proposed Key Subcontractor is unreliable and/or has not provided reliable goods and or reasonable services to its other customers; and/or</w:t>
      </w:r>
    </w:p>
    <w:p w:rsidR="00000000" w:rsidDel="00000000" w:rsidP="00000000" w:rsidRDefault="00000000" w:rsidRPr="00000000" w14:paraId="0000000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50" w:right="0" w:hanging="85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proposed Key Subcontractor employs unfit persons.</w:t>
      </w:r>
    </w:p>
    <w:p w:rsidR="00000000" w:rsidDel="00000000" w:rsidP="00000000" w:rsidRDefault="00000000" w:rsidRPr="00000000" w14:paraId="00000009">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00" w:right="0" w:hanging="540"/>
        <w:jc w:val="left"/>
        <w:rPr>
          <w:rFonts w:ascii="Arial" w:cs="Arial" w:eastAsia="Arial" w:hAnsi="Arial"/>
          <w:b w:val="1"/>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Supplier shall provide CCS and the Buyer with the following information in respect of the proposed Key Subcontractor:</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proposed Key Subcontractor’s name, registered office and company registration number;</w:t>
      </w:r>
    </w:p>
    <w:p w:rsidR="00000000" w:rsidDel="00000000" w:rsidP="00000000" w:rsidRDefault="00000000" w:rsidRPr="00000000" w14:paraId="0000000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scope/description of any Deliverables to be provided by the proposed Key Subcontractor; </w:t>
      </w:r>
    </w:p>
    <w:p w:rsidR="00000000" w:rsidDel="00000000" w:rsidP="00000000" w:rsidRDefault="00000000" w:rsidRPr="00000000" w14:paraId="0000000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the proposed Key Subcontractor is an Affiliate of the Supplier, evidence that demonstrates to the reasonable satisfaction of the CCS and the Buyer that the proposed Key Sub-Contract has been agreed on "arm’s-length" terms;</w:t>
      </w:r>
    </w:p>
    <w:p w:rsidR="00000000" w:rsidDel="00000000" w:rsidP="00000000" w:rsidRDefault="00000000" w:rsidRPr="00000000" w14:paraId="0000000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CCS, the Key Sub-Contract price expressed as a percentage of the total projected Framework Price over the Framework Contract Period; </w:t>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the Buyer, the Key Sub-Contract price expressed as a percentage of the total projected Charges over the Call Off Contract Period; and</w:t>
      </w:r>
    </w:p>
    <w:p w:rsidR="00000000" w:rsidDel="00000000" w:rsidP="00000000" w:rsidRDefault="00000000" w:rsidRPr="00000000" w14:paraId="0000000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applicable) Credit Rating Threshold (as defined in Joint Schedule 7 (Financial Distress)) of the Key Subcontractor.</w:t>
      </w:r>
    </w:p>
    <w:p w:rsidR="00000000" w:rsidDel="00000000" w:rsidP="00000000" w:rsidRDefault="00000000" w:rsidRPr="00000000" w14:paraId="00000010">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00" w:right="0" w:hanging="540"/>
        <w:jc w:val="left"/>
        <w:rPr>
          <w:rFonts w:ascii="Arial" w:cs="Arial" w:eastAsia="Arial" w:hAnsi="Arial"/>
          <w:b w:val="1"/>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requested by CCS and/or the Buyer, within ten (10) Working Days of receipt of the information provided by the Supplier pursuant to Paragraph 1.4, the Supplier shall also provide: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6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copy of the proposed Key Sub-Contract; and </w:t>
      </w:r>
    </w:p>
    <w:p w:rsidR="00000000" w:rsidDel="00000000" w:rsidP="00000000" w:rsidRDefault="00000000" w:rsidRPr="00000000" w14:paraId="0000001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6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any further information reasonably requested by CCS and/or the Buyer.</w:t>
      </w:r>
    </w:p>
    <w:p w:rsidR="00000000" w:rsidDel="00000000" w:rsidP="00000000" w:rsidRDefault="00000000" w:rsidRPr="00000000" w14:paraId="0000001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00" w:right="0" w:hanging="540"/>
        <w:jc w:val="left"/>
        <w:rPr>
          <w:rFonts w:ascii="Arial" w:cs="Arial" w:eastAsia="Arial" w:hAnsi="Arial"/>
          <w:b w:val="1"/>
          <w:i w:val="0"/>
          <w:smallCaps w:val="0"/>
          <w:strike w:val="0"/>
          <w:color w:val="000000"/>
          <w:sz w:val="24"/>
          <w:szCs w:val="24"/>
          <w:u w:val="none"/>
          <w:shd w:fill="auto" w:val="clear"/>
          <w:vertAlign w:val="baseline"/>
        </w:rPr>
      </w:pPr>
      <w:bookmarkStart w:colFirst="0" w:colLast="0" w:name="_heading=h.2et92p0" w:id="4"/>
      <w:bookmarkEnd w:id="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Supplier shall ensure that each new or replacement Key Sub-Contract shall include: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provisions which will enable the Supplier to discharge its obligations under the Contracts;</w:t>
      </w:r>
    </w:p>
    <w:p w:rsidR="00000000" w:rsidDel="00000000" w:rsidP="00000000" w:rsidRDefault="00000000" w:rsidRPr="00000000" w14:paraId="0000001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right under CRTPA for CCS and the Buyer to enforce any provisions under the Key Sub-Contract which confer a benefit upon CCS and the Buyer respectively;</w:t>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provision enabling CCS and the Buyer to enforce the Key Sub-Contract as if it were the Supplier; </w:t>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provision enabling the Supplier to assign, novate or otherwise transfer any of its rights and/or obligations under the Key Sub-Contract to CCS and/or the Buyer; </w:t>
      </w:r>
    </w:p>
    <w:p w:rsidR="00000000" w:rsidDel="00000000" w:rsidP="00000000" w:rsidRDefault="00000000" w:rsidRPr="00000000" w14:paraId="0000001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710" w:right="0" w:hanging="8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obligations no less onerous on the Key Subcontractor than those imposed on the Supplier under the Framework Contract in respect of:</w:t>
      </w:r>
    </w:p>
    <w:p w:rsidR="00000000" w:rsidDel="00000000" w:rsidP="00000000" w:rsidRDefault="00000000" w:rsidRPr="00000000" w14:paraId="00000019">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tabs>
          <w:tab w:val="left" w:leader="none" w:pos="2552"/>
        </w:tabs>
        <w:spacing w:after="120" w:before="120" w:line="240" w:lineRule="auto"/>
        <w:ind w:left="2563" w:right="0" w:hanging="853.000000000000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data protection requirements set out in Clause 14 (Data protection);</w:t>
      </w:r>
    </w:p>
    <w:p w:rsidR="00000000" w:rsidDel="00000000" w:rsidP="00000000" w:rsidRDefault="00000000" w:rsidRPr="00000000" w14:paraId="0000001A">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tabs>
          <w:tab w:val="left" w:leader="none" w:pos="2552"/>
        </w:tabs>
        <w:spacing w:after="120" w:before="120" w:line="240" w:lineRule="auto"/>
        <w:ind w:left="2563" w:right="0" w:hanging="853.000000000000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FOIA and other access request requirements set out in Clause 16 (When you can share information);</w:t>
      </w:r>
    </w:p>
    <w:p w:rsidR="00000000" w:rsidDel="00000000" w:rsidP="00000000" w:rsidRDefault="00000000" w:rsidRPr="00000000" w14:paraId="0000001B">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tabs>
          <w:tab w:val="left" w:leader="none" w:pos="2552"/>
        </w:tabs>
        <w:spacing w:after="120" w:before="120" w:line="240" w:lineRule="auto"/>
        <w:ind w:left="2563" w:right="0" w:hanging="853.000000000000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obligation not to embarrass CCS or the Buyer or otherwise bring CCS or the Buyer into disrepute; </w:t>
      </w:r>
    </w:p>
    <w:p w:rsidR="00000000" w:rsidDel="00000000" w:rsidP="00000000" w:rsidRDefault="00000000" w:rsidRPr="00000000" w14:paraId="0000001C">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tabs>
          <w:tab w:val="left" w:leader="none" w:pos="2552"/>
        </w:tabs>
        <w:spacing w:after="120" w:before="120" w:line="240" w:lineRule="auto"/>
        <w:ind w:left="2563" w:right="0" w:hanging="853.000000000000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keeping of records in respect of the goods and/or services being provided under the Key Sub-Contract, including the maintenance of Open Book Data; and</w:t>
      </w:r>
    </w:p>
    <w:p w:rsidR="00000000" w:rsidDel="00000000" w:rsidP="00000000" w:rsidRDefault="00000000" w:rsidRPr="00000000" w14:paraId="0000001D">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tabs>
          <w:tab w:val="left" w:leader="none" w:pos="2552"/>
        </w:tabs>
        <w:spacing w:after="120" w:before="120" w:line="240" w:lineRule="auto"/>
        <w:ind w:left="2563" w:right="0" w:hanging="853.000000000000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conduct of audits set out in Clause 6 (Record keeping and reporting);</w:t>
      </w:r>
    </w:p>
    <w:p w:rsidR="00000000" w:rsidDel="00000000" w:rsidP="00000000" w:rsidRDefault="00000000" w:rsidRPr="00000000" w14:paraId="0000001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6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provisions enabling the Supplier to terminate the Key Sub-Contract on notice on terms no more onerous on the Supplier than those imposed on CCS and the Buyer under Clauses 10.4 (When CCS or the Buyer can end this contract) and 10.5 (What happens if the contract ends) of this Contract; and</w:t>
      </w:r>
    </w:p>
    <w:p w:rsidR="00000000" w:rsidDel="00000000" w:rsidP="00000000" w:rsidRDefault="00000000" w:rsidRPr="00000000" w14:paraId="0000001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6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provision restricting the ability of the Key Subcontractor to sub-contract all or any part of the provision of the Deliverables provided to the Supplier under the Key Sub-Contract without first seeking the written consent of CCS and the Buyer.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138"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tabs>
        <w:tab w:val="center" w:leader="none" w:pos="4513"/>
        <w:tab w:val="right" w:leader="none" w:pos="9026"/>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Framework Ref: RM6353 Tyres, Glass and Telematics</w:t>
      <w:tab/>
      <w:t xml:space="preserve">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Project Version: v1.0</w:t>
      <w:tab/>
      <w:tab/>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spacing w:after="0" w:line="240" w:lineRule="auto"/>
      <w:jc w:val="both"/>
      <w:rPr>
        <w:rFonts w:ascii="Arial" w:cs="Arial" w:eastAsia="Arial" w:hAnsi="Arial"/>
        <w:color w:val="bfbfbf"/>
        <w:sz w:val="20"/>
        <w:szCs w:val="20"/>
      </w:rPr>
    </w:pPr>
    <w:bookmarkStart w:colFirst="0" w:colLast="0" w:name="_heading=h.tyjcwt" w:id="5"/>
    <w:bookmarkEnd w:id="5"/>
    <w:r w:rsidDel="00000000" w:rsidR="00000000" w:rsidRPr="00000000">
      <w:rPr>
        <w:rFonts w:ascii="Arial" w:cs="Arial" w:eastAsia="Arial" w:hAnsi="Arial"/>
        <w:sz w:val="20"/>
        <w:szCs w:val="20"/>
        <w:rtl w:val="0"/>
      </w:rPr>
      <w:t xml:space="preserve">Model Version: v3.1</w:t>
      <w:tab/>
      <w:tab/>
    </w:r>
    <w:r w:rsidDel="00000000" w:rsidR="00000000" w:rsidRPr="00000000">
      <w:rPr>
        <w:rFonts w:ascii="Arial" w:cs="Arial" w:eastAsia="Arial" w:hAnsi="Arial"/>
        <w:color w:val="bfbfbf"/>
        <w:sz w:val="20"/>
        <w:szCs w:val="20"/>
        <w:rtl w:val="0"/>
      </w:rPr>
      <w:tab/>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center" w:leader="none" w:pos="4513"/>
        <w:tab w:val="right" w:leader="none" w:pos="9026"/>
      </w:tabs>
      <w:spacing w:after="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tabs>
        <w:tab w:val="center" w:leader="none" w:pos="4513"/>
        <w:tab w:val="right" w:leader="none" w:pos="9026"/>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Framework Ref: RM</w:t>
      <w:tab/>
      <w:t xml:space="preserve">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Project Version: v1.0</w:t>
      <w:tab/>
      <w:tab/>
      <w:tab/>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C">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Model Version : v3.0</w:t>
      <w:tab/>
      <w:tab/>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Joint Schedule 6 (Key Subcontractors)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Crown Copyright 20</w:t>
    </w:r>
    <w:r w:rsidDel="00000000" w:rsidR="00000000" w:rsidRPr="00000000">
      <w:rPr>
        <w:rFonts w:ascii="Arial" w:cs="Arial" w:eastAsia="Arial" w:hAnsi="Arial"/>
        <w:sz w:val="20"/>
        <w:szCs w:val="20"/>
        <w:rtl w:val="0"/>
      </w:rPr>
      <w:t xml:space="preserve">23</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i w:val="0"/>
        <w:smallCaps w:val="0"/>
        <w:strike w:val="0"/>
        <w:color w:val="000000"/>
        <w:sz w:val="24"/>
        <w:szCs w:val="24"/>
        <w:u w:val="none"/>
        <w:vertAlign w:val="baseline"/>
      </w:rPr>
    </w:lvl>
    <w:lvl w:ilvl="1">
      <w:start w:val="1"/>
      <w:numFmt w:val="decimal"/>
      <w:lvlText w:val="%1.%2"/>
      <w:lvlJc w:val="left"/>
      <w:pPr>
        <w:ind w:left="644" w:hanging="359.9999999999998"/>
      </w:pPr>
      <w:rPr>
        <w:rFonts w:ascii="Arial" w:cs="Arial" w:eastAsia="Arial" w:hAnsi="Arial"/>
        <w:b w:val="0"/>
        <w:i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i w:val="0"/>
        <w:smallCaps w:val="0"/>
        <w:strike w:val="0"/>
        <w:color w:val="000000"/>
        <w:sz w:val="24"/>
        <w:szCs w:val="24"/>
        <w:u w:val="none"/>
        <w:vertAlign w:val="baseline"/>
      </w:rPr>
    </w:lvl>
    <w:lvl w:ilvl="3">
      <w:start w:val="1"/>
      <w:numFmt w:val="lowerLetter"/>
      <w:lvlText w:val="(%4)"/>
      <w:lvlJc w:val="left"/>
      <w:pPr>
        <w:ind w:left="2847" w:hanging="720"/>
      </w:pPr>
      <w:rPr>
        <w:rFonts w:ascii="Calibri" w:cs="Calibri" w:eastAsia="Calibri" w:hAnsi="Calibri"/>
        <w:b w:val="0"/>
        <w:i w:val="0"/>
        <w:smallCaps w:val="0"/>
        <w:strike w:val="0"/>
        <w:color w:val="000000"/>
        <w:sz w:val="22"/>
        <w:szCs w:val="22"/>
        <w:u w:val="none"/>
        <w:vertAlign w:val="baseline"/>
      </w:rPr>
    </w:lvl>
    <w:lvl w:ilvl="4">
      <w:start w:val="1"/>
      <w:numFmt w:val="lowerRoman"/>
      <w:lvlText w:val="(%5)"/>
      <w:lvlJc w:val="left"/>
      <w:pPr>
        <w:ind w:left="1440" w:hanging="1080"/>
      </w:pPr>
      <w:rPr>
        <w:b w:val="0"/>
        <w:i w:val="0"/>
        <w:smallCaps w:val="0"/>
        <w:strike w:val="0"/>
        <w:color w:val="000000"/>
        <w:u w:val="none"/>
        <w:vertAlign w:val="baseline"/>
      </w:rPr>
    </w:lvl>
    <w:lvl w:ilvl="5">
      <w:start w:val="1"/>
      <w:numFmt w:val="upperLetter"/>
      <w:lvlText w:val="(%6)"/>
      <w:lvlJc w:val="left"/>
      <w:pPr>
        <w:ind w:left="1440" w:hanging="1080"/>
      </w:pPr>
      <w:rPr>
        <w:b w:val="0"/>
        <w:i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Guidance" w:customStyle="1">
    <w:name w:val="GPS L1 Guidance"/>
    <w:basedOn w:val="Normal"/>
    <w:link w:val="GPSL1GuidanceChar"/>
    <w:qFormat w:val="1"/>
    <w:pPr>
      <w:overflowPunct w:val="0"/>
      <w:autoSpaceDE w:val="0"/>
      <w:autoSpaceDN w:val="0"/>
      <w:adjustRightInd w:val="0"/>
      <w:spacing w:after="120" w:before="240" w:line="240" w:lineRule="auto"/>
      <w:ind w:left="426"/>
      <w:jc w:val="both"/>
      <w:textAlignment w:val="baseline"/>
    </w:pPr>
    <w:rPr>
      <w:rFonts w:ascii="Calibri" w:cs="Arial" w:eastAsia="Times New Roman" w:hAnsi="Calibri"/>
      <w:b w:val="1"/>
      <w:i w:val="1"/>
    </w:rPr>
  </w:style>
  <w:style w:type="paragraph" w:styleId="GPSL3Guidance" w:customStyle="1">
    <w:name w:val="GPS L3 Guidance"/>
    <w:basedOn w:val="Normal"/>
    <w:link w:val="GPSL3GuidanceChar"/>
    <w:qFormat w:val="1"/>
    <w:pPr>
      <w:tabs>
        <w:tab w:val="left" w:pos="1985"/>
      </w:tabs>
      <w:adjustRightInd w:val="0"/>
      <w:spacing w:after="120" w:before="120" w:line="240" w:lineRule="auto"/>
      <w:ind w:left="1985"/>
      <w:jc w:val="both"/>
    </w:pPr>
    <w:rPr>
      <w:rFonts w:ascii="Calibri" w:cs="Arial" w:eastAsia="Times New Roman" w:hAnsi="Calibri"/>
      <w:b w:val="1"/>
      <w:i w:val="1"/>
      <w:lang w:eastAsia="zh-CN"/>
    </w:rPr>
  </w:style>
  <w:style w:type="paragraph" w:styleId="GPSL1Schedulenumbered" w:customStyle="1">
    <w:name w:val="GPS L1 Schedule numbered"/>
    <w:basedOn w:val="Normal"/>
    <w:link w:val="GPSL1SchedulenumberedChar1"/>
    <w:qFormat w:val="1"/>
    <w:pPr>
      <w:numPr>
        <w:numId w:val="1"/>
      </w:numPr>
      <w:tabs>
        <w:tab w:val="left" w:pos="851"/>
      </w:tabs>
      <w:overflowPunct w:val="0"/>
      <w:autoSpaceDE w:val="0"/>
      <w:autoSpaceDN w:val="0"/>
      <w:adjustRightInd w:val="0"/>
      <w:spacing w:after="240" w:line="240" w:lineRule="auto"/>
      <w:jc w:val="both"/>
      <w:textAlignment w:val="baseline"/>
    </w:pPr>
    <w:rPr>
      <w:rFonts w:ascii="Calibri" w:cs="Arial" w:eastAsia="Times New Roman" w:hAnsi="Calibri"/>
    </w:rPr>
  </w:style>
  <w:style w:type="character" w:styleId="GPSL1SchedulenumberedChar1" w:customStyle="1">
    <w:name w:val="GPS L1 Schedule numbered Char1"/>
    <w:link w:val="GPSL1Schedulenumbered"/>
    <w:locked w:val="1"/>
    <w:rPr>
      <w:rFonts w:ascii="Calibri" w:cs="Arial" w:eastAsia="Times New Roman" w:hAnsi="Calibri"/>
    </w:rPr>
  </w:style>
  <w:style w:type="character" w:styleId="GPSL1GuidanceChar" w:customStyle="1">
    <w:name w:val="GPS L1 Guidance Char"/>
    <w:link w:val="GPSL1Guidance"/>
    <w:locked w:val="1"/>
    <w:rPr>
      <w:rFonts w:ascii="Calibri" w:cs="Arial" w:eastAsia="Times New Roman" w:hAnsi="Calibri"/>
      <w:b w:val="1"/>
      <w:i w:val="1"/>
    </w:rPr>
  </w:style>
  <w:style w:type="character" w:styleId="GPSL3GuidanceChar" w:customStyle="1">
    <w:name w:val="GPS L3 Guidance Char"/>
    <w:link w:val="GPSL3Guidance"/>
    <w:rPr>
      <w:rFonts w:ascii="Calibri" w:cs="Arial" w:eastAsia="Times New Roman" w:hAnsi="Calibri"/>
      <w:b w:val="1"/>
      <w:i w:val="1"/>
      <w:lang w:eastAsia="zh-CN"/>
    </w:rPr>
  </w:style>
  <w:style w:type="paragraph" w:styleId="GPSL1CLAUSEHEADING" w:customStyle="1">
    <w:name w:val="GPS L1 CLAUSE HEADING"/>
    <w:basedOn w:val="Normal"/>
    <w:next w:val="Normal"/>
    <w:qFormat w:val="1"/>
    <w:pPr>
      <w:numPr>
        <w:numId w:val="3"/>
      </w:numPr>
      <w:tabs>
        <w:tab w:val="left" w:pos="142"/>
      </w:tabs>
      <w:adjustRightInd w:val="0"/>
      <w:spacing w:after="240" w:before="120" w:line="240" w:lineRule="auto"/>
      <w:jc w:val="both"/>
      <w:outlineLvl w:val="1"/>
    </w:pPr>
    <w:rPr>
      <w:rFonts w:ascii="Calibri" w:cs="Arial" w:eastAsia="STZhongsong" w:hAnsi="Calibri"/>
      <w:b w:val="1"/>
      <w:caps w:val="1"/>
      <w:lang w:eastAsia="zh-CN"/>
    </w:rPr>
  </w:style>
  <w:style w:type="paragraph" w:styleId="GPSL3numberedclause" w:customStyle="1">
    <w:name w:val="GPS L3 numbered clause"/>
    <w:basedOn w:val="Normal"/>
    <w:link w:val="GPSL3numberedclauseChar"/>
    <w:qFormat w:val="1"/>
    <w:pPr>
      <w:numPr>
        <w:ilvl w:val="2"/>
        <w:numId w:val="3"/>
      </w:numPr>
      <w:tabs>
        <w:tab w:val="left" w:pos="1985"/>
      </w:tabs>
      <w:adjustRightInd w:val="0"/>
      <w:spacing w:after="120" w:before="120" w:line="240" w:lineRule="auto"/>
      <w:jc w:val="both"/>
    </w:pPr>
    <w:rPr>
      <w:rFonts w:ascii="Calibri" w:cs="Arial" w:eastAsia="Times New Roman" w:hAnsi="Calibri"/>
      <w:lang w:eastAsia="zh-CN"/>
    </w:rPr>
  </w:style>
  <w:style w:type="paragraph" w:styleId="GPSL4numberedclause" w:customStyle="1">
    <w:name w:val="GPS L4 numbered clause"/>
    <w:basedOn w:val="GPSL3numberedclause"/>
    <w:link w:val="GPSL4numberedclauseChar"/>
    <w:qFormat w:val="1"/>
    <w:pPr>
      <w:numPr>
        <w:ilvl w:val="3"/>
      </w:numPr>
      <w:tabs>
        <w:tab w:val="left" w:pos="2552"/>
      </w:tabs>
    </w:p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5numberedclause" w:customStyle="1">
    <w:name w:val="GPS L5 numbered clause"/>
    <w:basedOn w:val="GPSL4numberedclause"/>
    <w:link w:val="GPSL5numberedclauseChar"/>
    <w:qFormat w:val="1"/>
    <w:pPr>
      <w:numPr>
        <w:ilvl w:val="4"/>
      </w:numPr>
      <w:tabs>
        <w:tab w:val="left" w:pos="3119"/>
      </w:tabs>
    </w:pPr>
  </w:style>
  <w:style w:type="paragraph" w:styleId="GPSL2NumberedBoldHeading" w:customStyle="1">
    <w:name w:val="GPS L2 Numbered Bold Heading"/>
    <w:basedOn w:val="Normal"/>
    <w:link w:val="GPSL2NumberedBoldHeadingChar"/>
    <w:qFormat w:val="1"/>
    <w:pPr>
      <w:numPr>
        <w:ilvl w:val="1"/>
        <w:numId w:val="3"/>
      </w:numPr>
      <w:adjustRightInd w:val="0"/>
      <w:spacing w:after="120" w:before="120" w:line="240" w:lineRule="auto"/>
      <w:ind w:left="936" w:hanging="576"/>
      <w:jc w:val="both"/>
    </w:pPr>
    <w:rPr>
      <w:rFonts w:ascii="Calibri" w:cs="Arial" w:eastAsia="Times New Roman" w:hAnsi="Calibri"/>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character" w:styleId="GPSL5numberedclauseChar" w:customStyle="1">
    <w:name w:val="GPS L5 numbered clause Char"/>
    <w:link w:val="GPSL5numberedclause"/>
    <w:locked w:val="1"/>
    <w:rPr>
      <w:rFonts w:ascii="Calibri" w:cs="Arial" w:eastAsia="Times New Roman" w:hAnsi="Calibri"/>
      <w:lang w:eastAsia="zh-CN"/>
    </w:rPr>
  </w:style>
  <w:style w:type="character" w:styleId="GPSL2NumberedBoldHeadingChar" w:customStyle="1">
    <w:name w:val="GPS L2 Numbered Bold Heading Char"/>
    <w:link w:val="GPSL2NumberedBoldHeading"/>
    <w:locked w:val="1"/>
    <w:rPr>
      <w:rFonts w:ascii="Calibri" w:cs="Arial" w:eastAsia="Times New Roman" w:hAnsi="Calibri"/>
      <w:b w:val="1"/>
      <w:lang w:eastAsia="zh-CN"/>
    </w:rPr>
  </w:style>
  <w:style w:type="character" w:styleId="legds2" w:customStyle="1">
    <w:name w:val="legds2"/>
  </w:style>
  <w:style w:type="table" w:styleId="TableGrid">
    <w:name w:val="Table Grid"/>
    <w:basedOn w:val="TableNormal"/>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paragraph" w:styleId="GPSL2numberedclause" w:customStyle="1">
    <w:name w:val="GPS L2 numbered clause"/>
    <w:basedOn w:val="Normal"/>
    <w:qFormat w:val="1"/>
    <w:pPr>
      <w:tabs>
        <w:tab w:val="left" w:pos="1134"/>
      </w:tabs>
      <w:adjustRightInd w:val="0"/>
      <w:spacing w:after="120" w:before="120" w:line="240" w:lineRule="auto"/>
      <w:ind w:left="1134" w:hanging="567"/>
      <w:jc w:val="both"/>
    </w:pPr>
    <w:rPr>
      <w:rFonts w:ascii="Calibri" w:cs="Arial" w:eastAsia="Times New Roman" w:hAnsi="Calibri"/>
      <w:lang w:eastAsia="zh-CN"/>
    </w:rPr>
  </w:style>
  <w:style w:type="paragraph" w:styleId="GPSSchTitleandNumber" w:customStyle="1">
    <w:name w:val="GPS Sch Title and Number"/>
    <w:basedOn w:val="Normal"/>
    <w:link w:val="GPSSchTitleandNumberChar"/>
    <w:qFormat w:val="1"/>
    <w:pPr>
      <w:keepNext w:val="1"/>
      <w:adjustRightInd w:val="0"/>
      <w:spacing w:after="240" w:line="240" w:lineRule="auto"/>
      <w:jc w:val="center"/>
      <w:outlineLvl w:val="0"/>
    </w:pPr>
    <w:rPr>
      <w:rFonts w:ascii="Arial Bold" w:cs="Times New Roman" w:eastAsia="STZhongsong" w:hAnsi="Arial Bold"/>
      <w:b w:val="1"/>
      <w:caps w:val="1"/>
      <w:lang w:eastAsia="zh-CN"/>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table" w:styleId="TableGrid1" w:customStyle="1">
    <w:name w:val="Table Grid1"/>
    <w:basedOn w:val="TableNormal"/>
    <w:next w:val="TableGrid"/>
    <w:uiPriority w:val="59"/>
    <w:pPr>
      <w:spacing w:after="0" w:line="240" w:lineRule="auto"/>
    </w:pPr>
    <w:rPr>
      <w:rFonts w:ascii="Calibri" w:cs="Times New Roman" w:eastAsia="Calibri" w:hAnsi="Calibri"/>
      <w:sz w:val="20"/>
      <w:szCs w:val="20"/>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Oy1V4aWRG4nd+qVJZLOqrRxykw==">CgMxLjAyCGguZ2pkZ3hzMgloLjMwajB6bGwyCWguMWZvYjl0ZTIJaC4zem55c2g3MgloLjJldDkycDAyCGgudHlqY3d0OAByITFFWmZCUF9FZ0M2Wlp4TDNYWF95dktaejB0Y1oxQkJ2cg==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2019-06-25T22:28:00Z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D1V6</vt:lpwstr>
  </property>
</Properties>
</file>